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20" w:type="dxa"/>
            <w:vAlign w:val="bottom"/>
            <w:gridSpan w:val="2"/>
          </w:tcPr>
          <w:p>
            <w:pPr>
              <w:ind w:left="820"/>
              <w:spacing w:after="0"/>
              <w:rPr>
                <w:sz w:val="20"/>
                <w:szCs w:val="20"/>
                <w:color w:val="auto"/>
              </w:rPr>
            </w:pPr>
            <w:r>
              <w:rPr>
                <w:rFonts w:ascii="Arial" w:cs="Arial" w:eastAsia="Arial" w:hAnsi="Arial"/>
                <w:sz w:val="18"/>
                <w:szCs w:val="18"/>
                <w:b w:val="1"/>
                <w:bCs w:val="1"/>
                <w:color w:val="auto"/>
              </w:rPr>
              <w:t>NOTIFICATION OF LATE FILING</w:t>
            </w:r>
          </w:p>
        </w:tc>
        <w:tc>
          <w:tcPr>
            <w:tcW w:w="17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(CHECK ONE):</w:t>
            </w:r>
          </w:p>
        </w:tc>
        <w:tc>
          <w:tcPr>
            <w:tcW w:w="2060" w:type="dxa"/>
            <w:vAlign w:val="bottom"/>
            <w:gridSpan w:val="2"/>
          </w:tcPr>
          <w:p>
            <w:pPr>
              <w:ind w:left="220"/>
              <w:spacing w:after="0"/>
              <w:rPr>
                <w:sz w:val="20"/>
                <w:szCs w:val="20"/>
                <w:color w:val="auto"/>
              </w:rPr>
            </w:pPr>
            <w:r>
              <w:rPr>
                <w:rFonts w:ascii="Arial" w:cs="Arial" w:eastAsia="Arial" w:hAnsi="Arial"/>
                <w:sz w:val="18"/>
                <w:szCs w:val="18"/>
                <w:color w:val="auto"/>
              </w:rPr>
              <w:t>[] Form 10-K</w:t>
            </w:r>
          </w:p>
        </w:tc>
        <w:tc>
          <w:tcPr>
            <w:tcW w:w="1580" w:type="dxa"/>
            <w:vAlign w:val="bottom"/>
          </w:tcPr>
          <w:p>
            <w:pPr>
              <w:ind w:left="100"/>
              <w:spacing w:after="0"/>
              <w:rPr>
                <w:sz w:val="20"/>
                <w:szCs w:val="20"/>
                <w:color w:val="auto"/>
              </w:rPr>
            </w:pPr>
            <w:r>
              <w:rPr>
                <w:rFonts w:ascii="Arial" w:cs="Arial" w:eastAsia="Arial" w:hAnsi="Arial"/>
                <w:sz w:val="18"/>
                <w:szCs w:val="18"/>
                <w:color w:val="auto"/>
              </w:rPr>
              <w:t>[ ] Form 20-F</w:t>
            </w:r>
          </w:p>
        </w:tc>
        <w:tc>
          <w:tcPr>
            <w:tcW w:w="2240" w:type="dxa"/>
            <w:vAlign w:val="bottom"/>
          </w:tcPr>
          <w:p>
            <w:pPr>
              <w:ind w:left="460"/>
              <w:spacing w:after="0"/>
              <w:rPr>
                <w:sz w:val="20"/>
                <w:szCs w:val="20"/>
                <w:color w:val="auto"/>
              </w:rPr>
            </w:pPr>
            <w:r>
              <w:rPr>
                <w:rFonts w:ascii="Arial" w:cs="Arial" w:eastAsia="Arial" w:hAnsi="Arial"/>
                <w:sz w:val="18"/>
                <w:szCs w:val="18"/>
                <w:color w:val="auto"/>
              </w:rPr>
              <w:t>[ ] Form 11-K</w:t>
            </w:r>
          </w:p>
        </w:tc>
        <w:tc>
          <w:tcPr>
            <w:tcW w:w="1740" w:type="dxa"/>
            <w:vAlign w:val="bottom"/>
          </w:tcPr>
          <w:p>
            <w:pPr>
              <w:ind w:left="160"/>
              <w:spacing w:after="0"/>
              <w:rPr>
                <w:sz w:val="20"/>
                <w:szCs w:val="20"/>
                <w:color w:val="auto"/>
              </w:rPr>
            </w:pPr>
            <w:r>
              <w:rPr>
                <w:rFonts w:ascii="Arial" w:cs="Arial" w:eastAsia="Arial" w:hAnsi="Arial"/>
                <w:sz w:val="18"/>
                <w:szCs w:val="18"/>
                <w:color w:val="auto"/>
              </w:rPr>
              <w:t>[X] Form 10-Q</w:t>
            </w:r>
          </w:p>
        </w:tc>
        <w:tc>
          <w:tcPr>
            <w:tcW w:w="2400" w:type="dxa"/>
            <w:vAlign w:val="bottom"/>
          </w:tcPr>
          <w:p>
            <w:pPr>
              <w:ind w:left="460"/>
              <w:spacing w:after="0"/>
              <w:rPr>
                <w:sz w:val="20"/>
                <w:szCs w:val="20"/>
                <w:color w:val="auto"/>
              </w:rPr>
            </w:pPr>
            <w:r>
              <w:rPr>
                <w:rFonts w:ascii="Arial" w:cs="Arial" w:eastAsia="Arial" w:hAnsi="Arial"/>
                <w:sz w:val="18"/>
                <w:szCs w:val="18"/>
                <w:color w:val="auto"/>
              </w:rPr>
              <w:t>[ ] Form N-SAR</w:t>
            </w:r>
          </w:p>
        </w:tc>
      </w:tr>
      <w:tr>
        <w:trPr>
          <w:trHeight w:val="432"/>
        </w:trPr>
        <w:tc>
          <w:tcPr>
            <w:tcW w:w="2160" w:type="dxa"/>
            <w:vAlign w:val="bottom"/>
            <w:gridSpan w:val="2"/>
          </w:tcPr>
          <w:p>
            <w:pPr>
              <w:ind w:left="380"/>
              <w:spacing w:after="0"/>
              <w:rPr>
                <w:sz w:val="20"/>
                <w:szCs w:val="20"/>
                <w:color w:val="auto"/>
              </w:rPr>
            </w:pPr>
            <w:r>
              <w:rPr>
                <w:rFonts w:ascii="Arial" w:cs="Arial" w:eastAsia="Arial" w:hAnsi="Arial"/>
                <w:sz w:val="18"/>
                <w:szCs w:val="18"/>
                <w:color w:val="auto"/>
              </w:rPr>
              <w:t>For Period Ended:</w:t>
            </w: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March 31, 2019</w:t>
            </w:r>
          </w:p>
        </w:tc>
        <w:tc>
          <w:tcPr>
            <w:tcW w:w="15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ind w:left="1960" w:hanging="14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10-K</w:t>
      </w:r>
    </w:p>
    <w:p>
      <w:pPr>
        <w:spacing w:after="0" w:line="23" w:lineRule="exact"/>
        <w:rPr>
          <w:rFonts w:ascii="Arial" w:cs="Arial" w:eastAsia="Arial" w:hAnsi="Arial"/>
          <w:sz w:val="18"/>
          <w:szCs w:val="18"/>
          <w:color w:val="auto"/>
        </w:rPr>
      </w:pPr>
    </w:p>
    <w:p>
      <w:pPr>
        <w:ind w:left="1960" w:hanging="14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20-F</w:t>
      </w:r>
    </w:p>
    <w:p>
      <w:pPr>
        <w:spacing w:after="0" w:line="9" w:lineRule="exact"/>
        <w:rPr>
          <w:rFonts w:ascii="Arial" w:cs="Arial" w:eastAsia="Arial" w:hAnsi="Arial"/>
          <w:sz w:val="18"/>
          <w:szCs w:val="18"/>
          <w:color w:val="auto"/>
        </w:rPr>
      </w:pPr>
    </w:p>
    <w:p>
      <w:pPr>
        <w:ind w:left="1960" w:hanging="14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11-K</w:t>
      </w:r>
    </w:p>
    <w:p>
      <w:pPr>
        <w:spacing w:after="0" w:line="9" w:lineRule="exact"/>
        <w:rPr>
          <w:rFonts w:ascii="Arial" w:cs="Arial" w:eastAsia="Arial" w:hAnsi="Arial"/>
          <w:sz w:val="18"/>
          <w:szCs w:val="18"/>
          <w:color w:val="auto"/>
        </w:rPr>
      </w:pPr>
    </w:p>
    <w:p>
      <w:pPr>
        <w:ind w:left="1960" w:hanging="14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10-Q</w:t>
      </w:r>
    </w:p>
    <w:p>
      <w:pPr>
        <w:spacing w:after="0" w:line="9" w:lineRule="exact"/>
        <w:rPr>
          <w:rFonts w:ascii="Arial" w:cs="Arial" w:eastAsia="Arial" w:hAnsi="Arial"/>
          <w:sz w:val="18"/>
          <w:szCs w:val="18"/>
          <w:color w:val="auto"/>
        </w:rPr>
      </w:pPr>
    </w:p>
    <w:p>
      <w:pPr>
        <w:ind w:left="1820" w:right="6820" w:hanging="2"/>
        <w:spacing w:after="0" w:line="250" w:lineRule="auto"/>
        <w:tabs>
          <w:tab w:leader="none" w:pos="197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N-SAR For the Transaction Period</w:t>
      </w:r>
    </w:p>
    <w:p>
      <w:pPr>
        <w:ind w:left="1820"/>
        <w:spacing w:after="0"/>
        <w:rPr>
          <w:rFonts w:ascii="Arial" w:cs="Arial" w:eastAsia="Arial" w:hAnsi="Arial"/>
          <w:sz w:val="18"/>
          <w:szCs w:val="18"/>
          <w:color w:val="auto"/>
        </w:rPr>
      </w:pPr>
      <w:r>
        <w:rPr>
          <w:rFonts w:ascii="Arial" w:cs="Arial" w:eastAsia="Arial" w:hAnsi="Arial"/>
          <w:sz w:val="18"/>
          <w:szCs w:val="18"/>
          <w:color w:val="auto"/>
        </w:rPr>
        <w:t>Ended:</w:t>
      </w:r>
    </w:p>
    <w:p>
      <w:pPr>
        <w:spacing w:after="0" w:line="207"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[X] (a) The reasons described in reasonable detail in Part III of this form could not be eliminated without unreasonable effort or expense;</w:t>
      </w:r>
    </w:p>
    <w:p>
      <w:pPr>
        <w:spacing w:after="0" w:line="23" w:lineRule="exact"/>
        <w:rPr>
          <w:sz w:val="20"/>
          <w:szCs w:val="20"/>
          <w:color w:val="auto"/>
        </w:rPr>
      </w:pPr>
    </w:p>
    <w:p>
      <w:pPr>
        <w:ind w:left="620" w:hanging="565"/>
        <w:spacing w:after="0" w:line="250" w:lineRule="auto"/>
        <w:tabs>
          <w:tab w:leader="none" w:pos="363" w:val="left"/>
        </w:tabs>
        <w:numPr>
          <w:ilvl w:val="0"/>
          <w:numId w:val="2"/>
        </w:numPr>
        <w:rPr>
          <w:rFonts w:ascii="Arial" w:cs="Arial" w:eastAsia="Arial" w:hAnsi="Arial"/>
          <w:sz w:val="18"/>
          <w:szCs w:val="18"/>
          <w:color w:val="auto"/>
        </w:rPr>
      </w:pPr>
      <w:r>
        <w:rPr>
          <w:rFonts w:ascii="Arial" w:cs="Arial" w:eastAsia="Arial" w:hAnsi="Arial"/>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 The accountant’s statement or other exhibit required by Rule 12b-25(c) has been attached if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Registrant is unable to complete the required compilation, dissemination, and review of all information required for filing its Form 10-Q Quarterly Report for the quarter ended March 31, 2019 within the prescribed time period without undue hardship and expense. It is anticipated that the Form 10-Q Quarterly Report, will be filed on or before the 4th calendar day following the prescribed due date of the Registrant’s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88"/>
              </w:rPr>
              <w:t>Narsi Narayanan</w:t>
            </w:r>
          </w:p>
        </w:tc>
        <w:tc>
          <w:tcPr>
            <w:tcW w:w="3900" w:type="dxa"/>
            <w:vAlign w:val="bottom"/>
            <w:gridSpan w:val="2"/>
          </w:tcPr>
          <w:p>
            <w:pPr>
              <w:jc w:val="right"/>
              <w:ind w:right="1610"/>
              <w:spacing w:after="0"/>
              <w:rPr>
                <w:sz w:val="20"/>
                <w:szCs w:val="20"/>
                <w:color w:val="auto"/>
              </w:rPr>
            </w:pPr>
            <w:r>
              <w:rPr>
                <w:rFonts w:ascii="Arial" w:cs="Arial" w:eastAsia="Arial" w:hAnsi="Arial"/>
                <w:sz w:val="18"/>
                <w:szCs w:val="18"/>
                <w:color w:val="auto"/>
              </w:rPr>
              <w:t>801</w:t>
            </w:r>
          </w:p>
        </w:tc>
        <w:tc>
          <w:tcPr>
            <w:tcW w:w="3860" w:type="dxa"/>
            <w:vAlign w:val="bottom"/>
            <w:gridSpan w:val="2"/>
          </w:tcPr>
          <w:p>
            <w:pPr>
              <w:jc w:val="right"/>
              <w:ind w:right="1390"/>
              <w:spacing w:after="0"/>
              <w:rPr>
                <w:sz w:val="20"/>
                <w:szCs w:val="20"/>
                <w:color w:val="auto"/>
              </w:rPr>
            </w:pPr>
            <w:r>
              <w:rPr>
                <w:rFonts w:ascii="Arial" w:cs="Arial" w:eastAsia="Arial" w:hAnsi="Arial"/>
                <w:sz w:val="18"/>
                <w:szCs w:val="18"/>
                <w:color w:val="auto"/>
              </w:rPr>
              <w:t>975-7200</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260" w:right="4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1"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left="260" w:right="6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Company reported revenue of approximately $7.3 million and a net (loss) of $1.8 million for the quarter ended March 31, 2018. The Company expects to report revenues for the quarter ended March 31, 2019 at materially lower amounts than reported for the quarter ended March 31, 2018. The Company is also expected to report a net (loss) in excess of $1.8 million for the quarter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16, 2019</w:t>
            </w: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24"/>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 Chief Executive Officer</w:t>
            </w:r>
          </w:p>
        </w:tc>
      </w:tr>
    </w:tbl>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INSTRUCTION: </w:t>
      </w:r>
      <w:r>
        <w:rPr>
          <w:rFonts w:ascii="Arial" w:cs="Arial" w:eastAsia="Arial" w:hAnsi="Arial"/>
          <w:sz w:val="17"/>
          <w:szCs w:val="17"/>
          <w:color w:val="auto"/>
        </w:rPr>
        <w:t>The form may be signed by an executive officer of the registrant or by any other duly authorized representative. The name and title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2019-12-02T18:20:20Z</dcterms:created>
  <dcterms:modified xsi:type="dcterms:W3CDTF">2019-12-02T18:20:20Z</dcterms:modified>
</cp:coreProperties>
</file>