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Filed by the Registrant [X]</w:t>
      </w:r>
    </w:p>
    <w:p>
      <w:pPr>
        <w:sectPr>
          <w:pgSz w:w="11900" w:h="16838" w:orient="portrait"/>
          <w:cols w:equalWidth="0" w:num="1">
            <w:col w:w="11180"/>
          </w:cols>
          <w:pgMar w:left="320" w:top="229" w:right="399" w:bottom="1440" w:gutter="0" w:footer="0" w:header="0"/>
        </w:sectPr>
      </w:pPr>
    </w:p>
    <w:p>
      <w:pPr>
        <w:spacing w:after="0" w:line="225" w:lineRule="exact"/>
        <w:rPr>
          <w:sz w:val="24"/>
          <w:szCs w:val="24"/>
          <w:color w:val="auto"/>
        </w:rPr>
      </w:pPr>
    </w:p>
    <w:p>
      <w:pPr>
        <w:jc w:val="center"/>
        <w:ind w:left="140"/>
        <w:spacing w:after="0"/>
        <w:rPr>
          <w:sz w:val="20"/>
          <w:szCs w:val="20"/>
          <w:color w:val="auto"/>
        </w:rPr>
      </w:pPr>
      <w:r>
        <w:rPr>
          <w:rFonts w:ascii="Arial" w:cs="Arial" w:eastAsia="Arial" w:hAnsi="Arial"/>
          <w:sz w:val="16"/>
          <w:szCs w:val="16"/>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220" w:space="120"/>
            <w:col w:w="7840"/>
          </w:cols>
          <w:pgMar w:left="320" w:top="229" w:right="399" w:bottom="1440" w:gutter="0" w:footer="0" w:header="0"/>
          <w:type w:val="continuous"/>
        </w:sectPr>
      </w:pPr>
    </w:p>
    <w:p>
      <w:pPr>
        <w:spacing w:after="0" w:line="25" w:lineRule="exact"/>
        <w:rPr>
          <w:sz w:val="24"/>
          <w:szCs w:val="24"/>
          <w:color w:val="auto"/>
        </w:rPr>
      </w:pPr>
    </w:p>
    <w:p>
      <w:pPr>
        <w:ind w:left="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180"/>
          </w:cols>
          <w:pgMar w:left="320" w:top="229" w:right="39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31" w:lineRule="exact"/>
        <w:rPr>
          <w:sz w:val="24"/>
          <w:szCs w:val="24"/>
          <w:color w:val="auto"/>
        </w:rPr>
      </w:pPr>
    </w:p>
    <w:p>
      <w:pPr>
        <w:sectPr>
          <w:pgSz w:w="11900" w:h="16838" w:orient="portrait"/>
          <w:cols w:equalWidth="0" w:num="2">
            <w:col w:w="260" w:space="420"/>
            <w:col w:w="10500"/>
          </w:cols>
          <w:pgMar w:left="320" w:top="229" w:right="399" w:bottom="1440" w:gutter="0" w:footer="0" w:header="0"/>
          <w:type w:val="continuous"/>
        </w:sectPr>
      </w:pPr>
    </w:p>
    <w:p>
      <w:pPr>
        <w:ind w:left="680" w:hanging="670"/>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180"/>
          </w:cols>
          <w:pgMar w:left="320" w:top="229" w:right="3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420"/>
            <w:col w:w="10500"/>
          </w:cols>
          <w:pgMar w:left="320" w:top="229" w:right="399" w:bottom="1440" w:gutter="0" w:footer="0" w:header="0"/>
          <w:type w:val="continuous"/>
        </w:sect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1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670"/>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200" w:hanging="190"/>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40" w:hanging="669"/>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40" w:hanging="669"/>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40" w:right="40" w:hanging="669"/>
        <w:spacing w:after="0" w:line="250" w:lineRule="auto"/>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40" w:hanging="669"/>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40" w:hanging="669"/>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80" w:hanging="670"/>
        <w:spacing w:after="0" w:line="265" w:lineRule="auto"/>
        <w:tabs>
          <w:tab w:leader="none" w:pos="21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40" w:hanging="669"/>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40" w:hanging="669"/>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40" w:hanging="669"/>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40" w:hanging="669"/>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5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480" w:type="dxa"/>
            <w:vAlign w:val="bottom"/>
            <w:gridSpan w:val="2"/>
          </w:tcPr>
          <w:p>
            <w:pPr>
              <w:jc w:val="center"/>
              <w:ind w:right="3740"/>
              <w:spacing w:after="0"/>
              <w:rPr>
                <w:sz w:val="20"/>
                <w:szCs w:val="20"/>
                <w:color w:val="auto"/>
              </w:rPr>
            </w:pPr>
            <w:r>
              <w:rPr>
                <w:rFonts w:ascii="Arial" w:cs="Arial" w:eastAsia="Arial" w:hAnsi="Arial"/>
                <w:sz w:val="22"/>
                <w:szCs w:val="22"/>
                <w:b w:val="1"/>
                <w:bCs w:val="1"/>
                <w:color w:val="auto"/>
                <w:w w:val="99"/>
              </w:rPr>
              <w:t>CLEARONE, INC.</w:t>
            </w:r>
          </w:p>
        </w:tc>
      </w:tr>
      <w:tr>
        <w:trPr>
          <w:trHeight w:val="280"/>
        </w:trPr>
        <w:tc>
          <w:tcPr>
            <w:tcW w:w="1560" w:type="dxa"/>
            <w:vAlign w:val="bottom"/>
          </w:tcPr>
          <w:p>
            <w:pPr>
              <w:spacing w:after="0"/>
              <w:rPr>
                <w:sz w:val="24"/>
                <w:szCs w:val="24"/>
                <w:color w:val="auto"/>
              </w:rPr>
            </w:pPr>
          </w:p>
        </w:tc>
        <w:tc>
          <w:tcPr>
            <w:tcW w:w="9680" w:type="dxa"/>
            <w:vAlign w:val="bottom"/>
            <w:gridSpan w:val="3"/>
          </w:tcPr>
          <w:p>
            <w:pPr>
              <w:jc w:val="center"/>
              <w:ind w:right="1560"/>
              <w:spacing w:after="0"/>
              <w:rPr>
                <w:sz w:val="20"/>
                <w:szCs w:val="20"/>
                <w:color w:val="auto"/>
              </w:rPr>
            </w:pPr>
            <w:r>
              <w:rPr>
                <w:rFonts w:ascii="Arial" w:cs="Arial" w:eastAsia="Arial" w:hAnsi="Arial"/>
                <w:sz w:val="22"/>
                <w:szCs w:val="22"/>
                <w:b w:val="1"/>
                <w:bCs w:val="1"/>
                <w:color w:val="auto"/>
                <w:w w:val="88"/>
              </w:rPr>
              <w:t>Notice of 2023 Annual Meeting of Shareholders</w:t>
            </w:r>
          </w:p>
        </w:tc>
      </w:tr>
      <w:tr>
        <w:trPr>
          <w:trHeight w:val="449"/>
        </w:trPr>
        <w:tc>
          <w:tcPr>
            <w:tcW w:w="15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December 28, 2023</w:t>
            </w:r>
          </w:p>
        </w:tc>
      </w:tr>
      <w:tr>
        <w:trPr>
          <w:trHeight w:val="432"/>
        </w:trPr>
        <w:tc>
          <w:tcPr>
            <w:tcW w:w="156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9:30 a.m. Mountain time</w:t>
            </w:r>
          </w:p>
        </w:tc>
      </w:tr>
      <w:tr>
        <w:trPr>
          <w:trHeight w:val="432"/>
        </w:trPr>
        <w:tc>
          <w:tcPr>
            <w:tcW w:w="15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5225 Wiley Post Way, Suite 500, Salt Lake City, UT 84116</w:t>
            </w: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1"/>
              </w:rPr>
              <w:t>November 10, 2023. Only shareholders of record at the close of business on the record date are entitled to receive notice of,</w:t>
            </w:r>
          </w:p>
        </w:tc>
      </w:tr>
      <w:tr>
        <w:trPr>
          <w:trHeight w:val="230"/>
        </w:trPr>
        <w:tc>
          <w:tcPr>
            <w:tcW w:w="1560" w:type="dxa"/>
            <w:vAlign w:val="bottom"/>
          </w:tcPr>
          <w:p>
            <w:pPr>
              <w:spacing w:after="0"/>
              <w:rPr>
                <w:sz w:val="20"/>
                <w:szCs w:val="20"/>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and to vote at, the Annual Meeting.</w:t>
            </w: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1"/>
              </w:rPr>
              <w:t>All shareholders are cordially invited to attend the meeting and vote in person. However, to ensure your representation at the</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0"/>
              </w:rPr>
              <w:t>meeting, you are urged to vote as promptly as possible, whether via the Internet, by telephone, or, by marking, signing, dating,</w:t>
            </w:r>
          </w:p>
        </w:tc>
      </w:tr>
      <w:tr>
        <w:trPr>
          <w:trHeight w:val="230"/>
        </w:trPr>
        <w:tc>
          <w:tcPr>
            <w:tcW w:w="1560" w:type="dxa"/>
            <w:vAlign w:val="bottom"/>
          </w:tcPr>
          <w:p>
            <w:pPr>
              <w:spacing w:after="0"/>
              <w:rPr>
                <w:sz w:val="20"/>
                <w:szCs w:val="20"/>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and returning the enclosed proxy in the postage-prepaid envelope enclosed for that purpose.</w:t>
            </w:r>
          </w:p>
        </w:tc>
      </w:tr>
      <w:tr>
        <w:trPr>
          <w:trHeight w:val="418"/>
        </w:trPr>
        <w:tc>
          <w:tcPr>
            <w:tcW w:w="1560" w:type="dxa"/>
            <w:vAlign w:val="bottom"/>
          </w:tcPr>
          <w:p>
            <w:pPr>
              <w:spacing w:after="0"/>
              <w:rPr>
                <w:sz w:val="24"/>
                <w:szCs w:val="24"/>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2"/>
              </w:rPr>
              <w:t>If you plan to attend the Annual Meeting, please note that for security reasons, before being admitted you must present your</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5"/>
              </w:rPr>
              <w:t>proof of stock ownership (or if you hold your shares in street name, a signed legal proxy from your bank, broker or other</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5"/>
              </w:rPr>
              <w:t>nominee giving you the right to vote your shares) and valid photo identification at the door. All hand-carried items will be</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3"/>
              </w:rPr>
              <w:t>subject to inspection, and any bags, briefcases, or packages must be checked at the registration desk prior to entering the</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4"/>
              </w:rPr>
              <w:t>meeting room. If you do not have proof of ownership and valid photo identification, you will not be admitted to the Annual</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3"/>
              </w:rPr>
              <w:t>Meeting. Please also note that the use of cell phones, smartphones, pagers, recording and photographic equipment and/or</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2"/>
              </w:rPr>
              <w:t>computers is strictly prohibited at the Annual Meeting. No recording of the Annual Meeting is permitted, including audio and</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2"/>
              </w:rPr>
              <w:t>video recording. If you need to obtain directions on how to attend the Annual Meeting and vote in person, please contact our</w:t>
            </w:r>
          </w:p>
        </w:tc>
      </w:tr>
      <w:tr>
        <w:trPr>
          <w:trHeight w:val="230"/>
        </w:trPr>
        <w:tc>
          <w:tcPr>
            <w:tcW w:w="1560" w:type="dxa"/>
            <w:vAlign w:val="bottom"/>
          </w:tcPr>
          <w:p>
            <w:pPr>
              <w:spacing w:after="0"/>
              <w:rPr>
                <w:sz w:val="20"/>
                <w:szCs w:val="20"/>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corporate offices at +1 (801) 975-7200.</w:t>
            </w:r>
          </w:p>
        </w:tc>
      </w:tr>
      <w:tr>
        <w:trPr>
          <w:trHeight w:val="414"/>
        </w:trPr>
        <w:tc>
          <w:tcPr>
            <w:tcW w:w="1560" w:type="dxa"/>
            <w:vAlign w:val="bottom"/>
          </w:tcPr>
          <w:p>
            <w:pPr>
              <w:spacing w:after="0"/>
              <w:rPr>
                <w:sz w:val="24"/>
                <w:szCs w:val="24"/>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b w:val="1"/>
                <w:bCs w:val="1"/>
                <w:color w:val="auto"/>
              </w:rPr>
              <w:t>IMPORTANT NOTICE REGARDING THE AVAILABILITY OF PROXY MATERIALS FOR OUR ANNUAL</w:t>
            </w:r>
          </w:p>
        </w:tc>
      </w:tr>
      <w:tr>
        <w:trPr>
          <w:trHeight w:val="220"/>
        </w:trPr>
        <w:tc>
          <w:tcPr>
            <w:tcW w:w="1560" w:type="dxa"/>
            <w:vAlign w:val="bottom"/>
          </w:tcPr>
          <w:p>
            <w:pPr>
              <w:spacing w:after="0"/>
              <w:rPr>
                <w:sz w:val="19"/>
                <w:szCs w:val="19"/>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b w:val="1"/>
                <w:bCs w:val="1"/>
                <w:color w:val="auto"/>
              </w:rPr>
              <w:t>MEETING TO BE HELD ON DECEMBER 28, 2023.</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4"/>
              </w:rPr>
              <w:t>Because we have elected to utilize the “full set delivery” option, we are delivering to all shareholders paper copies of all of</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6"/>
              </w:rPr>
              <w:t>our proxy materials, including a proxy card, as well as providing access to our proxy materials on a publicly accessible</w:t>
            </w:r>
          </w:p>
        </w:tc>
      </w:tr>
      <w:tr>
        <w:trPr>
          <w:trHeight w:val="216"/>
        </w:trPr>
        <w:tc>
          <w:tcPr>
            <w:tcW w:w="1560" w:type="dxa"/>
            <w:vAlign w:val="bottom"/>
          </w:tcPr>
          <w:p>
            <w:pPr>
              <w:spacing w:after="0"/>
              <w:rPr>
                <w:sz w:val="18"/>
                <w:szCs w:val="18"/>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2"/>
              </w:rPr>
              <w:t>website. Our proxy statement, form of proxy card, and Annual Report on Form 10-K for the year ended December 31, 2022</w:t>
            </w:r>
          </w:p>
        </w:tc>
      </w:tr>
      <w:tr>
        <w:trPr>
          <w:trHeight w:val="190"/>
        </w:trPr>
        <w:tc>
          <w:tcPr>
            <w:tcW w:w="1560" w:type="dxa"/>
            <w:vAlign w:val="bottom"/>
          </w:tcPr>
          <w:p>
            <w:pPr>
              <w:spacing w:after="0"/>
              <w:rPr>
                <w:sz w:val="16"/>
                <w:szCs w:val="16"/>
                <w:color w:val="auto"/>
              </w:rPr>
            </w:pPr>
          </w:p>
        </w:tc>
        <w:tc>
          <w:tcPr>
            <w:tcW w:w="9680" w:type="dxa"/>
            <w:vAlign w:val="bottom"/>
            <w:gridSpan w:val="3"/>
          </w:tcPr>
          <w:p>
            <w:pPr>
              <w:ind w:left="580"/>
              <w:spacing w:after="0" w:line="190" w:lineRule="exact"/>
              <w:rPr>
                <w:sz w:val="20"/>
                <w:szCs w:val="20"/>
                <w:color w:val="auto"/>
              </w:rPr>
            </w:pPr>
            <w:r>
              <w:rPr>
                <w:rFonts w:ascii="Arial" w:cs="Arial" w:eastAsia="Arial" w:hAnsi="Arial"/>
                <w:sz w:val="18"/>
                <w:szCs w:val="18"/>
                <w:color w:val="auto"/>
              </w:rPr>
              <w:t>are available online at www.colonialstock.com/clro2023.</w:t>
            </w:r>
          </w:p>
        </w:tc>
      </w:tr>
      <w:tr>
        <w:trPr>
          <w:trHeight w:val="20"/>
        </w:trPr>
        <w:tc>
          <w:tcPr>
            <w:tcW w:w="1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38"/>
        </w:trPr>
        <w:tc>
          <w:tcPr>
            <w:tcW w:w="1560" w:type="dxa"/>
            <w:vAlign w:val="bottom"/>
          </w:tcPr>
          <w:p>
            <w:pPr>
              <w:spacing w:after="0"/>
              <w:rPr>
                <w:sz w:val="24"/>
                <w:szCs w:val="24"/>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w w:val="95"/>
              </w:rPr>
              <w:t>On or about November 21, 2023, we will have sent to our stockholders a proxy statement, a form of proxy card, and the</w:t>
            </w:r>
          </w:p>
        </w:tc>
      </w:tr>
      <w:tr>
        <w:trPr>
          <w:trHeight w:val="230"/>
        </w:trPr>
        <w:tc>
          <w:tcPr>
            <w:tcW w:w="1560" w:type="dxa"/>
            <w:vAlign w:val="bottom"/>
          </w:tcPr>
          <w:p>
            <w:pPr>
              <w:spacing w:after="0"/>
              <w:rPr>
                <w:sz w:val="20"/>
                <w:szCs w:val="20"/>
                <w:color w:val="auto"/>
              </w:rPr>
            </w:pPr>
          </w:p>
        </w:tc>
        <w:tc>
          <w:tcPr>
            <w:tcW w:w="9680" w:type="dxa"/>
            <w:vAlign w:val="bottom"/>
            <w:gridSpan w:val="3"/>
          </w:tcPr>
          <w:p>
            <w:pPr>
              <w:ind w:left="580"/>
              <w:spacing w:after="0"/>
              <w:rPr>
                <w:sz w:val="20"/>
                <w:szCs w:val="20"/>
                <w:color w:val="auto"/>
              </w:rPr>
            </w:pPr>
            <w:r>
              <w:rPr>
                <w:rFonts w:ascii="Arial" w:cs="Arial" w:eastAsia="Arial" w:hAnsi="Arial"/>
                <w:sz w:val="18"/>
                <w:szCs w:val="18"/>
                <w:color w:val="auto"/>
              </w:rPr>
              <w:t>Annual Report on Form 10-K for the year ended December 31, 2022.</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2140" w:val="left"/>
          <w:tab w:leader="none" w:pos="242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 elect four members of our Board of Directors;</w:t>
      </w:r>
    </w:p>
    <w:p>
      <w:pPr>
        <w:spacing w:after="0" w:line="121" w:lineRule="exact"/>
        <w:rPr>
          <w:sz w:val="20"/>
          <w:szCs w:val="20"/>
          <w:color w:val="auto"/>
        </w:rPr>
      </w:pPr>
    </w:p>
    <w:p>
      <w:pPr>
        <w:ind w:left="2120" w:right="1460" w:firstLine="48"/>
        <w:spacing w:after="0" w:line="623" w:lineRule="auto"/>
        <w:tabs>
          <w:tab w:leader="none" w:pos="24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 The items of business are more fully described in the proxy statement accompanying this notice.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994410" cy="506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44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2023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2934335</wp:posOffset>
            </wp:positionH>
            <wp:positionV relativeFrom="page">
              <wp:posOffset>226060</wp:posOffset>
            </wp:positionV>
            <wp:extent cx="156845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40030"/>
                    </a:xfrm>
                    <a:prstGeom prst="rect">
                      <a:avLst/>
                    </a:prstGeom>
                    <a:noFill/>
                  </pic:spPr>
                </pic:pic>
              </a:graphicData>
            </a:graphic>
          </wp:anchor>
        </w:drawing>
        <w:t>2023 Proxy Statement</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proxy statement is solicited by and on behalf of the Board of Directors of ClearOne, Inc., a Delaware corporation (hereinafter referred to as the “Company,” “ClearOne,” “we,” “us” or “our”), for use at the Annual Meeting of Shareholders (the “Annual Meeting”), to be held on December 28, 2023 at 5225 Wiley Post Way, Suite 500, Salt Lake City, UT 84116, at 9:30 A.M. local time, or at any continuations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proxy solicitation materials will be distributed on or about November 21, 2023 to all shareholders entitled to vote at the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ClearOne distributing the proxy materials?</w:t>
      </w:r>
    </w:p>
    <w:p>
      <w:pPr>
        <w:spacing w:after="0" w:line="2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ClearOne has elected to utilize the “full set delivery” option. We are delivering to all shareholders paper copies of all of our proxy materials, including a proxy card, as well as providing access to our proxy materials on a publicly accessible website. Our proxy statement, form of proxy card, and Annual Report on Form 10-K for the year ended December 31, 2022 are available online at </w:t>
      </w:r>
      <w:r>
        <w:rPr>
          <w:rFonts w:ascii="Arial" w:cs="Arial" w:eastAsia="Arial" w:hAnsi="Arial"/>
          <w:sz w:val="17"/>
          <w:szCs w:val="17"/>
          <w:u w:val="single" w:color="auto"/>
          <w:color w:val="auto"/>
        </w:rPr>
        <w:t>www.colonialstock.com/clro2023</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or about November 21, 2023, we will have sent to our stockholders a proxy statement, a form of proxy card, and the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this Proxy Statement and accompanying Proxy?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Derek L. Graham and Narsi Narayanan.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the Annual Meeting is to: (i) elect four directors; and (ii) to transact any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November 10, 2023 (the “Record Date”). As of the Record Date, 23,960,684 shares of common stock were issued and outstanding. No other series of stock is outstanding. Holders of the shares of common stock have no preemptive rights. The transfer agent for the common stock 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Colonial Stock Transfer Company,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7840 S. 700 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Sandy, UT 84070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801-355-5740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801-355-6505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are no routine matters on which brokers may vote in their discretion on behalf of customers who have not provided voting instructions.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election of directors (Proposal one) is the only non-routine matter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Proposal one: </w:t>
      </w:r>
      <w:r>
        <w:rPr>
          <w:rFonts w:ascii="Arial" w:cs="Arial" w:eastAsia="Arial" w:hAnsi="Arial"/>
          <w:sz w:val="18"/>
          <w:szCs w:val="18"/>
          <w:color w:val="auto"/>
        </w:rPr>
        <w:t>In the election of directors, shareholders will not be allowed to cumulate their votes. The election of directors will be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plurality vote.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Abstentions and broker non-votes will not affect the outcome of the election of directors and the advisory vote on the compensation of our named executive officers.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Any other matter properly presented for approval by the shareholders at the Annual Meeting will generally be approved if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225" w:lineRule="exact"/>
        <w:rPr>
          <w:sz w:val="20"/>
          <w:szCs w:val="20"/>
          <w:color w:val="auto"/>
        </w:rPr>
      </w:pPr>
    </w:p>
    <w:p>
      <w:pPr>
        <w:ind w:left="1000" w:hanging="331"/>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director nominees listed in the proxy statement.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get more than one copy of the proxy statement or annual report if there are multiple shareholders at my address?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cases, only one copy of this proxy statement or annual report is being delivered to multiple shareholders sharing an address unless we have received contrary instructions from one or more of the shareholders. We will deliver promptly, upon a written or oral request, a separate copy of this proxy statement or annual report to a shareholder at a shared address to which a single copy of the document was delivered. Shareholders sharing an address may also submit requests for delivery of a single copy of the proxy statement or annual report,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7840 S. 700 E., Sandy, UT 84070 or calling (801) 355-5740.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on how to vote over the Internet, by phone, or by mail by completing, signing, dating and returning the proxy card.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completing and submitting the proxy (whether over the internet, by telephone, or by signing, dating and mailing the accompanying proxy card), the shareholder authorizes Derek L. Graham,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Colonial.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225" w:lineRule="exact"/>
        <w:rPr>
          <w:sz w:val="20"/>
          <w:szCs w:val="20"/>
          <w:color w:val="auto"/>
        </w:rPr>
      </w:pPr>
    </w:p>
    <w:p>
      <w:pPr>
        <w:ind w:left="1000" w:hanging="33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238" w:lineRule="exact"/>
        <w:rPr>
          <w:rFonts w:ascii="Arial" w:cs="Arial" w:eastAsia="Arial" w:hAnsi="Arial"/>
          <w:sz w:val="18"/>
          <w:szCs w:val="18"/>
          <w:color w:val="auto"/>
        </w:rPr>
      </w:pPr>
    </w:p>
    <w:p>
      <w:pPr>
        <w:ind w:left="1000" w:hanging="33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25" w:lineRule="exact"/>
        <w:rPr>
          <w:rFonts w:ascii="Arial" w:cs="Arial" w:eastAsia="Arial" w:hAnsi="Arial"/>
          <w:sz w:val="18"/>
          <w:szCs w:val="18"/>
          <w:color w:val="auto"/>
        </w:rPr>
      </w:pPr>
    </w:p>
    <w:p>
      <w:pPr>
        <w:ind w:left="660" w:right="3760" w:firstLine="9"/>
        <w:spacing w:after="0" w:line="581" w:lineRule="auto"/>
        <w:tabs>
          <w:tab w:leader="none" w:pos="1011"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a signed, written notice of revocation with the Corporate Secretary of the Company. Your attendance at the Annual Meeting will not automatically revoke your proxy.</w:t>
      </w: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If the common stock you own is held on your behalf by a broker, bank or other nominee, you must contact the nominee to receive instructions as to how you can revoke your proxy.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obtain an additional proxy card by writing to Corporate Secretary, ClearOne, Inc., 5225 Wiley Post Way, Suite 500, Salt Lake City, Utah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Arial" w:cs="Arial" w:eastAsia="Arial" w:hAnsi="Arial"/>
          <w:sz w:val="18"/>
          <w:szCs w:val="18"/>
          <w:i w:val="1"/>
          <w:iCs w:val="1"/>
          <w:color w:val="auto"/>
        </w:rPr>
        <w:t>http://www.clearone.com</w:t>
      </w:r>
      <w:r>
        <w:rPr>
          <w:rFonts w:ascii="Arial" w:cs="Arial" w:eastAsia="Arial" w:hAnsi="Arial"/>
          <w:sz w:val="18"/>
          <w:szCs w:val="18"/>
          <w:color w:val="auto"/>
        </w:rPr>
        <w:t>. Also, such Form 8-K, any amendments thereto and other reports we file with the SEC are available to you over the Internet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proxy solicitation related to the Annual Meeting?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We will be mailing the 2022 Annual Report on Form 10-K, as filed with the Securities and Exchange Commission, along with a proxy statement and a proxy card. We will also provide, without charge, a printed copy of our 2022 Annual Report, to each shareholder of record as of the record date that requests a copy in writing. Any such requests should be directed to our Corporate Secretary at our corporate offices set forth in this proxy statement.</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also access or obtain a copy of our 2022 Annual Report on Form 10-K and other reports filed with the SEC free of charge on our web site at http://www.clearone.com, or at the SEC's web site at http://www.sec.gov. The 2022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four. The term of each of our directors expires at the 2023 Annual Meeting. We have nominated current directors Mr. Hendricks,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our current directors, including the five nominees for re-election as directors at the Annual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560" w:type="dxa"/>
            <w:vAlign w:val="bottom"/>
          </w:tcPr>
          <w:p>
            <w:pPr>
              <w:spacing w:after="0"/>
              <w:rPr>
                <w:sz w:val="20"/>
                <w:szCs w:val="20"/>
                <w:color w:val="auto"/>
              </w:rPr>
            </w:pPr>
            <w:r>
              <w:rPr>
                <w:rFonts w:ascii="Arial" w:cs="Arial" w:eastAsia="Arial" w:hAnsi="Arial"/>
                <w:sz w:val="18"/>
                <w:szCs w:val="18"/>
                <w:b w:val="1"/>
                <w:bCs w:val="1"/>
                <w:color w:val="auto"/>
              </w:rPr>
              <w:t>Director Since</w:t>
            </w:r>
          </w:p>
        </w:tc>
      </w:tr>
      <w:tr>
        <w:trPr>
          <w:trHeight w:val="23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Chairman and Director</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r>
      <w:tr>
        <w:trPr>
          <w:trHeight w:val="243"/>
        </w:trPr>
        <w:tc>
          <w:tcPr>
            <w:tcW w:w="292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900" w:type="dxa"/>
            <w:vAlign w:val="bottom"/>
          </w:tcPr>
          <w:p>
            <w:pPr>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56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Director </w:t>
            </w:r>
            <w:r>
              <w:rPr>
                <w:rFonts w:ascii="Arial" w:cs="Arial" w:eastAsia="Arial" w:hAnsi="Arial"/>
                <w:sz w:val="24"/>
                <w:szCs w:val="24"/>
                <w:color w:val="auto"/>
                <w:vertAlign w:val="superscript"/>
              </w:rPr>
              <w:t>(1)</w:t>
            </w:r>
          </w:p>
        </w:tc>
        <w:tc>
          <w:tcPr>
            <w:tcW w:w="1560" w:type="dxa"/>
            <w:vAlign w:val="bottom"/>
          </w:tcPr>
          <w:p>
            <w:pPr>
              <w:spacing w:after="0"/>
              <w:rPr>
                <w:sz w:val="20"/>
                <w:szCs w:val="20"/>
                <w:color w:val="auto"/>
              </w:rPr>
            </w:pPr>
            <w:r>
              <w:rPr>
                <w:rFonts w:ascii="Arial" w:cs="Arial" w:eastAsia="Arial" w:hAnsi="Arial"/>
                <w:sz w:val="18"/>
                <w:szCs w:val="18"/>
                <w:color w:val="auto"/>
              </w:rPr>
              <w:t>2003</w:t>
            </w:r>
          </w:p>
        </w:tc>
      </w:tr>
      <w:tr>
        <w:trPr>
          <w:trHeight w:val="23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B. Higley</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r>
      <w:tr>
        <w:trPr>
          <w:trHeight w:val="243"/>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Bruce Whaley</w:t>
            </w: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auto"/>
            </w:tcBorders>
          </w:tcPr>
          <w:p>
            <w:pPr>
              <w:spacing w:after="0"/>
              <w:rPr>
                <w:sz w:val="21"/>
                <w:szCs w:val="21"/>
                <w:color w:val="auto"/>
              </w:rPr>
            </w:pPr>
          </w:p>
        </w:tc>
        <w:tc>
          <w:tcPr>
            <w:tcW w:w="5660" w:type="dxa"/>
            <w:vAlign w:val="bottom"/>
            <w:tcBorders>
              <w:bottom w:val="single" w:sz="8" w:color="auto"/>
            </w:tcBorders>
            <w:gridSpan w:val="2"/>
          </w:tcPr>
          <w:p>
            <w:pPr>
              <w:spacing w:after="0" w:line="243" w:lineRule="exact"/>
              <w:rPr>
                <w:sz w:val="20"/>
                <w:szCs w:val="20"/>
                <w:color w:val="auto"/>
              </w:rPr>
            </w:pPr>
            <w:r>
              <w:rPr>
                <w:rFonts w:ascii="Arial" w:cs="Arial" w:eastAsia="Arial" w:hAnsi="Arial"/>
                <w:sz w:val="18"/>
                <w:szCs w:val="18"/>
                <w:color w:val="auto"/>
              </w:rPr>
              <w:t xml:space="preserve">Director </w:t>
            </w:r>
            <w:r>
              <w:rPr>
                <w:rFonts w:ascii="Arial" w:cs="Arial" w:eastAsia="Arial" w:hAnsi="Arial"/>
                <w:sz w:val="24"/>
                <w:szCs w:val="24"/>
                <w:color w:val="auto"/>
                <w:vertAlign w:val="superscript"/>
              </w:rPr>
              <w:t>(1)</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2019</w:t>
            </w:r>
          </w:p>
        </w:tc>
      </w:tr>
    </w:tbl>
    <w:p>
      <w:pPr>
        <w:spacing w:after="0" w:line="202" w:lineRule="exact"/>
        <w:rPr>
          <w:sz w:val="20"/>
          <w:szCs w:val="20"/>
          <w:color w:val="auto"/>
        </w:rPr>
      </w:pPr>
    </w:p>
    <w:p>
      <w:pPr>
        <w:ind w:left="400" w:hanging="390"/>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and Compliance Committee, Compensation Committee and Nominating Committee</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Eric. L Robinson </w:t>
      </w:r>
      <w:r>
        <w:rPr>
          <w:rFonts w:ascii="Arial" w:cs="Arial" w:eastAsia="Arial" w:hAnsi="Arial"/>
          <w:sz w:val="16"/>
          <w:szCs w:val="16"/>
          <w:color w:val="auto"/>
        </w:rPr>
        <w:t>has served as a director of our company since July 2015 and was named Chairman of the Board in February 2022. Mr.</w:t>
      </w:r>
      <w:r>
        <w:rPr>
          <w:rFonts w:ascii="Arial" w:cs="Arial" w:eastAsia="Arial" w:hAnsi="Arial"/>
          <w:sz w:val="16"/>
          <w:szCs w:val="16"/>
          <w:b w:val="1"/>
          <w:bCs w:val="1"/>
          <w:color w:val="auto"/>
        </w:rPr>
        <w:t xml:space="preserve"> </w:t>
      </w:r>
      <w:r>
        <w:rPr>
          <w:rFonts w:ascii="Arial" w:cs="Arial" w:eastAsia="Arial" w:hAnsi="Arial"/>
          <w:sz w:val="16"/>
          <w:szCs w:val="16"/>
          <w:color w:val="auto"/>
        </w:rPr>
        <w:t>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and as a private attorney. At MicroPower, Mr. Robinson has acted as General Counsel, Chief Financial Officer and a director. Mr. Robinson also serves as counsel to a number of companies in the fields of regenerative medicine, commercial construction and nonprofit.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that Mr. Hendricks should continue to serve as a director.</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Lisa B. Higley </w:t>
      </w:r>
      <w:r>
        <w:rPr>
          <w:rFonts w:ascii="Arial" w:cs="Arial" w:eastAsia="Arial" w:hAnsi="Arial"/>
          <w:sz w:val="17"/>
          <w:szCs w:val="17"/>
          <w:color w:val="auto"/>
        </w:rPr>
        <w:t>was appointed a director of our Company effective July 20, 2020. Ms. Higley has been self-employed as a CPA since June 2009.</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45% of our issued and outstanding common stock. In light of Ms. Higley’s background in finance and accounting, the Board concluded that Ms. Higley should continue to serve as a director.</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Bruce Whaley </w:t>
      </w:r>
      <w:r>
        <w:rPr>
          <w:rFonts w:ascii="Arial" w:cs="Arial" w:eastAsia="Arial" w:hAnsi="Arial"/>
          <w:sz w:val="18"/>
          <w:szCs w:val="18"/>
          <w:color w:val="auto"/>
        </w:rPr>
        <w:t>was appointed a director of our Company effective April 16, 2019. Mr. Whaley has extensive experience as a stockbroker for</w:t>
      </w:r>
      <w:r>
        <w:rPr>
          <w:rFonts w:ascii="Arial" w:cs="Arial" w:eastAsia="Arial" w:hAnsi="Arial"/>
          <w:sz w:val="18"/>
          <w:szCs w:val="18"/>
          <w:b w:val="1"/>
          <w:bCs w:val="1"/>
          <w:color w:val="auto"/>
        </w:rPr>
        <w:t xml:space="preserve"> </w:t>
      </w:r>
      <w:r>
        <w:rPr>
          <w:rFonts w:ascii="Arial" w:cs="Arial" w:eastAsia="Arial" w:hAnsi="Arial"/>
          <w:sz w:val="18"/>
          <w:szCs w:val="18"/>
          <w:color w:val="auto"/>
        </w:rPr>
        <w:t>nearly five decades. 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 In light of Mr. Whaley's background in finance and capital markets, the Board concluded that Mr. Whaley should continue to serve as a director.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7"/>
          <w:szCs w:val="17"/>
          <w:i w:val="1"/>
          <w:iCs w:val="1"/>
          <w:color w:val="auto"/>
        </w:rPr>
        <w:t>www.clearone.com</w:t>
      </w:r>
      <w:r>
        <w:rPr>
          <w:rFonts w:ascii="Arial" w:cs="Arial" w:eastAsia="Arial" w:hAnsi="Arial"/>
          <w:sz w:val="17"/>
          <w:szCs w:val="17"/>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believes that there is no one best leadership structure model that is most effective in all circumstances. The Board adheres to a flexible approach to the question of whether to separate the positions of Chairman and Chief Executive Officer (“CEO”) and the necessity of a lead independent director, and will consider a variety of factors in making a decision, including, but not limited to, the current performance of the Company and the experience, knowledge and temperament of the Chief Executive Officer. The Board remains flexible and committed to a strong corporate governance structure and board independence. The Board is committed to adopting corporate management and governance policies and strategies that promote our effective and ethical management. In this regard, the Board strongly believes that it should have maximum flexibility in deciding whether the offices of Chairman and Chief Executive Officer are combined or separate and, if separate, whether the Chairman should be an independent director or an employee.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roles of Chairman and Chief Executive Officer were separated in February 2022 when Mr. Robinson was named Chairman of the Board in light of Mr. Robinson’s leadership, experience, and knowledge of the Company and its stockholders. The Board determined and continues to believe that it was in our best interests and our stockholders’ best interests to separate the roles of Chairman and Chief Executive Officer.</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separation of Chief Executive Officer and Chairman together with a Board whose majority of directors are independent, provides the appropriate balance between independent oversight of management and the development of strategy.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Audit and Compliance Committee. </w:t>
      </w:r>
      <w:r>
        <w:rPr>
          <w:rFonts w:ascii="Arial" w:cs="Arial" w:eastAsia="Arial" w:hAnsi="Arial"/>
          <w:sz w:val="16"/>
          <w:szCs w:val="16"/>
          <w:color w:val="auto"/>
        </w:rPr>
        <w:t>The Audit and Compliance Committee meets to review and discuss our accounting practices and procedures</w:t>
      </w:r>
      <w:r>
        <w:rPr>
          <w:rFonts w:ascii="Arial" w:cs="Arial" w:eastAsia="Arial" w:hAnsi="Arial"/>
          <w:sz w:val="16"/>
          <w:szCs w:val="16"/>
          <w:b w:val="1"/>
          <w:bCs w:val="1"/>
          <w:color w:val="auto"/>
        </w:rPr>
        <w:t xml:space="preserve"> </w:t>
      </w:r>
      <w:r>
        <w:rPr>
          <w:rFonts w:ascii="Arial" w:cs="Arial" w:eastAsia="Arial" w:hAnsi="Arial"/>
          <w:sz w:val="16"/>
          <w:szCs w:val="16"/>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firstLine="648"/>
        <w:spacing w:after="0" w:line="257" w:lineRule="auto"/>
        <w:rPr>
          <w:sz w:val="20"/>
          <w:szCs w:val="20"/>
          <w:color w:val="auto"/>
        </w:rPr>
      </w:pPr>
      <w:r>
        <w:rPr>
          <w:rFonts w:ascii="Arial" w:cs="Arial" w:eastAsia="Arial" w:hAnsi="Arial"/>
          <w:sz w:val="18"/>
          <w:szCs w:val="18"/>
          <w:color w:val="auto"/>
        </w:rPr>
        <w:t>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940" w:hanging="271"/>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attract and retain highly qualified individuals capable of making significant contributions to the long-term success of our company;</w:t>
      </w:r>
    </w:p>
    <w:p>
      <w:pPr>
        <w:spacing w:after="0" w:line="236" w:lineRule="exact"/>
        <w:rPr>
          <w:rFonts w:ascii="Arial" w:cs="Arial" w:eastAsia="Arial" w:hAnsi="Arial"/>
          <w:sz w:val="17"/>
          <w:szCs w:val="17"/>
          <w:color w:val="auto"/>
        </w:rPr>
      </w:pPr>
    </w:p>
    <w:p>
      <w:pPr>
        <w:ind w:left="940" w:hanging="271"/>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25" w:lineRule="exact"/>
        <w:rPr>
          <w:rFonts w:ascii="Arial" w:cs="Arial" w:eastAsia="Arial" w:hAnsi="Arial"/>
          <w:sz w:val="18"/>
          <w:szCs w:val="18"/>
          <w:color w:val="auto"/>
        </w:rPr>
      </w:pPr>
    </w:p>
    <w:p>
      <w:pPr>
        <w:ind w:left="940" w:hanging="271"/>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align the interest of our executives with the interests of our shareholders such that the risks and rewards of strategic decisions are shared; and</w:t>
      </w:r>
    </w:p>
    <w:p>
      <w:pPr>
        <w:spacing w:after="0" w:line="170" w:lineRule="exact"/>
        <w:rPr>
          <w:rFonts w:ascii="Arial" w:cs="Arial" w:eastAsia="Arial" w:hAnsi="Arial"/>
          <w:sz w:val="18"/>
          <w:szCs w:val="18"/>
          <w:color w:val="auto"/>
        </w:rPr>
      </w:pPr>
    </w:p>
    <w:p>
      <w:pPr>
        <w:ind w:left="940" w:hanging="271"/>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Policies and Practices Related to ClearOne’s Compensation Program</w:t>
      </w:r>
      <w:r>
        <w:rPr>
          <w:rFonts w:ascii="Arial" w:cs="Arial" w:eastAsia="Arial" w:hAnsi="Arial"/>
          <w:sz w:val="17"/>
          <w:szCs w:val="17"/>
          <w:color w:val="auto"/>
        </w:rPr>
        <w:t>. We strive to create an overall compensation package for each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Comparable Companies</w:t>
      </w:r>
      <w:r>
        <w:rPr>
          <w:rFonts w:ascii="Arial" w:cs="Arial" w:eastAsia="Arial" w:hAnsi="Arial"/>
          <w:sz w:val="17"/>
          <w:szCs w:val="17"/>
          <w:color w:val="auto"/>
        </w:rPr>
        <w:t>. In making compensation decisions, including assessing the competitiveness of the total compensation structure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Equity Grant Practices</w:t>
      </w:r>
      <w:r>
        <w:rPr>
          <w:rFonts w:ascii="Arial" w:cs="Arial" w:eastAsia="Arial" w:hAnsi="Arial"/>
          <w:sz w:val="17"/>
          <w:szCs w:val="17"/>
          <w:color w:val="auto"/>
        </w:rPr>
        <w:t>. The Compensation Committee recognizes the importance of equity ownership in the alignment of shareholder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establishes the criteria, and directs the implementation, of all compensation program elements for the executive officers. The Compensation Committee considers the Chief Executive Officer’s appraisal of other executive officers’ general performance and looks especially to performance against predetermined goals before making its recommendation to the Board of Directors.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both"/>
        <w:ind w:left="20"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Eric L. Robinson, and Bruce Whaley.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Our Board of Directors held a total of 24 meetings in 2022.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2022 Annual Meeting of Shareholders.</w:t>
      </w:r>
    </w:p>
    <w:p>
      <w:pPr>
        <w:spacing w:after="0" w:line="192"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In 2022, the Audit and Compliance Committee held five meetings, the Compensation Committee held three meetings, and the Nominating Committee held one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jc w:val="both"/>
        <w:ind w:left="20" w:firstLine="643"/>
        <w:spacing w:after="0" w:line="275" w:lineRule="auto"/>
        <w:rPr>
          <w:sz w:val="20"/>
          <w:szCs w:val="20"/>
          <w:color w:val="auto"/>
        </w:rPr>
      </w:pPr>
      <w:r>
        <w:rPr>
          <w:rFonts w:ascii="Arial" w:cs="Arial" w:eastAsia="Arial" w:hAnsi="Arial"/>
          <w:sz w:val="17"/>
          <w:szCs w:val="17"/>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480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91"/>
              </w:rPr>
              <w:t>Board Diversity Matrix (as of November 10, 2023)</w:t>
            </w:r>
          </w:p>
        </w:tc>
        <w:tc>
          <w:tcPr>
            <w:tcW w:w="2800" w:type="dxa"/>
            <w:vAlign w:val="bottom"/>
          </w:tcPr>
          <w:p>
            <w:pPr>
              <w:spacing w:after="0"/>
              <w:rPr>
                <w:sz w:val="18"/>
                <w:szCs w:val="18"/>
                <w:color w:val="auto"/>
              </w:rPr>
            </w:pPr>
          </w:p>
        </w:tc>
      </w:tr>
      <w:tr>
        <w:trPr>
          <w:trHeight w:val="234"/>
        </w:trPr>
        <w:tc>
          <w:tcPr>
            <w:tcW w:w="3640" w:type="dxa"/>
            <w:vAlign w:val="bottom"/>
            <w:tcBorders>
              <w:bottom w:val="single" w:sz="8" w:color="16479F"/>
            </w:tcBorders>
          </w:tcPr>
          <w:p>
            <w:pPr>
              <w:ind w:left="60"/>
              <w:spacing w:after="0"/>
              <w:rPr>
                <w:sz w:val="20"/>
                <w:szCs w:val="20"/>
                <w:color w:val="auto"/>
              </w:rPr>
            </w:pPr>
            <w:r>
              <w:rPr>
                <w:rFonts w:ascii="Arial" w:cs="Arial" w:eastAsia="Arial" w:hAnsi="Arial"/>
                <w:sz w:val="18"/>
                <w:szCs w:val="18"/>
                <w:b w:val="1"/>
                <w:bCs w:val="1"/>
                <w:color w:val="auto"/>
              </w:rPr>
              <w:t>Total Number of Directors:</w:t>
            </w:r>
          </w:p>
        </w:tc>
        <w:tc>
          <w:tcPr>
            <w:tcW w:w="2240" w:type="dxa"/>
            <w:vAlign w:val="bottom"/>
            <w:tcBorders>
              <w:bottom w:val="single" w:sz="8" w:color="16479F"/>
            </w:tcBorders>
          </w:tcPr>
          <w:p>
            <w:pPr>
              <w:spacing w:after="0"/>
              <w:rPr>
                <w:sz w:val="20"/>
                <w:szCs w:val="20"/>
                <w:color w:val="auto"/>
              </w:rPr>
            </w:pPr>
          </w:p>
        </w:tc>
        <w:tc>
          <w:tcPr>
            <w:tcW w:w="1100" w:type="dxa"/>
            <w:vAlign w:val="bottom"/>
            <w:tcBorders>
              <w:bottom w:val="single" w:sz="8" w:color="16479F"/>
            </w:tcBorders>
          </w:tcPr>
          <w:p>
            <w:pPr>
              <w:jc w:val="right"/>
              <w:ind w:right="830"/>
              <w:spacing w:after="0"/>
              <w:rPr>
                <w:sz w:val="20"/>
                <w:szCs w:val="20"/>
                <w:color w:val="auto"/>
              </w:rPr>
            </w:pPr>
            <w:r>
              <w:rPr>
                <w:rFonts w:ascii="Arial" w:cs="Arial" w:eastAsia="Arial" w:hAnsi="Arial"/>
                <w:sz w:val="18"/>
                <w:szCs w:val="18"/>
                <w:b w:val="1"/>
                <w:bCs w:val="1"/>
                <w:color w:val="auto"/>
              </w:rPr>
              <w:t>4</w:t>
            </w:r>
          </w:p>
        </w:tc>
        <w:tc>
          <w:tcPr>
            <w:tcW w:w="1460" w:type="dxa"/>
            <w:vAlign w:val="bottom"/>
            <w:tcBorders>
              <w:bottom w:val="single" w:sz="8" w:color="16479F"/>
            </w:tcBorders>
          </w:tcPr>
          <w:p>
            <w:pPr>
              <w:spacing w:after="0"/>
              <w:rPr>
                <w:sz w:val="20"/>
                <w:szCs w:val="20"/>
                <w:color w:val="auto"/>
              </w:rPr>
            </w:pPr>
          </w:p>
        </w:tc>
        <w:tc>
          <w:tcPr>
            <w:tcW w:w="2800" w:type="dxa"/>
            <w:vAlign w:val="bottom"/>
            <w:tcBorders>
              <w:bottom w:val="single" w:sz="8" w:color="16479F"/>
            </w:tcBorders>
          </w:tcPr>
          <w:p>
            <w:pPr>
              <w:spacing w:after="0"/>
              <w:rPr>
                <w:sz w:val="20"/>
                <w:szCs w:val="20"/>
                <w:color w:val="auto"/>
              </w:rPr>
            </w:pPr>
          </w:p>
        </w:tc>
      </w:tr>
      <w:tr>
        <w:trPr>
          <w:trHeight w:val="210"/>
        </w:trPr>
        <w:tc>
          <w:tcPr>
            <w:tcW w:w="3640" w:type="dxa"/>
            <w:vAlign w:val="bottom"/>
            <w:tcBorders>
              <w:bottom w:val="single" w:sz="8" w:color="16479F"/>
            </w:tcBorders>
          </w:tcPr>
          <w:p>
            <w:pPr>
              <w:spacing w:after="0"/>
              <w:rPr>
                <w:sz w:val="18"/>
                <w:szCs w:val="18"/>
                <w:color w:val="auto"/>
              </w:rPr>
            </w:pPr>
          </w:p>
        </w:tc>
        <w:tc>
          <w:tcPr>
            <w:tcW w:w="2240" w:type="dxa"/>
            <w:vAlign w:val="bottom"/>
            <w:tcBorders>
              <w:bottom w:val="single" w:sz="8" w:color="16479F"/>
            </w:tcBorders>
          </w:tcPr>
          <w:p>
            <w:pPr>
              <w:jc w:val="center"/>
              <w:ind w:left="1390"/>
              <w:spacing w:after="0"/>
              <w:rPr>
                <w:sz w:val="20"/>
                <w:szCs w:val="20"/>
                <w:color w:val="auto"/>
              </w:rPr>
            </w:pPr>
            <w:r>
              <w:rPr>
                <w:rFonts w:ascii="Arial" w:cs="Arial" w:eastAsia="Arial" w:hAnsi="Arial"/>
                <w:sz w:val="18"/>
                <w:szCs w:val="18"/>
                <w:b w:val="1"/>
                <w:bCs w:val="1"/>
                <w:color w:val="auto"/>
                <w:w w:val="90"/>
              </w:rPr>
              <w:t>Female</w:t>
            </w:r>
          </w:p>
        </w:tc>
        <w:tc>
          <w:tcPr>
            <w:tcW w:w="1100" w:type="dxa"/>
            <w:vAlign w:val="bottom"/>
            <w:tcBorders>
              <w:bottom w:val="single" w:sz="8" w:color="16479F"/>
            </w:tcBorders>
          </w:tcPr>
          <w:p>
            <w:pPr>
              <w:jc w:val="center"/>
              <w:ind w:left="170"/>
              <w:spacing w:after="0"/>
              <w:rPr>
                <w:sz w:val="20"/>
                <w:szCs w:val="20"/>
                <w:color w:val="auto"/>
              </w:rPr>
            </w:pPr>
            <w:r>
              <w:rPr>
                <w:rFonts w:ascii="Arial" w:cs="Arial" w:eastAsia="Arial" w:hAnsi="Arial"/>
                <w:sz w:val="18"/>
                <w:szCs w:val="18"/>
                <w:b w:val="1"/>
                <w:bCs w:val="1"/>
                <w:color w:val="auto"/>
                <w:w w:val="99"/>
              </w:rPr>
              <w:t>Male</w:t>
            </w:r>
          </w:p>
        </w:tc>
        <w:tc>
          <w:tcPr>
            <w:tcW w:w="1460" w:type="dxa"/>
            <w:vAlign w:val="bottom"/>
            <w:tcBorders>
              <w:bottom w:val="single" w:sz="8" w:color="16479F"/>
            </w:tcBorders>
          </w:tcPr>
          <w:p>
            <w:pPr>
              <w:jc w:val="center"/>
              <w:ind w:right="50"/>
              <w:spacing w:after="0"/>
              <w:rPr>
                <w:sz w:val="20"/>
                <w:szCs w:val="20"/>
                <w:color w:val="auto"/>
              </w:rPr>
            </w:pPr>
            <w:r>
              <w:rPr>
                <w:rFonts w:ascii="Arial" w:cs="Arial" w:eastAsia="Arial" w:hAnsi="Arial"/>
                <w:sz w:val="18"/>
                <w:szCs w:val="18"/>
                <w:b w:val="1"/>
                <w:bCs w:val="1"/>
                <w:color w:val="auto"/>
                <w:w w:val="94"/>
              </w:rPr>
              <w:t>Non-Binary</w:t>
            </w:r>
          </w:p>
        </w:tc>
        <w:tc>
          <w:tcPr>
            <w:tcW w:w="2800" w:type="dxa"/>
            <w:vAlign w:val="bottom"/>
            <w:tcBorders>
              <w:bottom w:val="single" w:sz="8" w:color="16479F"/>
            </w:tcBorders>
          </w:tcPr>
          <w:p>
            <w:pPr>
              <w:jc w:val="center"/>
              <w:ind w:right="150"/>
              <w:spacing w:after="0"/>
              <w:rPr>
                <w:sz w:val="20"/>
                <w:szCs w:val="20"/>
                <w:color w:val="auto"/>
              </w:rPr>
            </w:pPr>
            <w:r>
              <w:rPr>
                <w:rFonts w:ascii="Arial" w:cs="Arial" w:eastAsia="Arial" w:hAnsi="Arial"/>
                <w:sz w:val="18"/>
                <w:szCs w:val="18"/>
                <w:b w:val="1"/>
                <w:bCs w:val="1"/>
                <w:color w:val="auto"/>
                <w:w w:val="89"/>
              </w:rPr>
              <w:t>Did Not Disclose Gender</w:t>
            </w:r>
          </w:p>
        </w:tc>
      </w:tr>
      <w:tr>
        <w:trPr>
          <w:trHeight w:val="191"/>
        </w:trPr>
        <w:tc>
          <w:tcPr>
            <w:tcW w:w="364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Gender:</w:t>
            </w:r>
          </w:p>
        </w:tc>
        <w:tc>
          <w:tcPr>
            <w:tcW w:w="2240" w:type="dxa"/>
            <w:vAlign w:val="bottom"/>
          </w:tcPr>
          <w:p>
            <w:pPr>
              <w:jc w:val="center"/>
              <w:ind w:left="1390"/>
              <w:spacing w:after="0" w:line="191" w:lineRule="exact"/>
              <w:rPr>
                <w:sz w:val="20"/>
                <w:szCs w:val="20"/>
                <w:color w:val="auto"/>
              </w:rPr>
            </w:pPr>
            <w:r>
              <w:rPr>
                <w:rFonts w:ascii="Arial" w:cs="Arial" w:eastAsia="Arial" w:hAnsi="Arial"/>
                <w:sz w:val="18"/>
                <w:szCs w:val="18"/>
                <w:color w:val="auto"/>
                <w:w w:val="79"/>
              </w:rPr>
              <w:t>1</w:t>
            </w:r>
          </w:p>
        </w:tc>
        <w:tc>
          <w:tcPr>
            <w:tcW w:w="1100" w:type="dxa"/>
            <w:vAlign w:val="bottom"/>
          </w:tcPr>
          <w:p>
            <w:pPr>
              <w:jc w:val="center"/>
              <w:ind w:left="170"/>
              <w:spacing w:after="0" w:line="191" w:lineRule="exact"/>
              <w:rPr>
                <w:sz w:val="20"/>
                <w:szCs w:val="20"/>
                <w:color w:val="auto"/>
              </w:rPr>
            </w:pPr>
            <w:r>
              <w:rPr>
                <w:rFonts w:ascii="Arial" w:cs="Arial" w:eastAsia="Arial" w:hAnsi="Arial"/>
                <w:sz w:val="18"/>
                <w:szCs w:val="18"/>
                <w:color w:val="auto"/>
                <w:w w:val="79"/>
              </w:rPr>
              <w:t>3</w:t>
            </w:r>
          </w:p>
        </w:tc>
        <w:tc>
          <w:tcPr>
            <w:tcW w:w="1460" w:type="dxa"/>
            <w:vAlign w:val="bottom"/>
          </w:tcPr>
          <w:p>
            <w:pPr>
              <w:jc w:val="center"/>
              <w:ind w:right="50"/>
              <w:spacing w:after="0" w:line="191" w:lineRule="exact"/>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line="191" w:lineRule="exact"/>
              <w:rPr>
                <w:sz w:val="20"/>
                <w:szCs w:val="20"/>
                <w:color w:val="auto"/>
              </w:rPr>
            </w:pPr>
            <w:r>
              <w:rPr>
                <w:rFonts w:ascii="Arial" w:cs="Arial" w:eastAsia="Arial" w:hAnsi="Arial"/>
                <w:sz w:val="18"/>
                <w:szCs w:val="18"/>
                <w:color w:val="auto"/>
                <w:w w:val="79"/>
              </w:rPr>
              <w:t>0</w:t>
            </w:r>
          </w:p>
        </w:tc>
      </w:tr>
      <w:tr>
        <w:trPr>
          <w:trHeight w:val="220"/>
        </w:trPr>
        <w:tc>
          <w:tcPr>
            <w:tcW w:w="3640" w:type="dxa"/>
            <w:vAlign w:val="bottom"/>
          </w:tcPr>
          <w:p>
            <w:pPr>
              <w:ind w:left="60"/>
              <w:spacing w:after="0"/>
              <w:rPr>
                <w:sz w:val="20"/>
                <w:szCs w:val="20"/>
                <w:color w:val="auto"/>
              </w:rPr>
            </w:pPr>
            <w:r>
              <w:rPr>
                <w:rFonts w:ascii="Arial" w:cs="Arial" w:eastAsia="Arial" w:hAnsi="Arial"/>
                <w:sz w:val="18"/>
                <w:szCs w:val="18"/>
                <w:b w:val="1"/>
                <w:bCs w:val="1"/>
                <w:color w:val="auto"/>
              </w:rPr>
              <w:t>Demographic Background:</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African American or Black</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Alaskan Native or Native American</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Asian</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Hispanic or Latinx</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Native Hawaiian or Pacific Islander</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White</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Two or More Races or Ethnicities</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LGBTQ+</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230"/>
        </w:trPr>
        <w:tc>
          <w:tcPr>
            <w:tcW w:w="3640" w:type="dxa"/>
            <w:vAlign w:val="bottom"/>
          </w:tcPr>
          <w:p>
            <w:pPr>
              <w:ind w:left="360"/>
              <w:spacing w:after="0"/>
              <w:rPr>
                <w:sz w:val="20"/>
                <w:szCs w:val="20"/>
                <w:color w:val="auto"/>
              </w:rPr>
            </w:pPr>
            <w:r>
              <w:rPr>
                <w:rFonts w:ascii="Arial" w:cs="Arial" w:eastAsia="Arial" w:hAnsi="Arial"/>
                <w:sz w:val="18"/>
                <w:szCs w:val="18"/>
                <w:color w:val="auto"/>
                <w:w w:val="94"/>
              </w:rPr>
              <w:t>Did Not Disclose Demographic Background</w:t>
            </w:r>
          </w:p>
        </w:tc>
        <w:tc>
          <w:tcPr>
            <w:tcW w:w="2240" w:type="dxa"/>
            <w:vAlign w:val="bottom"/>
          </w:tcPr>
          <w:p>
            <w:pPr>
              <w:jc w:val="center"/>
              <w:ind w:left="1390"/>
              <w:spacing w:after="0"/>
              <w:rPr>
                <w:sz w:val="20"/>
                <w:szCs w:val="20"/>
                <w:color w:val="auto"/>
              </w:rPr>
            </w:pPr>
            <w:r>
              <w:rPr>
                <w:rFonts w:ascii="Arial" w:cs="Arial" w:eastAsia="Arial" w:hAnsi="Arial"/>
                <w:sz w:val="18"/>
                <w:szCs w:val="18"/>
                <w:color w:val="auto"/>
                <w:w w:val="79"/>
              </w:rPr>
              <w:t>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79"/>
              </w:rPr>
              <w:t>0</w:t>
            </w:r>
          </w:p>
        </w:tc>
        <w:tc>
          <w:tcPr>
            <w:tcW w:w="2800" w:type="dxa"/>
            <w:vAlign w:val="bottom"/>
          </w:tcPr>
          <w:p>
            <w:pPr>
              <w:jc w:val="center"/>
              <w:ind w:right="150"/>
              <w:spacing w:after="0"/>
              <w:rPr>
                <w:sz w:val="20"/>
                <w:szCs w:val="20"/>
                <w:color w:val="auto"/>
              </w:rPr>
            </w:pPr>
            <w:r>
              <w:rPr>
                <w:rFonts w:ascii="Arial" w:cs="Arial" w:eastAsia="Arial" w:hAnsi="Arial"/>
                <w:sz w:val="18"/>
                <w:szCs w:val="18"/>
                <w:color w:val="auto"/>
                <w:w w:val="79"/>
              </w:rPr>
              <w:t>0</w:t>
            </w:r>
          </w:p>
        </w:tc>
      </w:tr>
      <w:tr>
        <w:trPr>
          <w:trHeight w:val="459"/>
        </w:trPr>
        <w:tc>
          <w:tcPr>
            <w:tcW w:w="3640" w:type="dxa"/>
            <w:vAlign w:val="bottom"/>
          </w:tcPr>
          <w:p>
            <w:pPr>
              <w:spacing w:after="0"/>
              <w:rPr>
                <w:sz w:val="24"/>
                <w:szCs w:val="24"/>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29"/>
        </w:trPr>
        <w:tc>
          <w:tcPr>
            <w:tcW w:w="36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left="20" w:firstLine="643"/>
        <w:spacing w:after="0" w:line="293"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2022, we believe that each person who, at any time during such fiscal year was a director, officer, or beneficial owner of more than 10% of our common stock complied with all Section 16(a) filing requirements during such period, except for the following: Derek Graham, our Chief Executive Officer, was late in filing a Form 3 on July 11, 2022 and a Form 4 on July 11,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440" w:type="dxa"/>
            <w:vAlign w:val="bottom"/>
            <w:gridSpan w:val="3"/>
          </w:tcPr>
          <w:p>
            <w:pPr>
              <w:ind w:left="140"/>
              <w:spacing w:after="0"/>
              <w:rPr>
                <w:sz w:val="20"/>
                <w:szCs w:val="20"/>
                <w:color w:val="auto"/>
              </w:rPr>
            </w:pPr>
            <w:r>
              <w:rPr>
                <w:rFonts w:ascii="Arial" w:cs="Arial" w:eastAsia="Arial" w:hAnsi="Arial"/>
                <w:sz w:val="18"/>
                <w:szCs w:val="18"/>
                <w:b w:val="1"/>
                <w:bCs w:val="1"/>
                <w:color w:val="auto"/>
              </w:rPr>
              <w:t>Position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Officer Since</w:t>
            </w:r>
          </w:p>
        </w:tc>
      </w:tr>
      <w:tr>
        <w:trPr>
          <w:trHeight w:val="216"/>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Derek L. Graham</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40" w:type="dxa"/>
            <w:vAlign w:val="bottom"/>
            <w:tcBorders>
              <w:top w:val="single" w:sz="8" w:color="CCEEFF"/>
            </w:tcBorders>
            <w:shd w:val="clear" w:color="auto" w:fill="CCEEFF"/>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29"/>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Narsi Narayanan</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64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Chief Financial Officer and Corporate Secretary</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r>
    </w:tbl>
    <w:p>
      <w:pPr>
        <w:spacing w:after="0" w:line="198"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7"/>
          <w:szCs w:val="17"/>
          <w:b w:val="1"/>
          <w:bCs w:val="1"/>
          <w:color w:val="auto"/>
        </w:rPr>
        <w:t xml:space="preserve">Derek Graham </w:t>
      </w:r>
      <w:r>
        <w:rPr>
          <w:rFonts w:ascii="Arial" w:cs="Arial" w:eastAsia="Arial" w:hAnsi="Arial"/>
          <w:sz w:val="17"/>
          <w:szCs w:val="17"/>
          <w:color w:val="auto"/>
        </w:rPr>
        <w:t>is our Chief Executive Officer. He was appointed as Interim CEO in May 2022 and was confirmed as the permanent CEO in</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187"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our current Chief Financial Officer, has been serving us since July 2009. He has over three decades of professional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in accounting, finance, taxes, and operations. Prior to joining us, he managed the SEC reporting, US GAAP accounting research, Sarbanes-Oxley Act (“SOX”) compliance, and other financial reporting functions at Solo Cup Company, a publicly-reporting international consumer products company that was acquired by Dart Container in 2012. He also managed the accounting and finance functions, including SEC Reporting, SOX compliance, and US GAAP accounting research, at eCollege.com, a leading technology company serving private educational institutions, which was also a publicly-reporting company before being acquired by Pearson Education group. Mr. Narayanan has extensive experience working in public accounting and in senior finance positions in India with a large conglomerate prior to his move to the USA in 2001. He is a Certified Public Accountant and a Chartered Accountant, and holds a Bachelor’s degree in Accounting from the University of Madras, an MBA from the University of Illinois-Chicago, and a Master’s degree in accounting from the University of Utah.</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officers for the years ended December 31, 2022 and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9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SUMMARY COMPENSATION TABLE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Non-Equity</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Incentive Plan</w:t>
            </w: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51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Salary</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Awards</w:t>
            </w:r>
          </w:p>
        </w:tc>
        <w:tc>
          <w:tcPr>
            <w:tcW w:w="1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Compensation</w:t>
            </w:r>
          </w:p>
        </w:tc>
        <w:tc>
          <w:tcPr>
            <w:tcW w:w="1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2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30"/>
        </w:trPr>
        <w:tc>
          <w:tcPr>
            <w:tcW w:w="510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b w:val="1"/>
                <w:bCs w:val="1"/>
                <w:color w:val="auto"/>
              </w:rPr>
              <w:t xml:space="preserve">Derek Graham </w:t>
            </w:r>
            <w:r>
              <w:rPr>
                <w:rFonts w:ascii="Arial" w:cs="Arial" w:eastAsia="Arial" w:hAnsi="Arial"/>
                <w:sz w:val="18"/>
                <w:szCs w:val="18"/>
                <w:color w:val="auto"/>
              </w:rPr>
              <w:t>- Chief Executive Officer</w:t>
            </w:r>
            <w:r>
              <w:rPr>
                <w:rFonts w:ascii="Arial" w:cs="Arial" w:eastAsia="Arial" w:hAnsi="Arial"/>
                <w:sz w:val="24"/>
                <w:szCs w:val="24"/>
                <w:color w:val="auto"/>
                <w:vertAlign w:val="superscript"/>
              </w:rPr>
              <w:t>(1)</w:t>
            </w: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5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December 31, 2022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221,625</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221,625</w:t>
            </w:r>
          </w:p>
        </w:tc>
        <w:tc>
          <w:tcPr>
            <w:tcW w:w="60" w:type="dxa"/>
            <w:vAlign w:val="bottom"/>
            <w:tcBorders>
              <w:bottom w:val="single" w:sz="8" w:color="auto"/>
            </w:tcBorders>
          </w:tcPr>
          <w:p>
            <w:pPr>
              <w:spacing w:after="0"/>
              <w:rPr>
                <w:sz w:val="18"/>
                <w:szCs w:val="18"/>
                <w:color w:val="auto"/>
              </w:rPr>
            </w:pPr>
          </w:p>
        </w:tc>
      </w:tr>
      <w:tr>
        <w:trPr>
          <w:trHeight w:val="21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Chief Financial Officer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230,000</w:t>
            </w:r>
          </w:p>
        </w:tc>
        <w:tc>
          <w:tcPr>
            <w:tcW w:w="60" w:type="dxa"/>
            <w:vAlign w:val="bottom"/>
          </w:tcPr>
          <w:p>
            <w:pPr>
              <w:spacing w:after="0"/>
              <w:rPr>
                <w:sz w:val="18"/>
                <w:szCs w:val="18"/>
                <w:color w:val="auto"/>
              </w:rPr>
            </w:pPr>
          </w:p>
        </w:tc>
      </w:tr>
      <w:tr>
        <w:trPr>
          <w:trHeight w:val="216"/>
        </w:trPr>
        <w:tc>
          <w:tcPr>
            <w:tcW w:w="5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221,625</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251,625</w:t>
            </w:r>
          </w:p>
        </w:tc>
        <w:tc>
          <w:tcPr>
            <w:tcW w:w="60" w:type="dxa"/>
            <w:vAlign w:val="bottom"/>
            <w:tcBorders>
              <w:bottom w:val="single" w:sz="8" w:color="auto"/>
            </w:tcBorders>
            <w:shd w:val="clear" w:color="auto" w:fill="CCEEFF"/>
          </w:tcPr>
          <w:p>
            <w:pPr>
              <w:spacing w:after="0"/>
              <w:rPr>
                <w:sz w:val="18"/>
                <w:szCs w:val="18"/>
                <w:color w:val="auto"/>
              </w:rPr>
            </w:pPr>
          </w:p>
        </w:tc>
      </w:tr>
      <w:tr>
        <w:trPr>
          <w:trHeight w:val="223"/>
        </w:trPr>
        <w:tc>
          <w:tcPr>
            <w:tcW w:w="5160" w:type="dxa"/>
            <w:vAlign w:val="bottom"/>
            <w:gridSpan w:val="2"/>
          </w:tcPr>
          <w:p>
            <w:pPr>
              <w:ind w:left="20"/>
              <w:spacing w:after="0" w:line="222" w:lineRule="exact"/>
              <w:rPr>
                <w:sz w:val="20"/>
                <w:szCs w:val="20"/>
                <w:color w:val="auto"/>
              </w:rPr>
            </w:pPr>
            <w:r>
              <w:rPr>
                <w:rFonts w:ascii="Arial" w:cs="Arial" w:eastAsia="Arial" w:hAnsi="Arial"/>
                <w:sz w:val="18"/>
                <w:szCs w:val="18"/>
                <w:b w:val="1"/>
                <w:bCs w:val="1"/>
                <w:color w:val="auto"/>
              </w:rPr>
              <w:t xml:space="preserve">Zeynep Hakimoglu </w:t>
            </w:r>
            <w:r>
              <w:rPr>
                <w:rFonts w:ascii="Arial" w:cs="Arial" w:eastAsia="Arial" w:hAnsi="Arial"/>
                <w:sz w:val="18"/>
                <w:szCs w:val="18"/>
                <w:color w:val="auto"/>
              </w:rPr>
              <w:t>- Chief Executive Officer &amp; President</w:t>
            </w:r>
            <w:r>
              <w:rPr>
                <w:rFonts w:ascii="Arial" w:cs="Arial" w:eastAsia="Arial" w:hAnsi="Arial"/>
                <w:sz w:val="24"/>
                <w:szCs w:val="24"/>
                <w:color w:val="auto"/>
                <w:vertAlign w:val="superscript"/>
              </w:rPr>
              <w:t>(1)</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335,652</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388,750</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418,750</w:t>
            </w:r>
          </w:p>
        </w:tc>
        <w:tc>
          <w:tcPr>
            <w:tcW w:w="6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left="280" w:right="20" w:hanging="263"/>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Zeynep Hakimoglu served as CEO and President till May 24, 2022, when her employment with ClearOne was terminated. Derek L. Graham was appointed as Interim CEO on May 24, 2022 and became the permanent CEO on Jan 26, 2023.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ind w:right="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2720" w:type="dxa"/>
            <w:vAlign w:val="bottom"/>
            <w:gridSpan w:val="3"/>
          </w:tcPr>
          <w:p>
            <w:pPr>
              <w:ind w:left="200"/>
              <w:spacing w:after="0"/>
              <w:rPr>
                <w:sz w:val="20"/>
                <w:szCs w:val="20"/>
                <w:color w:val="auto"/>
              </w:rPr>
            </w:pPr>
            <w:r>
              <w:rPr>
                <w:rFonts w:ascii="Arial" w:cs="Arial" w:eastAsia="Arial" w:hAnsi="Arial"/>
                <w:sz w:val="16"/>
                <w:szCs w:val="16"/>
                <w:b w:val="1"/>
                <w:bCs w:val="1"/>
                <w:color w:val="auto"/>
              </w:rPr>
              <w:t>Number of Securities Underlying</w:t>
            </w: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Option Exercise</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Option Grant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Option</w:t>
            </w:r>
          </w:p>
        </w:tc>
      </w:tr>
      <w:tr>
        <w:trPr>
          <w:trHeight w:val="250"/>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6"/>
                <w:szCs w:val="16"/>
                <w:b w:val="1"/>
                <w:bCs w:val="1"/>
                <w:color w:val="auto"/>
              </w:rPr>
              <w:t>Unexercised Options</w:t>
            </w:r>
          </w:p>
        </w:tc>
        <w:tc>
          <w:tcPr>
            <w:tcW w:w="2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 ($)</w:t>
            </w: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Expiration Date</w:t>
            </w:r>
          </w:p>
        </w:tc>
      </w:tr>
      <w:tr>
        <w:trPr>
          <w:trHeight w:val="213"/>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Exercisable</w:t>
            </w: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w w:val="99"/>
              </w:rPr>
              <w:t>Unexercisable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Derek Graham</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9-12-2024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12-14-2020</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Borders>
              <w:bottom w:val="single" w:sz="8" w:color="auto"/>
            </w:tcBorders>
          </w:tcPr>
          <w:p>
            <w:pPr>
              <w:spacing w:after="0"/>
              <w:rPr>
                <w:sz w:val="18"/>
                <w:szCs w:val="18"/>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Narsi Narayanan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8-22-2013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8-22-2023</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8.340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9-12-2014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9-12-2024</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12-14-2016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6-1-2027</w:t>
            </w: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460" w:right="500" w:hanging="434"/>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spacing w:after="0" w:line="18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grants of stock options to named executive officers during 2022.</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exercises of stock options by named executive officers during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Confidential </w:t>
      </w:r>
      <w:r>
        <w:rPr>
          <w:rFonts w:ascii="Arial" w:cs="Arial" w:eastAsia="Arial" w:hAnsi="Arial"/>
          <w:sz w:val="16"/>
          <w:szCs w:val="16"/>
          <w:i w:val="1"/>
          <w:iCs w:val="1"/>
          <w:color w:val="auto"/>
        </w:rPr>
        <w:t>Separation Agreement and General Release with former chief executive officer</w:t>
      </w:r>
      <w:r>
        <w:rPr>
          <w:rFonts w:ascii="Arial" w:cs="Arial" w:eastAsia="Arial" w:hAnsi="Arial"/>
          <w:sz w:val="16"/>
          <w:szCs w:val="16"/>
          <w:color w:val="auto"/>
        </w:rPr>
        <w:t>. On August 15, 2022, we entered into a confidential separation agreement and general release with Zeynep Hakimoglu, our former chief executive officer, pursuant to which Ms. Hakimoglu was paid $146,153.89 in cash as severance and for her continued cooperation in the Company’s intellectual property litigation that was pending at the time.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2022, none of our named executive officers was party to an employment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agreement with us, and each named executive officer’s employment was on an “at-will” basis, permitting either us or the executive to terminate his or her employment for any reason or for no reason.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all of such optionee’s unvested stock options will vest and become exercisable immediately prior to the event or the closing of the transaction causing the change in control.</w:t>
      </w:r>
    </w:p>
    <w:p>
      <w:pPr>
        <w:spacing w:after="0" w:line="184" w:lineRule="exact"/>
        <w:rPr>
          <w:sz w:val="20"/>
          <w:szCs w:val="20"/>
          <w:color w:val="auto"/>
        </w:rPr>
      </w:pPr>
    </w:p>
    <w:p>
      <w:pPr>
        <w:jc w:val="both"/>
        <w:ind w:firstLine="693"/>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 change in ownership or control of the Company effected through either of the following transactions:</w:t>
      </w:r>
    </w:p>
    <w:p>
      <w:pPr>
        <w:spacing w:after="0" w:line="157" w:lineRule="exact"/>
        <w:rPr>
          <w:sz w:val="20"/>
          <w:szCs w:val="20"/>
          <w:color w:val="auto"/>
        </w:rPr>
      </w:pPr>
    </w:p>
    <w:p>
      <w:pPr>
        <w:jc w:val="both"/>
        <w:ind w:left="660" w:hanging="4"/>
        <w:spacing w:after="0" w:line="259" w:lineRule="auto"/>
        <w:tabs>
          <w:tab w:leader="none" w:pos="8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At our stock price of about $0.67 on November 10, 2023, none of our named executive officers would benefit from any potential accelerated vesting of unvested stock options.</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4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2022. Ms. Hakimoglu did not receive additional compensation for her service as a director.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Fees Earned</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or Paid in</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Cash</w:t>
            </w: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Compensation</w:t>
            </w:r>
          </w:p>
        </w:tc>
        <w:tc>
          <w:tcPr>
            <w:tcW w:w="3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Larry R. Hendricks</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2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Lisa B. Higley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L. Robinson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Bruce Whaley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33,600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directors are reimbursed by the Company for their out-of-pocket travel and related expenses, if any, incurred in attending all Board of Directors and committee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Consulting Agreement with Edward D. Bagley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2022, he was paid $60,000 as consulting fees and did not receive any grants for stock options.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an opinion on the conformity of the Company’s 2022 audited financial statements to accounting principles generally accepted in the United States of America.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context, the Audit and Compliance Committee hereby reports as follows:</w:t>
      </w:r>
    </w:p>
    <w:p>
      <w:pPr>
        <w:spacing w:after="0" w:line="225" w:lineRule="exact"/>
        <w:rPr>
          <w:sz w:val="20"/>
          <w:szCs w:val="20"/>
          <w:color w:val="auto"/>
        </w:rPr>
      </w:pPr>
    </w:p>
    <w:p>
      <w:pPr>
        <w:jc w:val="both"/>
        <w:ind w:firstLine="656"/>
        <w:spacing w:after="0" w:line="263" w:lineRule="auto"/>
        <w:tabs>
          <w:tab w:leader="none" w:pos="10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and Compliance Committee has reviewed and discussed the 2022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83" w:lineRule="exact"/>
        <w:rPr>
          <w:rFonts w:ascii="Arial" w:cs="Arial" w:eastAsia="Arial" w:hAnsi="Arial"/>
          <w:sz w:val="18"/>
          <w:szCs w:val="18"/>
          <w:color w:val="auto"/>
        </w:rPr>
      </w:pPr>
    </w:p>
    <w:p>
      <w:pPr>
        <w:ind w:firstLine="656"/>
        <w:spacing w:after="0" w:line="277" w:lineRule="auto"/>
        <w:tabs>
          <w:tab w:leader="none" w:pos="10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accountants the matters required to be discussed by the applicable requirements of the Public Company Accounting Oversight Board and the Securities and Exchange Commission;</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0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77" w:lineRule="exact"/>
        <w:rPr>
          <w:rFonts w:ascii="Arial" w:cs="Arial" w:eastAsia="Arial" w:hAnsi="Arial"/>
          <w:sz w:val="17"/>
          <w:szCs w:val="17"/>
          <w:color w:val="auto"/>
        </w:rPr>
      </w:pPr>
    </w:p>
    <w:p>
      <w:pPr>
        <w:jc w:val="both"/>
        <w:ind w:firstLine="656"/>
        <w:spacing w:after="0" w:line="311" w:lineRule="auto"/>
        <w:tabs>
          <w:tab w:leader="none" w:pos="10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2022, which were filed with the Securities and Exchange Commission on March 31, 2023.</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L. Robinson (Chair), Larry R. Hendricks and Bruce Whaley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PAY VERSUS PERFORMANCE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Section 953(a) of the Dodd-Frank Act and Item 402(v) of SEC Regulation S-K, we are providing the following information about the relationship between executive “compensation actually paid” (or “CAP”), as defined by SEC rules, to the Company’s principal executive officer (“PEO”) and non-PEO named executive officer (the “Non-PEO NEOs”) and certain aspects of the financial performance of the Company. The Compensation Committee does not utilize CAP as the basis for making compensation decisions.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table sets forth certain information regarding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252525"/>
        </w:rPr>
        <w:t>versus performance</w:t>
      </w:r>
      <w:r>
        <w:rPr>
          <w:rFonts w:ascii="Arial" w:cs="Arial" w:eastAsia="Arial" w:hAnsi="Arial"/>
          <w:sz w:val="18"/>
          <w:szCs w:val="18"/>
          <w:color w:val="auto"/>
        </w:rPr>
        <w:t xml:space="preserve"> as of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Summary</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Summary Compensation</w:t>
            </w:r>
          </w:p>
        </w:tc>
        <w:tc>
          <w:tcPr>
            <w:tcW w:w="180" w:type="dxa"/>
            <w:vAlign w:val="bottom"/>
          </w:tcPr>
          <w:p>
            <w:pPr>
              <w:spacing w:after="0"/>
              <w:rPr>
                <w:sz w:val="17"/>
                <w:szCs w:val="17"/>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7"/>
                <w:szCs w:val="17"/>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ClearOne</w:t>
            </w:r>
          </w:p>
        </w:tc>
        <w:tc>
          <w:tcPr>
            <w:tcW w:w="24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Compensation</w:t>
            </w:r>
          </w:p>
        </w:tc>
        <w:tc>
          <w:tcPr>
            <w:tcW w:w="1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Compensation</w:t>
            </w:r>
          </w:p>
        </w:tc>
        <w:tc>
          <w:tcPr>
            <w:tcW w:w="12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24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Table Total</w:t>
            </w:r>
          </w:p>
        </w:tc>
        <w:tc>
          <w:tcPr>
            <w:tcW w:w="1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Actually Paid</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Table Total for Non-PEO</w:t>
            </w:r>
          </w:p>
        </w:tc>
        <w:tc>
          <w:tcPr>
            <w:tcW w:w="17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Actually Paid to Non-</w:t>
            </w:r>
          </w:p>
        </w:tc>
        <w:tc>
          <w:tcPr>
            <w:tcW w:w="22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Shareholder</w:t>
            </w:r>
          </w:p>
        </w:tc>
        <w:tc>
          <w:tcPr>
            <w:tcW w:w="24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7"/>
              </w:rPr>
              <w:t>(Loss)</w:t>
            </w:r>
          </w:p>
        </w:tc>
        <w:tc>
          <w:tcPr>
            <w:tcW w:w="0" w:type="dxa"/>
            <w:vAlign w:val="bottom"/>
          </w:tcPr>
          <w:p>
            <w:pPr>
              <w:spacing w:after="0"/>
              <w:rPr>
                <w:sz w:val="1"/>
                <w:szCs w:val="1"/>
                <w:color w:val="auto"/>
              </w:rPr>
            </w:pPr>
          </w:p>
        </w:tc>
      </w:tr>
      <w:tr>
        <w:trPr>
          <w:trHeight w:val="283"/>
        </w:trPr>
        <w:tc>
          <w:tcPr>
            <w:tcW w:w="1200" w:type="dxa"/>
            <w:vAlign w:val="bottom"/>
            <w:gridSpan w:val="2"/>
          </w:tcPr>
          <w:p>
            <w:pPr>
              <w:ind w:left="300"/>
              <w:spacing w:after="0" w:line="282" w:lineRule="exact"/>
              <w:rPr>
                <w:sz w:val="20"/>
                <w:szCs w:val="20"/>
                <w:color w:val="auto"/>
              </w:rPr>
            </w:pPr>
            <w:r>
              <w:rPr>
                <w:rFonts w:ascii="Arial" w:cs="Arial" w:eastAsia="Arial" w:hAnsi="Arial"/>
                <w:sz w:val="16"/>
                <w:szCs w:val="16"/>
                <w:b w:val="1"/>
                <w:bCs w:val="1"/>
                <w:color w:val="auto"/>
              </w:rPr>
              <w:t xml:space="preserve">Year </w:t>
            </w:r>
            <w:r>
              <w:rPr>
                <w:rFonts w:ascii="Arial" w:cs="Arial" w:eastAsia="Arial" w:hAnsi="Arial"/>
                <w:sz w:val="26"/>
                <w:szCs w:val="26"/>
                <w:b w:val="1"/>
                <w:bCs w:val="1"/>
                <w:color w:val="auto"/>
                <w:vertAlign w:val="superscript"/>
              </w:rPr>
              <w:t>(1)</w:t>
            </w:r>
          </w:p>
        </w:tc>
        <w:tc>
          <w:tcPr>
            <w:tcW w:w="120" w:type="dxa"/>
            <w:vAlign w:val="bottom"/>
          </w:tcPr>
          <w:p>
            <w:pPr>
              <w:spacing w:after="0"/>
              <w:rPr>
                <w:sz w:val="24"/>
                <w:szCs w:val="24"/>
                <w:color w:val="auto"/>
              </w:rPr>
            </w:pPr>
          </w:p>
        </w:tc>
        <w:tc>
          <w:tcPr>
            <w:tcW w:w="1340" w:type="dxa"/>
            <w:vAlign w:val="bottom"/>
            <w:gridSpan w:val="2"/>
          </w:tcPr>
          <w:p>
            <w:pPr>
              <w:jc w:val="center"/>
              <w:ind w:right="260"/>
              <w:spacing w:after="0" w:line="282" w:lineRule="exact"/>
              <w:rPr>
                <w:sz w:val="20"/>
                <w:szCs w:val="20"/>
                <w:color w:val="auto"/>
              </w:rPr>
            </w:pPr>
            <w:r>
              <w:rPr>
                <w:rFonts w:ascii="Arial" w:cs="Arial" w:eastAsia="Arial" w:hAnsi="Arial"/>
                <w:sz w:val="16"/>
                <w:szCs w:val="16"/>
                <w:b w:val="1"/>
                <w:bCs w:val="1"/>
                <w:color w:val="auto"/>
                <w:w w:val="91"/>
              </w:rPr>
              <w:t>for PEO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4"/>
                <w:szCs w:val="24"/>
                <w:color w:val="auto"/>
              </w:rPr>
            </w:pPr>
          </w:p>
        </w:tc>
        <w:tc>
          <w:tcPr>
            <w:tcW w:w="1300" w:type="dxa"/>
            <w:vAlign w:val="bottom"/>
            <w:gridSpan w:val="2"/>
          </w:tcPr>
          <w:p>
            <w:pPr>
              <w:jc w:val="center"/>
              <w:ind w:right="280"/>
              <w:spacing w:after="0" w:line="282" w:lineRule="exact"/>
              <w:rPr>
                <w:sz w:val="20"/>
                <w:szCs w:val="20"/>
                <w:color w:val="auto"/>
              </w:rPr>
            </w:pPr>
            <w:r>
              <w:rPr>
                <w:rFonts w:ascii="Arial" w:cs="Arial" w:eastAsia="Arial" w:hAnsi="Arial"/>
                <w:sz w:val="16"/>
                <w:szCs w:val="16"/>
                <w:b w:val="1"/>
                <w:bCs w:val="1"/>
                <w:color w:val="auto"/>
                <w:w w:val="91"/>
              </w:rPr>
              <w:t>to PEO ($)</w:t>
            </w:r>
            <w:r>
              <w:rPr>
                <w:rFonts w:ascii="Arial" w:cs="Arial" w:eastAsia="Arial" w:hAnsi="Arial"/>
                <w:sz w:val="26"/>
                <w:szCs w:val="26"/>
                <w:b w:val="1"/>
                <w:bCs w:val="1"/>
                <w:color w:val="auto"/>
                <w:w w:val="91"/>
                <w:vertAlign w:val="superscript"/>
              </w:rPr>
              <w:t>(3)</w:t>
            </w:r>
          </w:p>
        </w:tc>
        <w:tc>
          <w:tcPr>
            <w:tcW w:w="120" w:type="dxa"/>
            <w:vAlign w:val="bottom"/>
          </w:tcPr>
          <w:p>
            <w:pPr>
              <w:spacing w:after="0"/>
              <w:rPr>
                <w:sz w:val="24"/>
                <w:szCs w:val="24"/>
                <w:color w:val="auto"/>
              </w:rPr>
            </w:pPr>
          </w:p>
        </w:tc>
        <w:tc>
          <w:tcPr>
            <w:tcW w:w="2020" w:type="dxa"/>
            <w:vAlign w:val="bottom"/>
            <w:gridSpan w:val="2"/>
          </w:tcPr>
          <w:p>
            <w:pPr>
              <w:jc w:val="center"/>
              <w:ind w:right="280"/>
              <w:spacing w:after="0" w:line="282" w:lineRule="exact"/>
              <w:rPr>
                <w:sz w:val="20"/>
                <w:szCs w:val="20"/>
                <w:color w:val="auto"/>
              </w:rPr>
            </w:pPr>
            <w:r>
              <w:rPr>
                <w:rFonts w:ascii="Arial" w:cs="Arial" w:eastAsia="Arial" w:hAnsi="Arial"/>
                <w:sz w:val="16"/>
                <w:szCs w:val="16"/>
                <w:b w:val="1"/>
                <w:bCs w:val="1"/>
                <w:color w:val="auto"/>
                <w:w w:val="92"/>
              </w:rPr>
              <w:t>NEO ($)</w:t>
            </w:r>
            <w:r>
              <w:rPr>
                <w:rFonts w:ascii="Arial" w:cs="Arial" w:eastAsia="Arial" w:hAnsi="Arial"/>
                <w:sz w:val="26"/>
                <w:szCs w:val="26"/>
                <w:b w:val="1"/>
                <w:bCs w:val="1"/>
                <w:color w:val="auto"/>
                <w:w w:val="92"/>
                <w:vertAlign w:val="superscript"/>
              </w:rPr>
              <w:t>(2)</w:t>
            </w:r>
          </w:p>
        </w:tc>
        <w:tc>
          <w:tcPr>
            <w:tcW w:w="180" w:type="dxa"/>
            <w:vAlign w:val="bottom"/>
          </w:tcPr>
          <w:p>
            <w:pPr>
              <w:spacing w:after="0"/>
              <w:rPr>
                <w:sz w:val="24"/>
                <w:szCs w:val="24"/>
                <w:color w:val="auto"/>
              </w:rPr>
            </w:pPr>
          </w:p>
        </w:tc>
        <w:tc>
          <w:tcPr>
            <w:tcW w:w="1580" w:type="dxa"/>
            <w:vAlign w:val="bottom"/>
            <w:gridSpan w:val="2"/>
          </w:tcPr>
          <w:p>
            <w:pPr>
              <w:jc w:val="center"/>
              <w:ind w:right="340"/>
              <w:spacing w:after="0" w:line="282" w:lineRule="exact"/>
              <w:rPr>
                <w:sz w:val="20"/>
                <w:szCs w:val="20"/>
                <w:color w:val="auto"/>
              </w:rPr>
            </w:pPr>
            <w:r>
              <w:rPr>
                <w:rFonts w:ascii="Arial" w:cs="Arial" w:eastAsia="Arial" w:hAnsi="Arial"/>
                <w:sz w:val="16"/>
                <w:szCs w:val="16"/>
                <w:b w:val="1"/>
                <w:bCs w:val="1"/>
                <w:color w:val="auto"/>
                <w:w w:val="94"/>
              </w:rPr>
              <w:t>PEO NEO ($)</w:t>
            </w:r>
            <w:r>
              <w:rPr>
                <w:rFonts w:ascii="Arial" w:cs="Arial" w:eastAsia="Arial" w:hAnsi="Arial"/>
                <w:sz w:val="26"/>
                <w:szCs w:val="26"/>
                <w:b w:val="1"/>
                <w:bCs w:val="1"/>
                <w:color w:val="auto"/>
                <w:w w:val="94"/>
                <w:vertAlign w:val="superscript"/>
              </w:rPr>
              <w:t>(3)</w:t>
            </w:r>
          </w:p>
        </w:tc>
        <w:tc>
          <w:tcPr>
            <w:tcW w:w="220" w:type="dxa"/>
            <w:vAlign w:val="bottom"/>
          </w:tcPr>
          <w:p>
            <w:pPr>
              <w:spacing w:after="0"/>
              <w:rPr>
                <w:sz w:val="24"/>
                <w:szCs w:val="24"/>
                <w:color w:val="auto"/>
              </w:rPr>
            </w:pPr>
          </w:p>
        </w:tc>
        <w:tc>
          <w:tcPr>
            <w:tcW w:w="1520" w:type="dxa"/>
            <w:vAlign w:val="bottom"/>
            <w:gridSpan w:val="2"/>
          </w:tcPr>
          <w:p>
            <w:pPr>
              <w:jc w:val="center"/>
              <w:ind w:right="380"/>
              <w:spacing w:after="0" w:line="282" w:lineRule="exact"/>
              <w:rPr>
                <w:sz w:val="20"/>
                <w:szCs w:val="20"/>
                <w:color w:val="auto"/>
              </w:rPr>
            </w:pPr>
            <w:r>
              <w:rPr>
                <w:rFonts w:ascii="Arial" w:cs="Arial" w:eastAsia="Arial" w:hAnsi="Arial"/>
                <w:sz w:val="16"/>
                <w:szCs w:val="16"/>
                <w:b w:val="1"/>
                <w:bCs w:val="1"/>
                <w:color w:val="auto"/>
                <w:w w:val="92"/>
              </w:rPr>
              <w:t>Return ($)</w:t>
            </w:r>
            <w:r>
              <w:rPr>
                <w:rFonts w:ascii="Arial" w:cs="Arial" w:eastAsia="Arial" w:hAnsi="Arial"/>
                <w:sz w:val="26"/>
                <w:szCs w:val="26"/>
                <w:b w:val="1"/>
                <w:bCs w:val="1"/>
                <w:color w:val="auto"/>
                <w:w w:val="92"/>
                <w:vertAlign w:val="superscript"/>
              </w:rPr>
              <w:t>(4)</w:t>
            </w:r>
          </w:p>
        </w:tc>
        <w:tc>
          <w:tcPr>
            <w:tcW w:w="240" w:type="dxa"/>
            <w:vAlign w:val="bottom"/>
          </w:tcPr>
          <w:p>
            <w:pPr>
              <w:spacing w:after="0"/>
              <w:rPr>
                <w:sz w:val="24"/>
                <w:szCs w:val="24"/>
                <w:color w:val="auto"/>
              </w:rPr>
            </w:pPr>
          </w:p>
        </w:tc>
        <w:tc>
          <w:tcPr>
            <w:tcW w:w="1100" w:type="dxa"/>
            <w:vAlign w:val="bottom"/>
          </w:tcPr>
          <w:p>
            <w:pPr>
              <w:jc w:val="center"/>
              <w:ind w:right="156"/>
              <w:spacing w:after="0" w:line="282" w:lineRule="exact"/>
              <w:rPr>
                <w:sz w:val="20"/>
                <w:szCs w:val="20"/>
                <w:color w:val="auto"/>
              </w:rPr>
            </w:pPr>
            <w:r>
              <w:rPr>
                <w:rFonts w:ascii="Arial" w:cs="Arial" w:eastAsia="Arial" w:hAnsi="Arial"/>
                <w:sz w:val="16"/>
                <w:szCs w:val="16"/>
                <w:b w:val="1"/>
                <w:bCs w:val="1"/>
                <w:color w:val="auto"/>
                <w:w w:val="85"/>
              </w:rPr>
              <w:t>($000)</w:t>
            </w:r>
            <w:r>
              <w:rPr>
                <w:rFonts w:ascii="Arial" w:cs="Arial" w:eastAsia="Arial" w:hAnsi="Arial"/>
                <w:sz w:val="26"/>
                <w:szCs w:val="26"/>
                <w:b w:val="1"/>
                <w:bCs w:val="1"/>
                <w:color w:val="auto"/>
                <w:w w:val="85"/>
                <w:vertAlign w:val="superscript"/>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89"/>
              </w:rPr>
              <w:t>2022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557,277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222,409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89"/>
              </w:rPr>
              <w:t>2021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418,750</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378,848</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251,625</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227,684</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80" w:right="200" w:hanging="454"/>
        <w:spacing w:after="0" w:line="281"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Zeynep Hakimoglu served as PEO in 2021 and in 2022 till May 24, 2022, when her employment with ClearOne was terminated. Derek L. Graham served as PEO for the remaining part of 2022. Narsi Narayanan was our only Non-PEO NEO for the 2021 and 2022.</w:t>
      </w:r>
    </w:p>
    <w:p>
      <w:pPr>
        <w:spacing w:after="0" w:line="1" w:lineRule="exact"/>
        <w:rPr>
          <w:rFonts w:ascii="Arial" w:cs="Arial" w:eastAsia="Arial" w:hAnsi="Arial"/>
          <w:sz w:val="17"/>
          <w:szCs w:val="17"/>
          <w:color w:val="auto"/>
        </w:rPr>
      </w:pPr>
    </w:p>
    <w:p>
      <w:pPr>
        <w:jc w:val="both"/>
        <w:ind w:left="480" w:right="260" w:hanging="454"/>
        <w:spacing w:after="0" w:line="260"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reported in these columns represent (i) the total compensation reported in the Summary Compensation Table (“SCT”) for the applicable years in the case of our PEOs, Zeynep Hakimoglu and Derek Graham, and (ii) total compensation reported in the SCT for the applicable years for Narsi Narayana, our only Non-PEO NEO for the applicable years.</w:t>
      </w:r>
    </w:p>
    <w:p>
      <w:pPr>
        <w:spacing w:after="0" w:line="2" w:lineRule="exact"/>
        <w:rPr>
          <w:rFonts w:ascii="Arial" w:cs="Arial" w:eastAsia="Arial" w:hAnsi="Arial"/>
          <w:sz w:val="18"/>
          <w:szCs w:val="18"/>
          <w:color w:val="auto"/>
        </w:rPr>
      </w:pPr>
    </w:p>
    <w:p>
      <w:pPr>
        <w:ind w:left="480" w:right="600" w:hanging="454"/>
        <w:spacing w:after="0" w:line="26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reported in these columns represent compensation actually paid; adjustments were made to the amounts reported in the SCT for the applicable year.</w:t>
      </w:r>
    </w:p>
    <w:p>
      <w:pPr>
        <w:ind w:left="480" w:right="80" w:hanging="454"/>
        <w:spacing w:after="0" w:line="26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Shareholder Return (“TSR”) is cumulative for the measurement periods beginning on December 31, 2020 and ending on December 31 of each of 2022 and 2021, respectively, calculated in accordance with Item 201(e) of Regulation S-K.</w:t>
      </w:r>
    </w:p>
    <w:p>
      <w:pPr>
        <w:ind w:left="480" w:right="280" w:hanging="454"/>
        <w:spacing w:after="0" w:line="27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(loss) attributable to common stockholders reflected in our audited Consolidated Financial Statements included in our 2022 Annual Report on Form 10-K</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 reconciliation of the adjustments for PEOs (Zeynep Hakimoglu and Derek L. Graham) and for the only Non-PEO NEO (Narsi Narayanan) is set forth in the following table, which describes the adjustments, each of which is prescribed by the SEC rules, to calculate the CAP from SCT amounts. Equity values are calculated in accordance with FASB ASC 718.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2021</w:t>
            </w:r>
          </w:p>
        </w:tc>
        <w:tc>
          <w:tcPr>
            <w:tcW w:w="1220" w:type="dxa"/>
            <w:vAlign w:val="bottom"/>
            <w:tcBorders>
              <w:bottom w:val="single" w:sz="8" w:color="auto"/>
            </w:tcBorders>
          </w:tcPr>
          <w:p>
            <w:pPr>
              <w:spacing w:after="0"/>
              <w:rPr>
                <w:sz w:val="19"/>
                <w:szCs w:val="19"/>
                <w:color w:val="auto"/>
              </w:rPr>
            </w:pPr>
          </w:p>
        </w:tc>
      </w:tr>
      <w:tr>
        <w:trPr>
          <w:trHeight w:val="236"/>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PEO</w:t>
            </w:r>
          </w:p>
        </w:tc>
        <w:tc>
          <w:tcPr>
            <w:tcW w:w="15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Non-PEO NEO</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PEO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6"/>
              </w:rPr>
              <w:t>Non-PEO NEO</w:t>
            </w:r>
          </w:p>
        </w:tc>
      </w:tr>
      <w:tr>
        <w:trPr>
          <w:trHeight w:val="243"/>
        </w:trPr>
        <w:tc>
          <w:tcPr>
            <w:tcW w:w="540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 xml:space="preserve">Summary Compensation Table Total </w:t>
            </w:r>
            <w:r>
              <w:rPr>
                <w:rFonts w:ascii="Arial" w:cs="Arial" w:eastAsia="Arial" w:hAnsi="Arial"/>
                <w:sz w:val="24"/>
                <w:szCs w:val="24"/>
                <w:b w:val="1"/>
                <w:bCs w:val="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557,277</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230,000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418,750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251,625</w:t>
            </w:r>
          </w:p>
        </w:tc>
      </w:tr>
      <w:tr>
        <w:trPr>
          <w:trHeight w:val="237"/>
        </w:trPr>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Pr>
          <w:p>
            <w:pPr>
              <w:ind w:left="60"/>
              <w:spacing w:after="0"/>
              <w:rPr>
                <w:sz w:val="20"/>
                <w:szCs w:val="20"/>
                <w:color w:val="auto"/>
              </w:rPr>
            </w:pPr>
            <w:r>
              <w:rPr>
                <w:rFonts w:ascii="Arial" w:cs="Arial" w:eastAsia="Arial" w:hAnsi="Arial"/>
                <w:sz w:val="18"/>
                <w:szCs w:val="18"/>
                <w:color w:val="auto"/>
              </w:rPr>
              <w:t>Grant Date Fair Value of Option Awards Granted in Fiscal Year</w:t>
            </w:r>
          </w:p>
        </w:tc>
        <w:tc>
          <w:tcPr>
            <w:tcW w:w="30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21"/>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Fair Value at Fiscal Year End of Outstanding and Unvested Option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4"/>
        </w:trPr>
        <w:tc>
          <w:tcPr>
            <w:tcW w:w="280" w:type="dxa"/>
            <w:vAlign w:val="bottom"/>
            <w:shd w:val="clear" w:color="auto" w:fill="CCEEFF"/>
          </w:tcPr>
          <w:p>
            <w:pPr>
              <w:spacing w:after="0"/>
              <w:rPr>
                <w:sz w:val="21"/>
                <w:szCs w:val="21"/>
                <w:color w:val="auto"/>
              </w:rPr>
            </w:pP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Awards Granted in Fiscal Year</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5"/>
        </w:trPr>
        <w:tc>
          <w:tcPr>
            <w:tcW w:w="5400" w:type="dxa"/>
            <w:vAlign w:val="bottom"/>
            <w:gridSpan w:val="2"/>
          </w:tcPr>
          <w:p>
            <w:pPr>
              <w:spacing w:after="0"/>
              <w:rPr>
                <w:sz w:val="20"/>
                <w:szCs w:val="20"/>
                <w:color w:val="auto"/>
              </w:rPr>
            </w:pPr>
            <w:r>
              <w:rPr>
                <w:rFonts w:ascii="Arial" w:cs="Arial" w:eastAsia="Arial" w:hAnsi="Arial"/>
                <w:sz w:val="18"/>
                <w:szCs w:val="18"/>
                <w:color w:val="auto"/>
                <w:w w:val="96"/>
              </w:rPr>
              <w:t>(+) Change in Fair Value of Outstanding and Unvested Option Awards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4"/>
        </w:trPr>
        <w:tc>
          <w:tcPr>
            <w:tcW w:w="28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Granted in Prior Fiscal Years</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(22,059)</w:t>
            </w:r>
          </w:p>
        </w:tc>
        <w:tc>
          <w:tcPr>
            <w:tcW w:w="4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(4,600)</w:t>
            </w:r>
          </w:p>
        </w:tc>
        <w:tc>
          <w:tcPr>
            <w:tcW w:w="300" w:type="dxa"/>
            <w:vAlign w:val="bottom"/>
          </w:tcPr>
          <w:p>
            <w:pPr>
              <w:spacing w:after="0"/>
              <w:rPr>
                <w:sz w:val="21"/>
                <w:szCs w:val="21"/>
                <w:color w:val="auto"/>
              </w:rPr>
            </w:pPr>
          </w:p>
        </w:tc>
        <w:tc>
          <w:tcPr>
            <w:tcW w:w="1340" w:type="dxa"/>
            <w:vAlign w:val="bottom"/>
            <w:gridSpan w:val="2"/>
          </w:tcPr>
          <w:p>
            <w:pPr>
              <w:jc w:val="right"/>
              <w:ind w:right="215"/>
              <w:spacing w:after="0"/>
              <w:rPr>
                <w:sz w:val="20"/>
                <w:szCs w:val="20"/>
                <w:color w:val="auto"/>
              </w:rPr>
            </w:pPr>
            <w:r>
              <w:rPr>
                <w:rFonts w:ascii="Arial" w:cs="Arial" w:eastAsia="Arial" w:hAnsi="Arial"/>
                <w:sz w:val="18"/>
                <w:szCs w:val="18"/>
                <w:color w:val="auto"/>
              </w:rPr>
              <w:t>(43,666)</w:t>
            </w:r>
          </w:p>
        </w:tc>
        <w:tc>
          <w:tcPr>
            <w:tcW w:w="1220" w:type="dxa"/>
            <w:vAlign w:val="bottom"/>
          </w:tcPr>
          <w:p>
            <w:pPr>
              <w:jc w:val="right"/>
              <w:spacing w:after="0"/>
              <w:rPr>
                <w:sz w:val="20"/>
                <w:szCs w:val="20"/>
                <w:color w:val="auto"/>
              </w:rPr>
            </w:pPr>
            <w:r>
              <w:rPr>
                <w:rFonts w:ascii="Arial" w:cs="Arial" w:eastAsia="Arial" w:hAnsi="Arial"/>
                <w:sz w:val="18"/>
                <w:szCs w:val="18"/>
                <w:color w:val="auto"/>
              </w:rPr>
              <w:t>(26,200)</w:t>
            </w:r>
          </w:p>
        </w:tc>
      </w:tr>
      <w:tr>
        <w:trPr>
          <w:trHeight w:val="215"/>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Fair Value at Vesting of Option Awards Granted in Fiscal Year that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4"/>
        </w:trPr>
        <w:tc>
          <w:tcPr>
            <w:tcW w:w="280" w:type="dxa"/>
            <w:vAlign w:val="bottom"/>
            <w:shd w:val="clear" w:color="auto" w:fill="CCEEFF"/>
          </w:tcPr>
          <w:p>
            <w:pPr>
              <w:spacing w:after="0"/>
              <w:rPr>
                <w:sz w:val="21"/>
                <w:szCs w:val="21"/>
                <w:color w:val="auto"/>
              </w:rPr>
            </w:pP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 During Fiscal Year</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5"/>
        </w:trPr>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Pr>
          <w:p>
            <w:pPr>
              <w:ind w:left="60"/>
              <w:spacing w:after="0"/>
              <w:rPr>
                <w:sz w:val="20"/>
                <w:szCs w:val="20"/>
                <w:color w:val="auto"/>
              </w:rPr>
            </w:pPr>
            <w:r>
              <w:rPr>
                <w:rFonts w:ascii="Arial" w:cs="Arial" w:eastAsia="Arial" w:hAnsi="Arial"/>
                <w:sz w:val="18"/>
                <w:szCs w:val="18"/>
                <w:color w:val="auto"/>
                <w:w w:val="94"/>
              </w:rPr>
              <w:t>Change in Fair Value as of Vesting Date of Option Awards Granted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in Prior Fiscal Years For Which Applicable Vesting Conditions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280" w:type="dxa"/>
            <w:vAlign w:val="bottom"/>
          </w:tcPr>
          <w:p>
            <w:pPr>
              <w:spacing w:after="0"/>
              <w:rPr>
                <w:sz w:val="20"/>
                <w:szCs w:val="20"/>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Were Satisfied During Fiscal Year</w:t>
            </w:r>
          </w:p>
        </w:tc>
        <w:tc>
          <w:tcPr>
            <w:tcW w:w="30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(2,761)</w:t>
            </w:r>
          </w:p>
        </w:tc>
        <w:tc>
          <w:tcPr>
            <w:tcW w:w="4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(2,991)</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3,764</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2,259</w:t>
            </w:r>
          </w:p>
        </w:tc>
      </w:tr>
      <w:tr>
        <w:trPr>
          <w:trHeight w:val="222"/>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Fair Value as of Prior Fiscal Year End of Option Awards Granted 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Prior Fiscal Years That Failed to Meet Applicable Vesting</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4"/>
        </w:trPr>
        <w:tc>
          <w:tcPr>
            <w:tcW w:w="280" w:type="dxa"/>
            <w:vAlign w:val="bottom"/>
            <w:shd w:val="clear" w:color="auto" w:fill="CCEEFF"/>
          </w:tcPr>
          <w:p>
            <w:pPr>
              <w:spacing w:after="0"/>
              <w:rPr>
                <w:sz w:val="21"/>
                <w:szCs w:val="21"/>
                <w:color w:val="auto"/>
              </w:rPr>
            </w:pPr>
          </w:p>
        </w:tc>
        <w:tc>
          <w:tcPr>
            <w:tcW w:w="5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Conditions During Fiscal Year</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ind w:left="340" w:right="6440" w:hanging="314"/>
        <w:spacing w:after="0" w:line="29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Value of Dividends or other Earnings Paid on Stock or Option Awards Not Otherwise Reflected in Fair Value or Total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Compensation for the Fiscal Year</w:t>
            </w:r>
          </w:p>
        </w:tc>
        <w:tc>
          <w:tcPr>
            <w:tcW w:w="1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40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Compensation Actually Paid</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532,457</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222,409</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378,848</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227,684</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540" w:right="2660" w:hanging="5514"/>
        <w:spacing w:after="0" w:line="574" w:lineRule="auto"/>
        <w:tabs>
          <w:tab w:leader="none" w:pos="4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Unvested equity values are computed in accordance with the methodology used for financial reporting purposes.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Pursuant to Item 402(v) of SEC Regulation S-K, we are providing the following graphic descriptions of the relationships between information presented in the pay versus performance table provided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CAP and Total Shareholder Return (“TSR”)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 below reflects the relationship between the PEO and Non-PEO NEO CAP and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143510</wp:posOffset>
            </wp:positionV>
            <wp:extent cx="5366385" cy="2914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638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CAP and Net Income (Loss)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graph below reflects the relationship between the PEO and Non-PEO NEO CAP and Net Income (Loss) </w:t>
      </w:r>
      <w:r>
        <w:rPr>
          <w:rFonts w:ascii="Arial" w:cs="Arial" w:eastAsia="Arial" w:hAnsi="Arial"/>
          <w:sz w:val="24"/>
          <w:szCs w:val="24"/>
          <w:b w:val="1"/>
          <w:bCs w:val="1"/>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115570</wp:posOffset>
            </wp:positionV>
            <wp:extent cx="5323205" cy="2931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320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right="1600" w:hanging="5514"/>
        <w:spacing w:after="0" w:line="574" w:lineRule="auto"/>
        <w:tabs>
          <w:tab w:leader="none" w:pos="4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amount of net income (loss) reported in the Company’s audited financial statements for the applicable year.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57" w:right="6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firstLine="702"/>
        <w:spacing w:after="0" w:line="263" w:lineRule="auto"/>
        <w:rPr>
          <w:sz w:val="20"/>
          <w:szCs w:val="20"/>
          <w:color w:val="auto"/>
        </w:rPr>
      </w:pPr>
      <w:r>
        <w:rPr>
          <w:rFonts w:ascii="Arial" w:cs="Arial" w:eastAsia="Arial" w:hAnsi="Arial"/>
          <w:sz w:val="18"/>
          <w:szCs w:val="18"/>
          <w:color w:val="auto"/>
        </w:rPr>
        <w:t>The following table sets forth certain information regarding ownership of our common stock as of November 10, 2023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4"/>
          </w:tcPr>
          <w:p>
            <w:pPr>
              <w:jc w:val="right"/>
              <w:ind w:right="730"/>
              <w:spacing w:after="0"/>
              <w:rPr>
                <w:sz w:val="20"/>
                <w:szCs w:val="20"/>
                <w:color w:val="auto"/>
              </w:rPr>
            </w:pPr>
            <w:r>
              <w:rPr>
                <w:rFonts w:ascii="Arial" w:cs="Arial" w:eastAsia="Arial" w:hAnsi="Arial"/>
                <w:sz w:val="16"/>
                <w:szCs w:val="16"/>
                <w:b w:val="1"/>
                <w:bCs w:val="1"/>
                <w:color w:val="auto"/>
              </w:rPr>
              <w:t>Shares Beneficially Owned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220"/>
              <w:spacing w:after="0" w:line="148" w:lineRule="exact"/>
              <w:rPr>
                <w:sz w:val="20"/>
                <w:szCs w:val="20"/>
                <w:color w:val="auto"/>
              </w:rPr>
            </w:pPr>
            <w:r>
              <w:rPr>
                <w:rFonts w:ascii="Arial" w:cs="Arial" w:eastAsia="Arial" w:hAnsi="Arial"/>
                <w:sz w:val="16"/>
                <w:szCs w:val="16"/>
                <w:b w:val="1"/>
                <w:bCs w:val="1"/>
                <w:color w:val="auto"/>
                <w:w w:val="89"/>
              </w:rPr>
              <w:t>Shares that</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Currently</w:t>
            </w: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6"/>
                <w:szCs w:val="16"/>
                <w:b w:val="1"/>
                <w:bCs w:val="1"/>
                <w:color w:val="auto"/>
                <w:w w:val="98"/>
              </w:rPr>
              <w:t>Currently</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could be</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4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acquired</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6"/>
                <w:szCs w:val="16"/>
                <w:b w:val="1"/>
                <w:bCs w:val="1"/>
                <w:color w:val="auto"/>
                <w:w w:val="88"/>
              </w:rPr>
              <w:t xml:space="preserve">Owned Percent </w:t>
            </w:r>
            <w:r>
              <w:rPr>
                <w:rFonts w:ascii="Arial" w:cs="Arial" w:eastAsia="Arial" w:hAnsi="Arial"/>
                <w:sz w:val="23"/>
                <w:szCs w:val="23"/>
                <w:b w:val="1"/>
                <w:bCs w:val="1"/>
                <w:color w:val="auto"/>
                <w:w w:val="88"/>
                <w:vertAlign w:val="superscript"/>
              </w:rPr>
              <w:t>(2)</w:t>
            </w:r>
          </w:p>
        </w:tc>
        <w:tc>
          <w:tcPr>
            <w:tcW w:w="1440" w:type="dxa"/>
            <w:vAlign w:val="bottom"/>
            <w:gridSpan w:val="2"/>
            <w:vMerge w:val="continue"/>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 xml:space="preserve">Total </w:t>
            </w:r>
            <w:r>
              <w:rPr>
                <w:rFonts w:ascii="Arial" w:cs="Arial" w:eastAsia="Arial" w:hAnsi="Arial"/>
                <w:sz w:val="23"/>
                <w:szCs w:val="23"/>
                <w:b w:val="1"/>
                <w:bCs w:val="1"/>
                <w:color w:val="auto"/>
                <w:w w:val="87"/>
                <w:vertAlign w:val="superscript"/>
              </w:rPr>
              <w:t>(2)</w:t>
            </w:r>
          </w:p>
        </w:tc>
        <w:tc>
          <w:tcPr>
            <w:tcW w:w="1420" w:type="dxa"/>
            <w:vAlign w:val="bottom"/>
            <w:gridSpan w:val="2"/>
            <w:vMerge w:val="restart"/>
          </w:tcPr>
          <w:p>
            <w:pPr>
              <w:jc w:val="right"/>
              <w:ind w:right="350"/>
              <w:spacing w:after="0"/>
              <w:rPr>
                <w:sz w:val="20"/>
                <w:szCs w:val="20"/>
                <w:color w:val="auto"/>
              </w:rPr>
            </w:pPr>
            <w:r>
              <w:rPr>
                <w:rFonts w:ascii="Arial" w:cs="Arial" w:eastAsia="Arial" w:hAnsi="Arial"/>
                <w:sz w:val="16"/>
                <w:szCs w:val="16"/>
                <w:b w:val="1"/>
                <w:bCs w:val="1"/>
                <w:color w:val="auto"/>
              </w:rPr>
              <w:t xml:space="preserve">Percent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Owned</w:t>
            </w:r>
          </w:p>
        </w:tc>
        <w:tc>
          <w:tcPr>
            <w:tcW w:w="1740" w:type="dxa"/>
            <w:vAlign w:val="bottom"/>
            <w:gridSpan w:val="2"/>
            <w:vMerge w:val="continue"/>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within 60 days</w:t>
            </w:r>
          </w:p>
        </w:tc>
        <w:tc>
          <w:tcPr>
            <w:tcW w:w="144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20" w:type="dxa"/>
            <w:vAlign w:val="bottom"/>
            <w:gridSpan w:val="4"/>
          </w:tcPr>
          <w:p>
            <w:pPr>
              <w:ind w:left="800"/>
              <w:spacing w:after="0" w:line="256" w:lineRule="exact"/>
              <w:rPr>
                <w:sz w:val="20"/>
                <w:szCs w:val="20"/>
                <w:color w:val="auto"/>
              </w:rPr>
            </w:pPr>
            <w:r>
              <w:rPr>
                <w:rFonts w:ascii="Arial" w:cs="Arial" w:eastAsia="Arial" w:hAnsi="Arial"/>
                <w:sz w:val="16"/>
                <w:szCs w:val="16"/>
                <w:b w:val="1"/>
                <w:bCs w:val="1"/>
                <w:color w:val="auto"/>
              </w:rPr>
              <w:t xml:space="preserve">Name of Beneficial Owner </w:t>
            </w:r>
            <w:r>
              <w:rPr>
                <w:rFonts w:ascii="Arial" w:cs="Arial" w:eastAsia="Arial" w:hAnsi="Arial"/>
                <w:sz w:val="23"/>
                <w:szCs w:val="23"/>
                <w:b w:val="1"/>
                <w:bCs w:val="1"/>
                <w:color w:val="auto"/>
                <w:vertAlign w:val="superscript"/>
              </w:rPr>
              <w:t>(1)</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rPr>
              <w:t>(A)</w:t>
            </w:r>
          </w:p>
        </w:tc>
        <w:tc>
          <w:tcPr>
            <w:tcW w:w="1740" w:type="dxa"/>
            <w:vAlign w:val="bottom"/>
            <w:gridSpan w:val="2"/>
          </w:tcPr>
          <w:p>
            <w:pPr>
              <w:jc w:val="center"/>
              <w:ind w:right="230"/>
              <w:spacing w:after="0"/>
              <w:rPr>
                <w:sz w:val="20"/>
                <w:szCs w:val="20"/>
                <w:color w:val="auto"/>
              </w:rPr>
            </w:pPr>
            <w:r>
              <w:rPr>
                <w:rFonts w:ascii="Arial" w:cs="Arial" w:eastAsia="Arial" w:hAnsi="Arial"/>
                <w:sz w:val="16"/>
                <w:szCs w:val="16"/>
                <w:color w:val="auto"/>
              </w:rPr>
              <w:t>(B)</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(C)</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(D)</w:t>
            </w:r>
          </w:p>
        </w:tc>
        <w:tc>
          <w:tcPr>
            <w:tcW w:w="1420" w:type="dxa"/>
            <w:vAlign w:val="bottom"/>
            <w:gridSpan w:val="2"/>
          </w:tcPr>
          <w:p>
            <w:pPr>
              <w:jc w:val="right"/>
              <w:ind w:right="61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5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0"/>
              </w:rPr>
              <w:t>Directors and Executive Officers:</w:t>
            </w: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Derek L. Graham</w:t>
            </w:r>
          </w:p>
        </w:tc>
        <w:tc>
          <w:tcPr>
            <w:tcW w:w="1240" w:type="dxa"/>
            <w:vAlign w:val="bottom"/>
          </w:tcPr>
          <w:p>
            <w:pPr>
              <w:jc w:val="right"/>
              <w:spacing w:after="0"/>
              <w:rPr>
                <w:sz w:val="20"/>
                <w:szCs w:val="20"/>
                <w:color w:val="auto"/>
              </w:rPr>
            </w:pPr>
            <w:r>
              <w:rPr>
                <w:rFonts w:ascii="Arial" w:cs="Arial" w:eastAsia="Arial" w:hAnsi="Arial"/>
                <w:sz w:val="18"/>
                <w:szCs w:val="18"/>
                <w:color w:val="auto"/>
              </w:rPr>
              <w:t>5,260</w:t>
            </w:r>
          </w:p>
        </w:tc>
        <w:tc>
          <w:tcPr>
            <w:tcW w:w="220" w:type="dxa"/>
            <w:vAlign w:val="bottom"/>
          </w:tcPr>
          <w:p>
            <w:pPr>
              <w:spacing w:after="0"/>
              <w:rPr>
                <w:sz w:val="20"/>
                <w:szCs w:val="20"/>
                <w:color w:val="auto"/>
              </w:rPr>
            </w:pP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0.02 %</w:t>
            </w:r>
          </w:p>
        </w:tc>
        <w:tc>
          <w:tcPr>
            <w:tcW w:w="1220" w:type="dxa"/>
            <w:vAlign w:val="bottom"/>
          </w:tcPr>
          <w:p>
            <w:pPr>
              <w:jc w:val="right"/>
              <w:spacing w:after="0"/>
              <w:rPr>
                <w:sz w:val="20"/>
                <w:szCs w:val="20"/>
                <w:color w:val="auto"/>
              </w:rPr>
            </w:pPr>
            <w:r>
              <w:rPr>
                <w:rFonts w:ascii="Arial" w:cs="Arial" w:eastAsia="Arial" w:hAnsi="Arial"/>
                <w:sz w:val="18"/>
                <w:szCs w:val="18"/>
                <w:color w:val="auto"/>
              </w:rPr>
              <w:t>8,750</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14,010</w:t>
            </w:r>
          </w:p>
        </w:tc>
        <w:tc>
          <w:tcPr>
            <w:tcW w:w="2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Larry R. Hendricks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0.08 %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66,659</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line="243" w:lineRule="exact"/>
              <w:rPr>
                <w:sz w:val="20"/>
                <w:szCs w:val="20"/>
                <w:color w:val="auto"/>
              </w:rPr>
            </w:pPr>
            <w:r>
              <w:rPr>
                <w:rFonts w:ascii="Arial" w:cs="Arial" w:eastAsia="Arial" w:hAnsi="Arial"/>
                <w:sz w:val="18"/>
                <w:szCs w:val="18"/>
                <w:color w:val="auto"/>
              </w:rPr>
              <w:t xml:space="preserve">Lisa B. Higley </w:t>
            </w:r>
            <w:r>
              <w:rPr>
                <w:rFonts w:ascii="Arial" w:cs="Arial" w:eastAsia="Arial" w:hAnsi="Arial"/>
                <w:sz w:val="23"/>
                <w:szCs w:val="23"/>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8"/>
                <w:szCs w:val="18"/>
                <w:color w:val="auto"/>
              </w:rPr>
              <w:t>24,501</w:t>
            </w:r>
          </w:p>
        </w:tc>
        <w:tc>
          <w:tcPr>
            <w:tcW w:w="220" w:type="dxa"/>
            <w:vAlign w:val="bottom"/>
          </w:tcPr>
          <w:p>
            <w:pPr>
              <w:spacing w:after="0"/>
              <w:rPr>
                <w:sz w:val="21"/>
                <w:szCs w:val="21"/>
                <w:color w:val="auto"/>
              </w:rPr>
            </w:pP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0.10 %</w:t>
            </w:r>
          </w:p>
        </w:tc>
        <w:tc>
          <w:tcPr>
            <w:tcW w:w="1220" w:type="dxa"/>
            <w:vAlign w:val="bottom"/>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33,112</w:t>
            </w:r>
          </w:p>
        </w:tc>
        <w:tc>
          <w:tcPr>
            <w:tcW w:w="2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36,944</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37,009</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Bruce Whaley</w:t>
            </w: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20"/>
                <w:szCs w:val="20"/>
                <w:color w:val="auto"/>
              </w:rPr>
            </w:pP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0.05 %</w:t>
            </w:r>
          </w:p>
        </w:tc>
        <w:tc>
          <w:tcPr>
            <w:tcW w:w="1220" w:type="dxa"/>
            <w:vAlign w:val="bottom"/>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20,611</w:t>
            </w:r>
          </w:p>
        </w:tc>
        <w:tc>
          <w:tcPr>
            <w:tcW w:w="2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Narsi Narayanan</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(Directors and Officers)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59,874</w:t>
            </w:r>
          </w:p>
        </w:tc>
        <w:tc>
          <w:tcPr>
            <w:tcW w:w="22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209,027</w:t>
            </w:r>
          </w:p>
        </w:tc>
        <w:tc>
          <w:tcPr>
            <w:tcW w:w="22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268,901</w:t>
            </w:r>
          </w:p>
        </w:tc>
        <w:tc>
          <w:tcPr>
            <w:tcW w:w="2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5% Shareholders:</w:t>
            </w:r>
          </w:p>
        </w:tc>
        <w:tc>
          <w:tcPr>
            <w:tcW w:w="2320" w:type="dxa"/>
            <w:vAlign w:val="bottom"/>
            <w:tcBorders>
              <w:bottom w:val="single" w:sz="8" w:color="CCEEFF"/>
            </w:tcBorders>
            <w:gridSpan w:val="3"/>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line="243" w:lineRule="exact"/>
              <w:rPr>
                <w:sz w:val="20"/>
                <w:szCs w:val="20"/>
                <w:color w:val="auto"/>
              </w:rPr>
            </w:pPr>
            <w:r>
              <w:rPr>
                <w:rFonts w:ascii="Arial" w:cs="Arial" w:eastAsia="Arial" w:hAnsi="Arial"/>
                <w:sz w:val="18"/>
                <w:szCs w:val="18"/>
                <w:color w:val="auto"/>
              </w:rPr>
              <w:t>Edward D. Bagley</w:t>
            </w:r>
            <w:r>
              <w:rPr>
                <w:rFonts w:ascii="Arial" w:cs="Arial" w:eastAsia="Arial" w:hAnsi="Arial"/>
                <w:sz w:val="23"/>
                <w:szCs w:val="23"/>
                <w:color w:val="auto"/>
                <w:vertAlign w:val="superscript"/>
              </w:rPr>
              <w:t>(4)</w:t>
            </w:r>
          </w:p>
        </w:tc>
        <w:tc>
          <w:tcPr>
            <w:tcW w:w="1240" w:type="dxa"/>
            <w:vAlign w:val="bottom"/>
          </w:tcPr>
          <w:p>
            <w:pPr>
              <w:jc w:val="right"/>
              <w:spacing w:after="0"/>
              <w:rPr>
                <w:sz w:val="20"/>
                <w:szCs w:val="20"/>
                <w:color w:val="auto"/>
              </w:rPr>
            </w:pPr>
            <w:r>
              <w:rPr>
                <w:rFonts w:ascii="Arial" w:cs="Arial" w:eastAsia="Arial" w:hAnsi="Arial"/>
                <w:sz w:val="18"/>
                <w:szCs w:val="18"/>
                <w:color w:val="auto"/>
              </w:rPr>
              <w:t>10,465,063</w:t>
            </w:r>
          </w:p>
        </w:tc>
        <w:tc>
          <w:tcPr>
            <w:tcW w:w="220" w:type="dxa"/>
            <w:vAlign w:val="bottom"/>
          </w:tcPr>
          <w:p>
            <w:pPr>
              <w:spacing w:after="0"/>
              <w:rPr>
                <w:sz w:val="21"/>
                <w:szCs w:val="21"/>
                <w:color w:val="auto"/>
              </w:rPr>
            </w:pP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43.68 %</w:t>
            </w:r>
          </w:p>
        </w:tc>
        <w:tc>
          <w:tcPr>
            <w:tcW w:w="1220" w:type="dxa"/>
            <w:vAlign w:val="bottom"/>
          </w:tcPr>
          <w:p>
            <w:pPr>
              <w:jc w:val="right"/>
              <w:spacing w:after="0"/>
              <w:rPr>
                <w:sz w:val="20"/>
                <w:szCs w:val="20"/>
                <w:color w:val="auto"/>
              </w:rPr>
            </w:pPr>
            <w:r>
              <w:rPr>
                <w:rFonts w:ascii="Arial" w:cs="Arial" w:eastAsia="Arial" w:hAnsi="Arial"/>
                <w:sz w:val="18"/>
                <w:szCs w:val="18"/>
                <w:color w:val="auto"/>
              </w:rPr>
              <w:t>1,125,083</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11,590,146</w:t>
            </w:r>
          </w:p>
        </w:tc>
        <w:tc>
          <w:tcPr>
            <w:tcW w:w="2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46.30 %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20" w:type="dxa"/>
            <w:vAlign w:val="bottom"/>
            <w:gridSpan w:val="4"/>
            <w:shd w:val="clear" w:color="auto" w:fill="CCEEFF"/>
          </w:tcPr>
          <w:p>
            <w:pPr>
              <w:spacing w:after="0" w:line="243" w:lineRule="exact"/>
              <w:rPr>
                <w:sz w:val="20"/>
                <w:szCs w:val="20"/>
                <w:color w:val="auto"/>
              </w:rPr>
            </w:pPr>
            <w:r>
              <w:rPr>
                <w:rFonts w:ascii="Arial" w:cs="Arial" w:eastAsia="Arial" w:hAnsi="Arial"/>
                <w:sz w:val="18"/>
                <w:szCs w:val="18"/>
                <w:color w:val="auto"/>
              </w:rPr>
              <w:t>E. Bryan Bagley</w:t>
            </w:r>
            <w:r>
              <w:rPr>
                <w:rFonts w:ascii="Arial" w:cs="Arial" w:eastAsia="Arial" w:hAnsi="Arial"/>
                <w:sz w:val="23"/>
                <w:szCs w:val="23"/>
                <w:color w:val="auto"/>
                <w:vertAlign w:val="superscript"/>
              </w:rPr>
              <w:t>(5)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1,236,630</w:t>
            </w:r>
          </w:p>
        </w:tc>
        <w:tc>
          <w:tcPr>
            <w:tcW w:w="2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5.16 %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187,387</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1,424,017</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480" w:right="20" w:hanging="454"/>
        <w:spacing w:after="0" w:line="263"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75" w:lineRule="exact"/>
        <w:rPr>
          <w:rFonts w:ascii="Arial" w:cs="Arial" w:eastAsia="Arial" w:hAnsi="Arial"/>
          <w:sz w:val="18"/>
          <w:szCs w:val="18"/>
          <w:color w:val="auto"/>
        </w:rPr>
      </w:pPr>
    </w:p>
    <w:p>
      <w:pPr>
        <w:jc w:val="both"/>
        <w:ind w:left="480" w:right="20" w:hanging="454"/>
        <w:spacing w:after="0" w:line="273"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percentages shown in Column (B) are calculated based on 23,960,684 shares of common stock outstanding on November 10, 2023. The numbers shown in Column (D) and percentages shown in Column (E) include the shares of common stock actually owned as of November 10, 2023 and the shares of common stock that the identified person or group had the right to acquire within 60 days of such date. In calculating the percentage of ownership, all shares of common stock that each identified person or group had the right to acquire within 60 days of November 10, 2023 upon the exercise of the stock options, secured convertible notes and warrants shown in Column (C) are deemed to be outstanding for the purpose of computing the percentage of the shares of common stock owned by the persons or groups listed above.</w:t>
      </w:r>
    </w:p>
    <w:p>
      <w:pPr>
        <w:spacing w:after="0" w:line="150" w:lineRule="exact"/>
        <w:rPr>
          <w:rFonts w:ascii="Arial" w:cs="Arial" w:eastAsia="Arial" w:hAnsi="Arial"/>
          <w:sz w:val="17"/>
          <w:szCs w:val="17"/>
          <w:color w:val="auto"/>
        </w:rPr>
      </w:pPr>
    </w:p>
    <w:p>
      <w:pPr>
        <w:jc w:val="both"/>
        <w:ind w:left="480" w:right="20" w:hanging="454"/>
        <w:spacing w:after="0" w:line="279"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information is based upon the Form 4 filed with the SEC as of June 1, 2023.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76" w:lineRule="exact"/>
        <w:rPr>
          <w:rFonts w:ascii="Arial" w:cs="Arial" w:eastAsia="Arial" w:hAnsi="Arial"/>
          <w:sz w:val="17"/>
          <w:szCs w:val="17"/>
          <w:color w:val="auto"/>
        </w:rPr>
      </w:pPr>
    </w:p>
    <w:p>
      <w:pPr>
        <w:jc w:val="both"/>
        <w:ind w:left="480" w:right="20" w:hanging="454"/>
        <w:spacing w:after="0" w:line="287"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11,590,416 shares (including the shares that may be acquired pursuant to exercise of options to purchase 36,944 shares of common stock, secured convertible notes to purchase 402,844 shares of common stock and warrants to purchase 685,295 shares of common stock) and shared voting and dispositive power over the 355,257 shares held by Mr. Edward D. Bagley’s spouse. This information is based upon Schedule 13D/A and Form 4 as filed by Mr. Bagley with the SEC in September 2020 and December 2020,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both"/>
        <w:ind w:left="520" w:right="20" w:hanging="494"/>
        <w:spacing w:after="0" w:line="293"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E. Bryan Bagley has sole voting and dispositive power over 1,509,325 shares (including the shares that may be acquired pursuant to exercise of secured convertible notes to purchase 80,569 shares of common stock and warrants to purchase 106,818 shares of common stock) This information is based upon Schedule 13D/A as filed by E. Bryan Bagley with the SEC in September 2020.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not include 2,252,636 shares held by a trust in which he is a co-trustee.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The following table summarizes information, as of December 31, 2022, relating to equity compensation plans of the Company (including individual compensation arrangements) pursuant to which equity securities of the Company are authorized for issuance.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2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(b)</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4"/>
        </w:trPr>
        <w:tc>
          <w:tcPr>
            <w:tcW w:w="3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Plan Category</w:t>
            </w:r>
          </w:p>
        </w:tc>
        <w:tc>
          <w:tcPr>
            <w:tcW w:w="25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Number of securities to be issued</w:t>
            </w:r>
          </w:p>
        </w:tc>
        <w:tc>
          <w:tcPr>
            <w:tcW w:w="2440" w:type="dxa"/>
            <w:vAlign w:val="bottom"/>
            <w:gridSpan w:val="2"/>
            <w:vMerge w:val="continue"/>
          </w:tcPr>
          <w:p>
            <w:pPr>
              <w:spacing w:after="0"/>
              <w:rPr>
                <w:sz w:val="12"/>
                <w:szCs w:val="12"/>
                <w:color w:val="auto"/>
              </w:rPr>
            </w:pPr>
          </w:p>
        </w:tc>
        <w:tc>
          <w:tcPr>
            <w:tcW w:w="3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 securities remaining available for</w:t>
            </w:r>
          </w:p>
        </w:tc>
        <w:tc>
          <w:tcPr>
            <w:tcW w:w="0" w:type="dxa"/>
            <w:vAlign w:val="bottom"/>
          </w:tcPr>
          <w:p>
            <w:pPr>
              <w:spacing w:after="0"/>
              <w:rPr>
                <w:sz w:val="1"/>
                <w:szCs w:val="1"/>
                <w:color w:val="auto"/>
              </w:rPr>
            </w:pPr>
          </w:p>
        </w:tc>
      </w:tr>
      <w:tr>
        <w:trPr>
          <w:trHeight w:val="148"/>
        </w:trPr>
        <w:tc>
          <w:tcPr>
            <w:tcW w:w="3160" w:type="dxa"/>
            <w:vAlign w:val="bottom"/>
            <w:gridSpan w:val="2"/>
            <w:vMerge w:val="continue"/>
          </w:tcPr>
          <w:p>
            <w:pPr>
              <w:spacing w:after="0"/>
              <w:rPr>
                <w:sz w:val="12"/>
                <w:szCs w:val="12"/>
                <w:color w:val="auto"/>
              </w:rPr>
            </w:pPr>
          </w:p>
        </w:tc>
        <w:tc>
          <w:tcPr>
            <w:tcW w:w="2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upon exercise of outstanding options</w:t>
            </w:r>
          </w:p>
        </w:tc>
        <w:tc>
          <w:tcPr>
            <w:tcW w:w="2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Weighted</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Average Exercise Price</w:t>
            </w:r>
          </w:p>
        </w:tc>
        <w:tc>
          <w:tcPr>
            <w:tcW w:w="3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 equity compensation plans</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Outstanding Options and Rights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(excluding securities reflected in column(a))</w:t>
            </w:r>
          </w:p>
        </w:tc>
        <w:tc>
          <w:tcPr>
            <w:tcW w:w="0" w:type="dxa"/>
            <w:vAlign w:val="bottom"/>
          </w:tcPr>
          <w:p>
            <w:pPr>
              <w:spacing w:after="0"/>
              <w:rPr>
                <w:sz w:val="1"/>
                <w:szCs w:val="1"/>
                <w:color w:val="auto"/>
              </w:rPr>
            </w:pPr>
          </w:p>
        </w:tc>
      </w:tr>
      <w:tr>
        <w:trPr>
          <w:trHeight w:val="195"/>
        </w:trPr>
        <w:tc>
          <w:tcPr>
            <w:tcW w:w="294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w w:val="93"/>
              </w:rPr>
              <w:t>Equity Compensation Plans Approved</w:t>
            </w:r>
          </w:p>
        </w:tc>
        <w:tc>
          <w:tcPr>
            <w:tcW w:w="2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by Stockholders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488,477</w:t>
            </w:r>
          </w:p>
        </w:tc>
        <w:tc>
          <w:tcPr>
            <w:tcW w:w="24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$6.48</w:t>
            </w: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976,377</w:t>
            </w:r>
          </w:p>
        </w:tc>
        <w:tc>
          <w:tcPr>
            <w:tcW w:w="0" w:type="dxa"/>
            <w:vAlign w:val="bottom"/>
          </w:tcPr>
          <w:p>
            <w:pPr>
              <w:spacing w:after="0"/>
              <w:rPr>
                <w:sz w:val="1"/>
                <w:szCs w:val="1"/>
                <w:color w:val="auto"/>
              </w:rPr>
            </w:pPr>
          </w:p>
        </w:tc>
      </w:tr>
      <w:tr>
        <w:trPr>
          <w:trHeight w:val="202"/>
        </w:trPr>
        <w:tc>
          <w:tcPr>
            <w:tcW w:w="3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Equity Compensation Plans Not</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80"/>
              <w:spacing w:after="0"/>
              <w:rPr>
                <w:sz w:val="20"/>
                <w:szCs w:val="20"/>
                <w:color w:val="auto"/>
              </w:rPr>
            </w:pPr>
            <w:r>
              <w:rPr>
                <w:rFonts w:ascii="Arial" w:cs="Arial" w:eastAsia="Arial" w:hAnsi="Arial"/>
                <w:sz w:val="18"/>
                <w:szCs w:val="18"/>
                <w:color w:val="auto"/>
              </w:rPr>
              <w:t>Approved by Stockholders</w:t>
            </w:r>
          </w:p>
        </w:tc>
        <w:tc>
          <w:tcPr>
            <w:tcW w:w="25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488,477</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$6.48</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976,377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ind w:right="500" w:firstLine="648"/>
        <w:spacing w:after="0" w:line="311" w:lineRule="auto"/>
        <w:rPr>
          <w:sz w:val="20"/>
          <w:szCs w:val="20"/>
          <w:color w:val="auto"/>
        </w:rPr>
      </w:pPr>
      <w:r>
        <w:rPr>
          <w:rFonts w:ascii="Arial" w:cs="Arial" w:eastAsia="Arial" w:hAnsi="Arial"/>
          <w:sz w:val="16"/>
          <w:szCs w:val="16"/>
          <w:color w:val="auto"/>
        </w:rPr>
        <w:t>We anticipate that our Annual Meeting of Shareholders in 2024 will be held in November 2024. Any shareholder that wishes to present any proposal for shareholder action at our Annual Meeting of Shareholders to be held during calendar year 2024 must notify us at our principal executive offices no later than July 24, 2024 in order for the proposal to be included in our proxy statement and form of proxy relating to that meeting.</w:t>
      </w:r>
    </w:p>
    <w:p>
      <w:pPr>
        <w:spacing w:after="0" w:line="14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2024, except in circumstances where (i) we receive notice of the proposed matter no later than July 24, 2024; and (ii) the proponent complies with the other requirements set forth in Rule 14a-8.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363220</wp:posOffset>
            </wp:positionV>
            <wp:extent cx="6172200" cy="6420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642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102235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upperLetter"/>
      <w:start w:val="24"/>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
      <w:numFmt w:val="bullet"/>
      <w:start w:val="1"/>
    </w:lvl>
    <w:lvl w:ilvl="1">
      <w:lvlJc w:val="left"/>
      <w:lvlText w:val="%2)"/>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2023-11-21T12:35:07Z</dcterms:created>
  <dcterms:modified xsi:type="dcterms:W3CDTF">2023-11-21T12:35:07Z</dcterms:modified>
</cp:coreProperties>
</file>