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24, 2011</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jc w:val="right"/>
              <w:ind w:right="2370"/>
              <w:spacing w:after="0"/>
              <w:rPr>
                <w:sz w:val="20"/>
                <w:szCs w:val="20"/>
                <w:color w:val="auto"/>
              </w:rPr>
            </w:pPr>
            <w:r>
              <w:rPr>
                <w:rFonts w:ascii="Arial" w:cs="Arial" w:eastAsia="Arial" w:hAnsi="Arial"/>
                <w:sz w:val="18"/>
                <w:szCs w:val="18"/>
                <w:b w:val="1"/>
                <w:bCs w:val="1"/>
                <w:color w:val="auto"/>
              </w:rPr>
              <w:t>001-33660</w:t>
            </w:r>
          </w:p>
        </w:tc>
        <w:tc>
          <w:tcPr>
            <w:tcW w:w="57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5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560" w:type="dxa"/>
            <w:vAlign w:val="bottom"/>
          </w:tcPr>
          <w:p>
            <w:pPr>
              <w:spacing w:after="0"/>
              <w:rPr>
                <w:sz w:val="17"/>
                <w:szCs w:val="17"/>
                <w:color w:val="auto"/>
              </w:rPr>
            </w:pPr>
          </w:p>
        </w:tc>
        <w:tc>
          <w:tcPr>
            <w:tcW w:w="514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5225 Wiley Post Way, Suite 500</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Salt Lake City, Utah</w:t>
            </w:r>
          </w:p>
        </w:tc>
        <w:tc>
          <w:tcPr>
            <w:tcW w:w="570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84116</w:t>
            </w:r>
          </w:p>
        </w:tc>
      </w:tr>
      <w:tr>
        <w:trPr>
          <w:trHeight w:val="230"/>
        </w:trPr>
        <w:tc>
          <w:tcPr>
            <w:tcW w:w="5720" w:type="dxa"/>
            <w:vAlign w:val="bottom"/>
            <w:tcBorders>
              <w:top w:val="single" w:sz="8" w:color="auto"/>
            </w:tcBorders>
          </w:tcPr>
          <w:p>
            <w:pPr>
              <w:jc w:val="center"/>
              <w:ind w:left="2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20" w:type="dxa"/>
            <w:vAlign w:val="bottom"/>
          </w:tcPr>
          <w:p>
            <w:pPr>
              <w:ind w:left="4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0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43"/>
        </w:trPr>
        <w:tc>
          <w:tcPr>
            <w:tcW w:w="14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12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 xml:space="preserve">] Pre-commencement communications pursuant to Rule 14d-2(b) under the Exchange </w:t>
            </w:r>
            <w:r>
              <w:rPr>
                <w:rFonts w:ascii="Arial" w:cs="Arial" w:eastAsia="Arial" w:hAnsi="Arial"/>
                <w:sz w:val="18"/>
                <w:szCs w:val="18"/>
                <w:color w:val="auto"/>
              </w:rPr>
              <w:t>Act (17 CFR 240.14d-2(b))</w:t>
            </w:r>
          </w:p>
        </w:tc>
      </w:tr>
      <w:tr>
        <w:trPr>
          <w:trHeight w:val="275"/>
        </w:trPr>
        <w:tc>
          <w:tcPr>
            <w:tcW w:w="140" w:type="dxa"/>
            <w:vAlign w:val="bottom"/>
          </w:tcPr>
          <w:p>
            <w:pPr>
              <w:spacing w:after="0"/>
              <w:rPr>
                <w:sz w:val="20"/>
                <w:szCs w:val="20"/>
                <w:color w:val="auto"/>
              </w:rPr>
            </w:pPr>
            <w:r>
              <w:rPr>
                <w:rFonts w:ascii="Arial" w:cs="Arial" w:eastAsia="Arial" w:hAnsi="Arial"/>
                <w:sz w:val="22"/>
                <w:szCs w:val="22"/>
                <w:color w:val="auto"/>
              </w:rPr>
              <w:t>[</w:t>
            </w:r>
          </w:p>
        </w:tc>
        <w:tc>
          <w:tcPr>
            <w:tcW w:w="11280" w:type="dxa"/>
            <w:vAlign w:val="bottom"/>
            <w:gridSpan w:val="2"/>
          </w:tcPr>
          <w:p>
            <w:pPr>
              <w:ind w:left="100"/>
              <w:spacing w:after="0"/>
              <w:rPr>
                <w:sz w:val="20"/>
                <w:szCs w:val="20"/>
                <w:color w:val="auto"/>
              </w:rPr>
            </w:pPr>
            <w:r>
              <w:rPr>
                <w:rFonts w:ascii="Arial" w:cs="Arial" w:eastAsia="Arial" w:hAnsi="Arial"/>
                <w:sz w:val="22"/>
                <w:szCs w:val="22"/>
                <w:color w:val="auto"/>
              </w:rPr>
              <w:t xml:space="preserve">] Pre-commencement communication pursuant to Rule 13e-4(c) under the Exchange </w:t>
            </w:r>
            <w:r>
              <w:rPr>
                <w:rFonts w:ascii="Arial" w:cs="Arial" w:eastAsia="Arial" w:hAnsi="Arial"/>
                <w:sz w:val="18"/>
                <w:szCs w:val="18"/>
                <w:color w:val="auto"/>
              </w:rPr>
              <w:t>Act (17 CFR 240.13e-4(c))</w:t>
            </w:r>
          </w:p>
        </w:tc>
      </w:tr>
      <w:tr>
        <w:trPr>
          <w:trHeight w:val="1229"/>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Indemnification of Former Officer Susie Strohm. In the previously-disclosed civil suit by former officer Susie Strohm (“Strohm”) and her counsel Dorsey &amp; Whitney LLP (“Dorsey”), the Third Judicial District Court in Salt Lake City (“Court”) issued a Ruling and Order on January 24, 2011 with respect to Dorsey’s petition for attorneys’ fees and costs, which sought over $3,000,000 in addition to the $1,447,000 that ClearOne has already paid to Dorsey in connection with Strohm’s federal criminal defense.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Court ruled that Dorsey is entitled to keep all of the attorneys’ fees and costs that it already received for criminal defense services rendered through March 31, 2008, with no retrospective adjustment or reimbursement. For criminal defense services rendered and costs incurred from April 1, 2008 through the federal jury verdict in the criminal case on February 27, 2009, the Court ruled that ClearOne is required to pay Dorsey for all hours billed, except for certain travel hours billed, and at rates that are at or below the rates set forth in Dorsey’s bills. Dorsey is required to submit a judgment specifying the amounts authorized by the court’s ruling. At present, ClearOne estimates that the criminal defense fees and costs due to Dorsey pursuant to this ruling are approximately $90 0,000. In addition, the court ruled that ClearOne is required to pay interest on the criminal defense fees and costs which, at present, is estimated to be approximately $330,000. The court further ruled that if Strohm prevails on her criminal appeal and potential retrial of the criminal case, ClearOne would be obligated to pay additional reasonable attorneys’ fees and costs incurred after the February 27, 2009 jury verdict.</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Court also ruled that ClearOne is required to pay Dorsey’s reasonable attorneys’ fees and costs incurred in bringing this lawsuit against ClearOne subject to certain deductions. At present, ClearOne estimates that the amounts due to Dorsey for such fees and costs are approximately $850,000.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ClearOne is considering its options for appeal.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Report on Form 8-K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estimates or the potential amounts due under or impact of pending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 ent events or circumstances. Readers should not place undue reliance on these forward-looking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January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Zee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Zee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2019-12-10T09:56:27Z</dcterms:created>
  <dcterms:modified xsi:type="dcterms:W3CDTF">2019-12-10T09:56:27Z</dcterms:modified>
</cp:coreProperties>
</file>