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13D/A</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185060100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Edward Dallin Bagley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2350 Oakhill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Tel. (801) 573-8227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August 25,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13d-1(e), (f) (g), check the following box [ ]</w:t>
      </w:r>
    </w:p>
    <w:p>
      <w:pPr>
        <w:spacing w:after="0" w:line="166"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w:t>
      </w:r>
      <w:r>
        <w:rPr>
          <w:rFonts w:ascii="Arial" w:cs="Arial" w:eastAsia="Arial" w:hAnsi="Arial"/>
          <w:sz w:val="18"/>
          <w:szCs w:val="18"/>
          <w:b w:val="1"/>
          <w:bCs w:val="1"/>
          <w:color w:val="auto"/>
        </w:rPr>
        <w:t xml:space="preserve"> </w:t>
      </w:r>
      <w:r>
        <w:rPr>
          <w:rFonts w:ascii="Arial" w:cs="Arial" w:eastAsia="Arial" w:hAnsi="Arial"/>
          <w:sz w:val="18"/>
          <w:szCs w:val="18"/>
          <w:color w:val="auto"/>
        </w:rPr>
        <w:t>13d-7 for other parties to who copies are to be sent.</w:t>
      </w:r>
    </w:p>
    <w:p>
      <w:pPr>
        <w:spacing w:after="0" w:line="16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1747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34290"/>
                    </a:xfrm>
                    <a:prstGeom prst="rect">
                      <a:avLst/>
                    </a:prstGeom>
                    <a:noFill/>
                  </pic:spPr>
                </pic:pic>
              </a:graphicData>
            </a:graphic>
          </wp:anchor>
        </w:drawing>
      </w:r>
    </w:p>
    <w:p>
      <w:pPr>
        <w:sectPr>
          <w:pgSz w:w="11900" w:h="16838" w:orient="portrait"/>
          <w:cols w:equalWidth="0" w:num="1">
            <w:col w:w="9720"/>
          </w:cols>
          <w:pgMar w:left="900" w:top="445" w:right="1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6174740" cy="764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7640955"/>
                    </a:xfrm>
                    <a:prstGeom prst="rect">
                      <a:avLst/>
                    </a:prstGeom>
                    <a:noFill/>
                  </pic:spPr>
                </pic:pic>
              </a:graphicData>
            </a:graphic>
          </wp:anchor>
        </w:drawing>
      </w:r>
    </w:p>
    <w:p>
      <w:pPr>
        <w:spacing w:after="0" w:line="236" w:lineRule="exact"/>
        <w:rPr>
          <w:sz w:val="20"/>
          <w:szCs w:val="20"/>
          <w:color w:val="auto"/>
        </w:rPr>
      </w:pPr>
    </w:p>
    <w:p>
      <w:pPr>
        <w:ind w:left="640" w:right="6960" w:hanging="155"/>
        <w:spacing w:after="0" w:line="590"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Edward Dallin Bagley</w:t>
      </w:r>
    </w:p>
    <w:p>
      <w:pPr>
        <w:ind w:left="640" w:hanging="155"/>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880" w:hanging="235"/>
        <w:spacing w:after="0"/>
        <w:tabs>
          <w:tab w:leader="none" w:pos="88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900" w:hanging="255"/>
        <w:spacing w:after="0"/>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251" w:lineRule="exact"/>
        <w:rPr>
          <w:rFonts w:ascii="Arial" w:cs="Arial" w:eastAsia="Arial" w:hAnsi="Arial"/>
          <w:sz w:val="18"/>
          <w:szCs w:val="18"/>
          <w:color w:val="auto"/>
        </w:rPr>
      </w:pPr>
    </w:p>
    <w:p>
      <w:pPr>
        <w:ind w:left="640" w:hanging="155"/>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5" w:lineRule="exact"/>
        <w:rPr>
          <w:rFonts w:ascii="Arial" w:cs="Arial" w:eastAsia="Arial" w:hAnsi="Arial"/>
          <w:sz w:val="18"/>
          <w:szCs w:val="18"/>
          <w:color w:val="auto"/>
        </w:rPr>
      </w:pPr>
    </w:p>
    <w:p>
      <w:pPr>
        <w:ind w:left="640" w:right="7900" w:hanging="155"/>
        <w:spacing w:after="0" w:line="590"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Source of Funds Not applicable</w:t>
      </w:r>
    </w:p>
    <w:p>
      <w:pPr>
        <w:ind w:left="640" w:right="3020" w:hanging="155"/>
        <w:spacing w:after="0" w:line="524"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Not applicable</w:t>
      </w:r>
    </w:p>
    <w:p>
      <w:pPr>
        <w:spacing w:after="0" w:line="1" w:lineRule="exact"/>
        <w:rPr>
          <w:rFonts w:ascii="Arial" w:cs="Arial" w:eastAsia="Arial" w:hAnsi="Arial"/>
          <w:sz w:val="18"/>
          <w:szCs w:val="18"/>
          <w:color w:val="auto"/>
        </w:rPr>
      </w:pPr>
    </w:p>
    <w:p>
      <w:pPr>
        <w:ind w:left="640" w:right="6440" w:hanging="155"/>
        <w:spacing w:after="0" w:line="524"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 or Place of Organization U.S.</w:t>
      </w:r>
    </w:p>
    <w:p>
      <w:pPr>
        <w:sectPr>
          <w:pgSz w:w="11900" w:h="16838" w:orient="portrait"/>
          <w:cols w:equalWidth="0" w:num="1">
            <w:col w:w="9720"/>
          </w:cols>
          <w:pgMar w:left="900" w:top="378"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ind w:left="251" w:hanging="161"/>
        <w:spacing w:after="0"/>
        <w:tabs>
          <w:tab w:leader="none" w:pos="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rFonts w:ascii="Arial" w:cs="Arial" w:eastAsia="Arial" w:hAnsi="Arial"/>
          <w:sz w:val="18"/>
          <w:szCs w:val="18"/>
          <w:color w:val="auto"/>
        </w:rPr>
      </w:pPr>
    </w:p>
    <w:p>
      <w:pPr>
        <w:ind w:left="251" w:right="40"/>
        <w:spacing w:after="0" w:line="277" w:lineRule="auto"/>
        <w:rPr>
          <w:rFonts w:ascii="Arial" w:cs="Arial" w:eastAsia="Arial" w:hAnsi="Arial"/>
          <w:sz w:val="18"/>
          <w:szCs w:val="18"/>
          <w:color w:val="auto"/>
        </w:rPr>
      </w:pPr>
      <w:r>
        <w:rPr>
          <w:rFonts w:ascii="Arial" w:cs="Arial" w:eastAsia="Arial" w:hAnsi="Arial"/>
          <w:sz w:val="18"/>
          <w:szCs w:val="18"/>
          <w:color w:val="auto"/>
        </w:rPr>
        <w:t>2,623,997 (not including 10,137 shares subject to options exercisable within 60 days and 18,196 shares subject to unvested options)</w:t>
      </w:r>
    </w:p>
    <w:p>
      <w:pPr>
        <w:spacing w:after="0" w:line="210" w:lineRule="exact"/>
        <w:rPr>
          <w:rFonts w:ascii="Arial" w:cs="Arial" w:eastAsia="Arial" w:hAnsi="Arial"/>
          <w:sz w:val="18"/>
          <w:szCs w:val="18"/>
          <w:color w:val="auto"/>
        </w:rPr>
      </w:pPr>
    </w:p>
    <w:p>
      <w:pPr>
        <w:ind w:left="251" w:right="6500" w:hanging="161"/>
        <w:spacing w:after="0" w:line="277" w:lineRule="auto"/>
        <w:tabs>
          <w:tab w:leader="none" w:pos="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Shared Voting Power 0 *</w:t>
      </w:r>
    </w:p>
    <w:p>
      <w:pPr>
        <w:spacing w:after="0" w:line="210" w:lineRule="exact"/>
        <w:rPr>
          <w:rFonts w:ascii="Arial" w:cs="Arial" w:eastAsia="Arial" w:hAnsi="Arial"/>
          <w:sz w:val="18"/>
          <w:szCs w:val="18"/>
          <w:color w:val="auto"/>
        </w:rPr>
      </w:pPr>
    </w:p>
    <w:p>
      <w:pPr>
        <w:ind w:left="251" w:hanging="161"/>
        <w:spacing w:after="0"/>
        <w:tabs>
          <w:tab w:leader="none" w:pos="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rFonts w:ascii="Arial" w:cs="Arial" w:eastAsia="Arial" w:hAnsi="Arial"/>
          <w:sz w:val="18"/>
          <w:szCs w:val="18"/>
          <w:color w:val="auto"/>
        </w:rPr>
      </w:pPr>
    </w:p>
    <w:p>
      <w:pPr>
        <w:ind w:left="251" w:right="360"/>
        <w:spacing w:after="0" w:line="277" w:lineRule="auto"/>
        <w:rPr>
          <w:rFonts w:ascii="Arial" w:cs="Arial" w:eastAsia="Arial" w:hAnsi="Arial"/>
          <w:sz w:val="18"/>
          <w:szCs w:val="18"/>
          <w:color w:val="auto"/>
        </w:rPr>
      </w:pPr>
      <w:r>
        <w:rPr>
          <w:rFonts w:ascii="Arial" w:cs="Arial" w:eastAsia="Arial" w:hAnsi="Arial"/>
          <w:sz w:val="18"/>
          <w:szCs w:val="18"/>
          <w:color w:val="auto"/>
        </w:rPr>
        <w:t>2,634,134 (including 10,137 shares subject to options exercisable within 60 days and not including 18,196 shares subject to unvested options)</w:t>
      </w:r>
    </w:p>
    <w:p>
      <w:pPr>
        <w:spacing w:after="0" w:line="210" w:lineRule="exact"/>
        <w:rPr>
          <w:rFonts w:ascii="Arial" w:cs="Arial" w:eastAsia="Arial" w:hAnsi="Arial"/>
          <w:sz w:val="18"/>
          <w:szCs w:val="18"/>
          <w:color w:val="auto"/>
        </w:rPr>
      </w:pPr>
    </w:p>
    <w:p>
      <w:pPr>
        <w:ind w:left="251" w:right="6160" w:hanging="251"/>
        <w:spacing w:after="0" w:line="277" w:lineRule="auto"/>
        <w:tabs>
          <w:tab w:leader="none" w:pos="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Shared Dispositive Power 0 *</w:t>
      </w:r>
    </w:p>
    <w:p>
      <w:pPr>
        <w:spacing w:after="0" w:line="200" w:lineRule="exact"/>
        <w:rPr>
          <w:sz w:val="20"/>
          <w:szCs w:val="20"/>
          <w:color w:val="auto"/>
        </w:rPr>
      </w:pPr>
    </w:p>
    <w:p>
      <w:pPr>
        <w:sectPr>
          <w:pgSz w:w="11900" w:h="16838" w:orient="portrait"/>
          <w:cols w:equalWidth="0" w:num="2">
            <w:col w:w="920" w:space="529"/>
            <w:col w:w="8271"/>
          </w:cols>
          <w:pgMar w:left="900" w:top="378" w:right="1279" w:bottom="1440" w:gutter="0" w:footer="0" w:header="0"/>
          <w:type w:val="continuous"/>
        </w:sectPr>
      </w:pPr>
    </w:p>
    <w:p>
      <w:pPr>
        <w:spacing w:after="0" w:line="11" w:lineRule="exact"/>
        <w:rPr>
          <w:sz w:val="20"/>
          <w:szCs w:val="20"/>
          <w:color w:val="auto"/>
        </w:rPr>
      </w:pPr>
    </w:p>
    <w:p>
      <w:pPr>
        <w:ind w:left="640" w:hanging="23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36" w:lineRule="exact"/>
        <w:rPr>
          <w:rFonts w:ascii="Arial" w:cs="Arial" w:eastAsia="Arial" w:hAnsi="Arial"/>
          <w:sz w:val="17"/>
          <w:szCs w:val="17"/>
          <w:color w:val="auto"/>
        </w:rPr>
      </w:pPr>
    </w:p>
    <w:p>
      <w:pPr>
        <w:ind w:left="640" w:right="180"/>
        <w:spacing w:after="0" w:line="277" w:lineRule="auto"/>
        <w:rPr>
          <w:rFonts w:ascii="Arial" w:cs="Arial" w:eastAsia="Arial" w:hAnsi="Arial"/>
          <w:sz w:val="17"/>
          <w:szCs w:val="17"/>
          <w:color w:val="auto"/>
        </w:rPr>
      </w:pPr>
      <w:r>
        <w:rPr>
          <w:rFonts w:ascii="Arial" w:cs="Arial" w:eastAsia="Arial" w:hAnsi="Arial"/>
          <w:sz w:val="18"/>
          <w:szCs w:val="18"/>
          <w:color w:val="auto"/>
        </w:rPr>
        <w:t>2,634,134 (including 10,137 shares subject to options exercisable within 60 days and not including 18,196 shares subject to unvested options) *</w:t>
      </w:r>
    </w:p>
    <w:p>
      <w:pPr>
        <w:spacing w:after="0" w:line="211" w:lineRule="exact"/>
        <w:rPr>
          <w:sz w:val="20"/>
          <w:szCs w:val="20"/>
          <w:color w:val="auto"/>
        </w:rPr>
      </w:pPr>
    </w:p>
    <w:p>
      <w:pPr>
        <w:ind w:left="400"/>
        <w:spacing w:after="0"/>
        <w:tabs>
          <w:tab w:leader="none" w:pos="7200" w:val="left"/>
        </w:tabs>
        <w:rPr>
          <w:sz w:val="20"/>
          <w:szCs w:val="20"/>
          <w:color w:val="auto"/>
        </w:rPr>
      </w:pPr>
      <w:r>
        <w:rPr>
          <w:rFonts w:ascii="Arial" w:cs="Arial" w:eastAsia="Arial" w:hAnsi="Arial"/>
          <w:sz w:val="16"/>
          <w:szCs w:val="16"/>
          <w:color w:val="auto"/>
        </w:rPr>
        <w:t>12. Check if the Aggregate Amount in Row (11) Excludes Certain Shares (See Instructions) [</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ind w:left="640" w:hanging="245"/>
        <w:spacing w:after="0"/>
        <w:tabs>
          <w:tab w:leader="none" w:pos="64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Percentage of Class Represented by Amount in Row (11)</w:t>
      </w:r>
    </w:p>
    <w:p>
      <w:pPr>
        <w:spacing w:after="0" w:line="236" w:lineRule="exact"/>
        <w:rPr>
          <w:rFonts w:ascii="Arial" w:cs="Arial" w:eastAsia="Arial" w:hAnsi="Arial"/>
          <w:sz w:val="17"/>
          <w:szCs w:val="17"/>
          <w:color w:val="auto"/>
        </w:rPr>
      </w:pPr>
    </w:p>
    <w:p>
      <w:pPr>
        <w:ind w:left="640" w:right="440"/>
        <w:spacing w:after="0" w:line="277" w:lineRule="auto"/>
        <w:rPr>
          <w:rFonts w:ascii="Arial" w:cs="Arial" w:eastAsia="Arial" w:hAnsi="Arial"/>
          <w:sz w:val="17"/>
          <w:szCs w:val="17"/>
          <w:color w:val="auto"/>
        </w:rPr>
      </w:pPr>
      <w:r>
        <w:rPr>
          <w:rFonts w:ascii="Arial" w:cs="Arial" w:eastAsia="Arial" w:hAnsi="Arial"/>
          <w:sz w:val="18"/>
          <w:szCs w:val="18"/>
          <w:color w:val="auto"/>
        </w:rPr>
        <w:t>31.3% (including 10,137 shares subject to options exercisable within 60 days and not including 18,196 shares subject to unvested options) *</w:t>
      </w:r>
    </w:p>
    <w:p>
      <w:pPr>
        <w:spacing w:after="0" w:line="210" w:lineRule="exact"/>
        <w:rPr>
          <w:rFonts w:ascii="Arial" w:cs="Arial" w:eastAsia="Arial" w:hAnsi="Arial"/>
          <w:sz w:val="17"/>
          <w:szCs w:val="17"/>
          <w:color w:val="auto"/>
        </w:rPr>
      </w:pPr>
    </w:p>
    <w:p>
      <w:pPr>
        <w:ind w:left="640" w:hanging="245"/>
        <w:spacing w:after="0"/>
        <w:tabs>
          <w:tab w:leader="none" w:pos="640" w:val="left"/>
        </w:tabs>
        <w:numPr>
          <w:ilvl w:val="1"/>
          <w:numId w:val="4"/>
        </w:numPr>
        <w:rPr>
          <w:rFonts w:ascii="Arial" w:cs="Arial" w:eastAsia="Arial" w:hAnsi="Arial"/>
          <w:sz w:val="17"/>
          <w:szCs w:val="17"/>
          <w:color w:val="auto"/>
        </w:rPr>
      </w:pPr>
      <w:r>
        <w:rPr>
          <w:rFonts w:ascii="Arial" w:cs="Arial" w:eastAsia="Arial" w:hAnsi="Arial"/>
          <w:sz w:val="17"/>
          <w:szCs w:val="17"/>
          <w:color w:val="auto"/>
        </w:rPr>
        <w:t>Type of Reporting Person (See Instructions)</w:t>
      </w:r>
    </w:p>
    <w:p>
      <w:pPr>
        <w:spacing w:after="0" w:line="23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IN</w:t>
      </w:r>
    </w:p>
    <w:p>
      <w:pPr>
        <w:spacing w:after="0" w:line="252" w:lineRule="exact"/>
        <w:rPr>
          <w:rFonts w:ascii="Arial" w:cs="Arial" w:eastAsia="Arial" w:hAnsi="Arial"/>
          <w:sz w:val="17"/>
          <w:szCs w:val="17"/>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 Mr. Bagley may be deemed to own 800,000 shares of common stock that are deemed to be owned by his wife, Carolyn Bagley, as a result of her acting as one of four co-trustees of a trust. Mr. Bagley may also be deemed to own 126,166 shares of common stock that Carolyn Bagley owns individually. Mr. Bagley, however, disclaims beneficial ownership of these shares.</w:t>
      </w:r>
    </w:p>
    <w:p>
      <w:pPr>
        <w:sectPr>
          <w:pgSz w:w="11900" w:h="16838" w:orient="portrait"/>
          <w:cols w:equalWidth="0" w:num="1">
            <w:col w:w="9720"/>
          </w:cols>
          <w:pgMar w:left="900" w:top="378" w:right="127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61747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34290"/>
                    </a:xfrm>
                    <a:prstGeom prst="rect">
                      <a:avLst/>
                    </a:prstGeom>
                    <a:noFill/>
                  </pic:spPr>
                </pic:pic>
              </a:graphicData>
            </a:graphic>
          </wp:anchor>
        </w:drawing>
      </w:r>
    </w:p>
    <w:p>
      <w:pPr>
        <w:sectPr>
          <w:pgSz w:w="11900" w:h="16838" w:orient="portrait"/>
          <w:cols w:equalWidth="0" w:num="1">
            <w:col w:w="9720"/>
          </w:cols>
          <w:pgMar w:left="900" w:top="378" w:right="1279" w:bottom="1440" w:gutter="0" w:footer="0" w:header="0"/>
          <w:type w:val="continuous"/>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This statement on Schedule 13D relates to the shares of common stock, par value $.001 per share (the “Common Stock”), of ClearOne Inc., a Utah corporation (the “Company”). The Company’s principal executive offices are located at 5225 Wiley Post Way, Suite 500, Salt Lake City, Utah 84116.</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Identity and Background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 Name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statement is being filed by Edward Dallin Bagley.</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 Residence or business address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Bagley’s address is 2350 Oakhill Drive, Salt Lake City, Utah 84121.</w:t>
      </w:r>
    </w:p>
    <w:p>
      <w:pPr>
        <w:spacing w:after="0" w:line="221" w:lineRule="exact"/>
        <w:rPr>
          <w:sz w:val="20"/>
          <w:szCs w:val="20"/>
          <w:color w:val="auto"/>
        </w:rPr>
      </w:pPr>
    </w:p>
    <w:p>
      <w:pPr>
        <w:ind w:left="324" w:hanging="324"/>
        <w:spacing w:after="0" w:line="282" w:lineRule="auto"/>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Present principal occupation or employment and the name, principal business and address of any corporation or other organization in which such employment is conducted</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Bagley is principally self-employed as an investor and attorney.</w:t>
      </w:r>
    </w:p>
    <w:p>
      <w:pPr>
        <w:spacing w:after="0" w:line="221" w:lineRule="exact"/>
        <w:rPr>
          <w:sz w:val="20"/>
          <w:szCs w:val="20"/>
          <w:color w:val="auto"/>
        </w:rPr>
      </w:pPr>
    </w:p>
    <w:p>
      <w:pPr>
        <w:jc w:val="both"/>
        <w:ind w:left="324" w:hanging="324"/>
        <w:spacing w:after="0" w:line="266" w:lineRule="auto"/>
        <w:tabs>
          <w:tab w:leader="none" w:pos="3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Whether or not, during the last five years, such person has been convicted in a criminal proceeding (excluding minor traffic violations or similar misdemeanors) and, if so, give the dates, nature of conviction, name and location of court, any penalty imposed, or other disposition of the case.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ind w:left="324" w:hanging="324"/>
        <w:spacing w:after="0" w:line="258" w:lineRule="auto"/>
        <w:tabs>
          <w:tab w:leader="none" w:pos="3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Whether or not, during the last five years, such person was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 Citizenship.</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Bagley is a citizen of the United States.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Bagley used personal funds to acquire the shares. See Item 5 for amount of funds.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Bagley has acquired the Common Stock for investment purposes.</w:t>
      </w:r>
    </w:p>
    <w:p>
      <w:pPr>
        <w:spacing w:after="0" w:line="225" w:lineRule="exact"/>
        <w:rPr>
          <w:sz w:val="20"/>
          <w:szCs w:val="20"/>
          <w:color w:val="auto"/>
        </w:rPr>
      </w:pPr>
    </w:p>
    <w:p>
      <w:pPr>
        <w:jc w:val="both"/>
        <w:ind w:left="4"/>
        <w:spacing w:after="0" w:line="269" w:lineRule="auto"/>
        <w:rPr>
          <w:sz w:val="20"/>
          <w:szCs w:val="20"/>
          <w:color w:val="auto"/>
        </w:rPr>
      </w:pPr>
      <w:r>
        <w:rPr>
          <w:rFonts w:ascii="Arial" w:cs="Arial" w:eastAsia="Arial" w:hAnsi="Arial"/>
          <w:sz w:val="17"/>
          <w:szCs w:val="17"/>
          <w:color w:val="auto"/>
        </w:rPr>
        <w:t>In pursuing such investment purposes, Mr. Bagley may further purchase, hold, vote, trade, dispose or otherwise deal in the Common Stock at such times, and in such manner, as he deems advisable to benefit from changes in market prices of the Common Stock, changes in the Issuer's operations, business strategy or prospects, or from sale or merger of the Issuer. To evaluate such alternatives, Mr. Bagley will routinely monitor the Issuer's operations, prospects, business development, management, competitive and strategic matters, capital structure, and prevailing market conditions, as well as alternative investment opportunities, liquidity requirements of Mr. Bagley and other investment considerations. Mr. Bagley may discuss such matters with management or directors of the Issuer, other shareholders, industry analysts, investment and financing professionals, sources of credit and other investors. Such factors and discussions may materially affect, and result in, Mr. Bagley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2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1747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34290"/>
                    </a:xfrm>
                    <a:prstGeom prst="rect">
                      <a:avLst/>
                    </a:prstGeom>
                    <a:noFill/>
                  </pic:spPr>
                </pic:pic>
              </a:graphicData>
            </a:graphic>
          </wp:anchor>
        </w:drawing>
      </w:r>
    </w:p>
    <w:p>
      <w:pPr>
        <w:sectPr>
          <w:pgSz w:w="11900" w:h="16838" w:orient="portrait"/>
          <w:cols w:equalWidth="0" w:num="1">
            <w:col w:w="9724"/>
          </w:cols>
          <w:pgMar w:left="896" w:top="378" w:right="1279" w:bottom="1440" w:gutter="0" w:footer="0" w:header="0"/>
        </w:sectPr>
      </w:pPr>
    </w:p>
    <w:bookmarkStart w:id="3" w:name="page4"/>
    <w:bookmarkEnd w:id="3"/>
    <w:p>
      <w:pPr>
        <w:jc w:val="both"/>
        <w:ind w:left="40"/>
        <w:spacing w:after="0" w:line="279" w:lineRule="auto"/>
        <w:rPr>
          <w:sz w:val="20"/>
          <w:szCs w:val="20"/>
          <w:color w:val="auto"/>
        </w:rPr>
      </w:pPr>
      <w:r>
        <w:rPr>
          <w:rFonts w:ascii="Arial" w:cs="Arial" w:eastAsia="Arial" w:hAnsi="Arial"/>
          <w:sz w:val="17"/>
          <w:szCs w:val="17"/>
          <w:color w:val="auto"/>
        </w:rPr>
        <w:t>Mr. Bagley reserves the right to formulate other plans and/or make other proposals, and take such actions with respect to his investment in the Issuer, including any or all of the actions set forth in paragraphs (a) through (j) of Item 4 of Schedule 13D, or acquire additional Common Stock or dispose of all the Common Stock beneficially owned by him, in the public market or privately negotiated transactions. Mr. Bagley may at any time reconsider and change his plans or proposals relating to the foregoing.</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40" w:right="20" w:hanging="4"/>
        <w:spacing w:after="0" w:line="286" w:lineRule="auto"/>
        <w:tabs>
          <w:tab w:leader="none" w:pos="286"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of the date hereof and except for the option described below, Mr. Bagley is the beneficial owner of 2,634,134 (including 10,137 shares subject to options exercisable within 60 days and not including 18,196 shares subject to unvested options) shares of the Common Stock, representing approximately 31.3% of the Issuer’s outstanding Common Stock.</w:t>
      </w:r>
    </w:p>
    <w:p>
      <w:pPr>
        <w:spacing w:after="0" w:line="166" w:lineRule="exact"/>
        <w:rPr>
          <w:sz w:val="20"/>
          <w:szCs w:val="20"/>
          <w:color w:val="auto"/>
        </w:rPr>
      </w:pPr>
    </w:p>
    <w:p>
      <w:pPr>
        <w:jc w:val="both"/>
        <w:ind w:left="40"/>
        <w:spacing w:after="0" w:line="286" w:lineRule="auto"/>
        <w:rPr>
          <w:sz w:val="20"/>
          <w:szCs w:val="20"/>
          <w:color w:val="auto"/>
        </w:rPr>
      </w:pPr>
      <w:r>
        <w:rPr>
          <w:rFonts w:ascii="Arial" w:cs="Arial" w:eastAsia="Arial" w:hAnsi="Arial"/>
          <w:sz w:val="17"/>
          <w:szCs w:val="17"/>
          <w:color w:val="auto"/>
        </w:rPr>
        <w:t>Mr. Bagley may be deemed to own 800,000 shares of common stock that are deemed to be owned by his wife, Carolyn Bagley, as a result of her acting as one of four co-trustees of a trust. Mr. Bagley may also be deemed to own 126,166 shares of common stock that Carolyn Bagley owns individually. Mr. Bagley, however, disclaims beneficial ownership of these shares.</w:t>
      </w:r>
    </w:p>
    <w:p>
      <w:pPr>
        <w:spacing w:after="0" w:line="166" w:lineRule="exact"/>
        <w:rPr>
          <w:sz w:val="20"/>
          <w:szCs w:val="20"/>
          <w:color w:val="auto"/>
        </w:rPr>
      </w:pPr>
    </w:p>
    <w:p>
      <w:pPr>
        <w:ind w:left="260" w:hanging="260"/>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of Common Stock as to which the Reporting Person has:</w:t>
      </w:r>
    </w:p>
    <w:p>
      <w:pPr>
        <w:spacing w:after="0" w:line="225" w:lineRule="exact"/>
        <w:rPr>
          <w:rFonts w:ascii="Arial" w:cs="Arial" w:eastAsia="Arial" w:hAnsi="Arial"/>
          <w:sz w:val="18"/>
          <w:szCs w:val="18"/>
          <w:color w:val="auto"/>
        </w:rPr>
      </w:pPr>
    </w:p>
    <w:p>
      <w:pPr>
        <w:ind w:left="1000" w:hanging="315"/>
        <w:spacing w:after="0" w:line="258"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2,623,997 (not including 10,137 shares subject to options exercisable within 60 days and 18,196 shares subject to unvested options)</w:t>
      </w:r>
    </w:p>
    <w:p>
      <w:pPr>
        <w:spacing w:after="0" w:line="1" w:lineRule="exact"/>
        <w:rPr>
          <w:rFonts w:ascii="Arial" w:cs="Arial" w:eastAsia="Arial" w:hAnsi="Arial"/>
          <w:sz w:val="18"/>
          <w:szCs w:val="18"/>
          <w:color w:val="auto"/>
        </w:rPr>
      </w:pPr>
    </w:p>
    <w:p>
      <w:pPr>
        <w:ind w:left="1000" w:hanging="315"/>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0 *</w:t>
      </w:r>
    </w:p>
    <w:p>
      <w:pPr>
        <w:spacing w:after="0" w:line="9" w:lineRule="exact"/>
        <w:rPr>
          <w:rFonts w:ascii="Arial" w:cs="Arial" w:eastAsia="Arial" w:hAnsi="Arial"/>
          <w:sz w:val="18"/>
          <w:szCs w:val="18"/>
          <w:color w:val="auto"/>
        </w:rPr>
      </w:pPr>
    </w:p>
    <w:p>
      <w:pPr>
        <w:ind w:left="1000" w:right="20" w:hanging="315"/>
        <w:spacing w:after="0" w:line="250"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2,634,134 (including 10,137 shares subject to options exercisable within 60 days and not including 18,196 shares subject to unvested options)</w:t>
      </w:r>
    </w:p>
    <w:p>
      <w:pPr>
        <w:ind w:left="1000" w:hanging="315"/>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 *</w:t>
      </w:r>
    </w:p>
    <w:p>
      <w:pPr>
        <w:spacing w:after="0" w:line="211" w:lineRule="exact"/>
        <w:rPr>
          <w:sz w:val="20"/>
          <w:szCs w:val="20"/>
          <w:color w:val="auto"/>
        </w:rPr>
      </w:pPr>
    </w:p>
    <w:p>
      <w:pPr>
        <w:jc w:val="both"/>
        <w:ind w:left="40" w:right="120" w:hanging="4"/>
        <w:spacing w:after="0" w:line="286" w:lineRule="auto"/>
        <w:tabs>
          <w:tab w:leader="none" w:pos="1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Mr. Bagley may be deemed to own 800,000 shares of common stock that are deemed to be owned by his wife, Carolyn Bagley, as a result of her acting as one of four co-trustees of a trust. Mr. Bagley may also be deemed to own 126,166 shares of common stock that Carolyn Bagley owns individually. Mr. Bagley, however, disclaims beneficial ownership of these shares.</w:t>
      </w:r>
    </w:p>
    <w:p>
      <w:pPr>
        <w:spacing w:after="0" w:line="166" w:lineRule="exact"/>
        <w:rPr>
          <w:sz w:val="20"/>
          <w:szCs w:val="20"/>
          <w:color w:val="auto"/>
        </w:rPr>
      </w:pPr>
    </w:p>
    <w:p>
      <w:pPr>
        <w:jc w:val="both"/>
        <w:ind w:left="40" w:hanging="4"/>
        <w:spacing w:after="0" w:line="264"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table sets forth all transactions with respect to the Common Stock effected during the past sixty (60) days by the Reporting Person, inclusive of any transactions effected through 5:00 p.m., Salt Lake City time, on December 4, 2017. All such transactions were purchases of Common Stock effected pursuant to acquisitions in the open market.</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241"/>
        </w:trPr>
        <w:tc>
          <w:tcPr>
            <w:tcW w:w="25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Transaction Date</w:t>
            </w:r>
          </w:p>
        </w:tc>
        <w:tc>
          <w:tcPr>
            <w:tcW w:w="260" w:type="dxa"/>
            <w:vAlign w:val="bottom"/>
          </w:tcPr>
          <w:p>
            <w:pPr>
              <w:spacing w:after="0"/>
              <w:rPr>
                <w:sz w:val="20"/>
                <w:szCs w:val="20"/>
                <w:color w:val="auto"/>
              </w:rPr>
            </w:pPr>
          </w:p>
        </w:tc>
        <w:tc>
          <w:tcPr>
            <w:tcW w:w="2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Number of Shares Purchased</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Purchase Price Per Share</w:t>
            </w:r>
          </w:p>
        </w:tc>
      </w:tr>
      <w:tr>
        <w:trPr>
          <w:trHeight w:val="431"/>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31,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289,590</w:t>
            </w:r>
          </w:p>
        </w:tc>
        <w:tc>
          <w:tcPr>
            <w:tcW w:w="220" w:type="dxa"/>
            <w:vAlign w:val="bottom"/>
          </w:tcPr>
          <w:p>
            <w:pPr>
              <w:spacing w:after="0"/>
              <w:rPr>
                <w:sz w:val="24"/>
                <w:szCs w:val="24"/>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$7.00</w:t>
            </w:r>
          </w:p>
        </w:tc>
      </w:tr>
      <w:tr>
        <w:trPr>
          <w:trHeight w:val="216"/>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30,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$6.95</w:t>
            </w:r>
          </w:p>
        </w:tc>
      </w:tr>
      <w:tr>
        <w:trPr>
          <w:trHeight w:val="230"/>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29,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20"/>
                <w:szCs w:val="20"/>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$7.00</w:t>
            </w:r>
          </w:p>
        </w:tc>
      </w:tr>
      <w:tr>
        <w:trPr>
          <w:trHeight w:val="243"/>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28,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1"/>
                <w:szCs w:val="21"/>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$7.00</w:t>
            </w:r>
          </w:p>
        </w:tc>
      </w:tr>
      <w:tr>
        <w:trPr>
          <w:trHeight w:val="243"/>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22,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$6.90</w:t>
            </w:r>
          </w:p>
        </w:tc>
      </w:tr>
      <w:tr>
        <w:trPr>
          <w:trHeight w:val="243"/>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10, 2012</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1"/>
                <w:szCs w:val="21"/>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$7.80</w:t>
            </w:r>
          </w:p>
        </w:tc>
      </w:tr>
      <w:tr>
        <w:trPr>
          <w:trHeight w:val="243"/>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10, 2012</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1"/>
                <w:szCs w:val="21"/>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$7.75</w:t>
            </w:r>
          </w:p>
        </w:tc>
      </w:tr>
      <w:tr>
        <w:trPr>
          <w:trHeight w:val="243"/>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18,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1"/>
                <w:szCs w:val="21"/>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$7.60</w:t>
            </w:r>
          </w:p>
        </w:tc>
      </w:tr>
      <w:tr>
        <w:trPr>
          <w:trHeight w:val="243"/>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15,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$7.60</w:t>
            </w:r>
          </w:p>
        </w:tc>
      </w:tr>
      <w:tr>
        <w:trPr>
          <w:trHeight w:val="243"/>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14,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1"/>
                <w:szCs w:val="21"/>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$7.60</w:t>
            </w:r>
          </w:p>
        </w:tc>
      </w:tr>
      <w:tr>
        <w:trPr>
          <w:trHeight w:val="243"/>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8,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1"/>
                <w:szCs w:val="21"/>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$7.5883</w:t>
            </w:r>
          </w:p>
        </w:tc>
      </w:tr>
      <w:tr>
        <w:trPr>
          <w:trHeight w:val="243"/>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8,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2,195</w:t>
            </w:r>
          </w:p>
        </w:tc>
        <w:tc>
          <w:tcPr>
            <w:tcW w:w="220" w:type="dxa"/>
            <w:vAlign w:val="bottom"/>
          </w:tcPr>
          <w:p>
            <w:pPr>
              <w:spacing w:after="0"/>
              <w:rPr>
                <w:sz w:val="21"/>
                <w:szCs w:val="21"/>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$7.45</w:t>
            </w:r>
          </w:p>
        </w:tc>
      </w:tr>
      <w:tr>
        <w:trPr>
          <w:trHeight w:val="243"/>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5,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1"/>
                <w:szCs w:val="21"/>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$7.50</w:t>
            </w:r>
          </w:p>
        </w:tc>
      </w:tr>
      <w:tr>
        <w:trPr>
          <w:trHeight w:val="243"/>
        </w:trPr>
        <w:tc>
          <w:tcPr>
            <w:tcW w:w="2820" w:type="dxa"/>
            <w:vAlign w:val="bottom"/>
            <w:gridSpan w:val="2"/>
          </w:tcPr>
          <w:p>
            <w:pPr>
              <w:jc w:val="right"/>
              <w:ind w:right="760"/>
              <w:spacing w:after="0"/>
              <w:rPr>
                <w:sz w:val="20"/>
                <w:szCs w:val="20"/>
                <w:color w:val="auto"/>
              </w:rPr>
            </w:pPr>
            <w:r>
              <w:rPr>
                <w:rFonts w:ascii="Arial" w:cs="Arial" w:eastAsia="Arial" w:hAnsi="Arial"/>
                <w:sz w:val="18"/>
                <w:szCs w:val="18"/>
                <w:color w:val="auto"/>
              </w:rPr>
              <w:t>November 1, 2017</w:t>
            </w:r>
          </w:p>
        </w:tc>
        <w:tc>
          <w:tcPr>
            <w:tcW w:w="2600" w:type="dxa"/>
            <w:vAlign w:val="bottom"/>
          </w:tcPr>
          <w:p>
            <w:pPr>
              <w:jc w:val="right"/>
              <w:ind w:right="930"/>
              <w:spacing w:after="0"/>
              <w:rPr>
                <w:sz w:val="20"/>
                <w:szCs w:val="20"/>
                <w:color w:val="auto"/>
              </w:rPr>
            </w:pPr>
            <w:r>
              <w:rPr>
                <w:rFonts w:ascii="Arial" w:cs="Arial" w:eastAsia="Arial" w:hAnsi="Arial"/>
                <w:sz w:val="18"/>
                <w:szCs w:val="18"/>
                <w:color w:val="auto"/>
              </w:rPr>
              <w:t>8,922</w:t>
            </w:r>
          </w:p>
        </w:tc>
        <w:tc>
          <w:tcPr>
            <w:tcW w:w="220" w:type="dxa"/>
            <w:vAlign w:val="bottom"/>
          </w:tcPr>
          <w:p>
            <w:pPr>
              <w:spacing w:after="0"/>
              <w:rPr>
                <w:sz w:val="21"/>
                <w:szCs w:val="21"/>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$7.55</w:t>
            </w:r>
          </w:p>
        </w:tc>
      </w:tr>
    </w:tbl>
    <w:p>
      <w:pPr>
        <w:spacing w:after="0" w:line="242" w:lineRule="exact"/>
        <w:rPr>
          <w:sz w:val="20"/>
          <w:szCs w:val="20"/>
          <w:color w:val="auto"/>
        </w:rPr>
      </w:pPr>
    </w:p>
    <w:p>
      <w:pPr>
        <w:ind w:left="40" w:right="20" w:hanging="4"/>
        <w:spacing w:after="0" w:line="277" w:lineRule="auto"/>
        <w:tabs>
          <w:tab w:leader="none" w:pos="3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person, other than Mr. Bagley, has the power to direct the receipt of dividends on and the proceeds of sales on the shares of Common Stock beneficially owned by Mr. Bagley.</w:t>
      </w:r>
    </w:p>
    <w:p>
      <w:pPr>
        <w:spacing w:after="0" w:line="170" w:lineRule="exact"/>
        <w:rPr>
          <w:rFonts w:ascii="Arial" w:cs="Arial" w:eastAsia="Arial" w:hAnsi="Arial"/>
          <w:sz w:val="18"/>
          <w:szCs w:val="18"/>
          <w:color w:val="auto"/>
        </w:rPr>
      </w:pPr>
    </w:p>
    <w:p>
      <w:pPr>
        <w:ind w:left="280" w:hanging="244"/>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109220</wp:posOffset>
            </wp:positionV>
            <wp:extent cx="617474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34290"/>
                    </a:xfrm>
                    <a:prstGeom prst="rect">
                      <a:avLst/>
                    </a:prstGeom>
                    <a:noFill/>
                  </pic:spPr>
                </pic:pic>
              </a:graphicData>
            </a:graphic>
          </wp:anchor>
        </w:drawing>
      </w:r>
    </w:p>
    <w:p>
      <w:pPr>
        <w:sectPr>
          <w:pgSz w:w="11900" w:h="16838" w:orient="portrait"/>
          <w:cols w:equalWidth="0" w:num="1">
            <w:col w:w="9760"/>
          </w:cols>
          <w:pgMar w:left="860" w:top="382" w:right="1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otherwise described herein, Mr. Bagley does not have any contracts, arrangements, understandings or relationships (legal or otherwise) with any person with respect to any securities of the Company, including but not limited to transfer or voting of any of the securities of the Company, finder's fees, joint ventures, loan or option arrangements, puts or calls, guarantees of profits, division of profits or loss, or the giving or withholding of proxies, or a pledge or contingency the occurrence of which would give another person voting power over the securities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Dated: December 6, 2017</w:t>
            </w:r>
          </w:p>
        </w:tc>
        <w:tc>
          <w:tcPr>
            <w:tcW w:w="1560" w:type="dxa"/>
            <w:vAlign w:val="bottom"/>
          </w:tcPr>
          <w:p>
            <w:pPr>
              <w:spacing w:after="0"/>
              <w:rPr>
                <w:sz w:val="18"/>
                <w:szCs w:val="18"/>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 Dallin Bagley</w:t>
            </w:r>
          </w:p>
        </w:tc>
      </w:tr>
      <w:tr>
        <w:trPr>
          <w:trHeight w:val="224"/>
        </w:trPr>
        <w:tc>
          <w:tcPr>
            <w:tcW w:w="3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 Dallin Bagley</w:t>
            </w:r>
          </w:p>
        </w:tc>
      </w:tr>
      <w:tr>
        <w:trPr>
          <w:trHeight w:val="458"/>
        </w:trPr>
        <w:tc>
          <w:tcPr>
            <w:tcW w:w="3340" w:type="dxa"/>
            <w:vAlign w:val="bottom"/>
          </w:tcPr>
          <w:p>
            <w:pPr>
              <w:spacing w:after="0"/>
              <w:rPr>
                <w:sz w:val="24"/>
                <w:szCs w:val="24"/>
                <w:color w:val="auto"/>
              </w:rPr>
            </w:pPr>
          </w:p>
        </w:tc>
        <w:tc>
          <w:tcPr>
            <w:tcW w:w="4200" w:type="dxa"/>
            <w:vAlign w:val="bottom"/>
            <w:gridSpan w:val="2"/>
          </w:tcPr>
          <w:p>
            <w:pPr>
              <w:jc w:val="right"/>
              <w:ind w:right="2550"/>
              <w:spacing w:after="0"/>
              <w:rPr>
                <w:sz w:val="20"/>
                <w:szCs w:val="20"/>
                <w:color w:val="auto"/>
              </w:rPr>
            </w:pPr>
            <w:r>
              <w:rPr>
                <w:rFonts w:ascii="Arial" w:cs="Arial" w:eastAsia="Arial" w:hAnsi="Arial"/>
                <w:sz w:val="18"/>
                <w:szCs w:val="18"/>
                <w:color w:val="auto"/>
              </w:rPr>
              <w:t>5</w:t>
            </w:r>
          </w:p>
        </w:tc>
      </w:tr>
    </w:tbl>
    <w:p>
      <w:pPr>
        <w:spacing w:after="0" w:line="1" w:lineRule="exact"/>
        <w:rPr>
          <w:sz w:val="20"/>
          <w:szCs w:val="20"/>
          <w:color w:val="auto"/>
        </w:rPr>
      </w:pPr>
    </w:p>
    <w:sectPr>
      <w:pgSz w:w="11900" w:h="16838" w:orient="portrait"/>
      <w:cols w:equalWidth="0" w:num="1">
        <w:col w:w="9720"/>
      </w:cols>
      <w:pgMar w:left="900" w:top="378"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lvl w:ilvl="1">
      <w:lvlJc w:val="left"/>
      <w:lvlText w:val="(%2)"/>
      <w:numFmt w:val="lowerLetter"/>
      <w:start w:val="1"/>
    </w:lvl>
  </w:abstractNum>
  <w:abstractNum w:abstractNumId="1">
    <w:nsid w:val="41B71EFB"/>
    <w:multiLevelType w:val="hybridMultilevel"/>
    <w:lvl w:ilvl="0">
      <w:lvlJc w:val="left"/>
      <w:lvlText w:val="%1."/>
      <w:numFmt w:val="decimal"/>
      <w:start w:val="7"/>
    </w:lvl>
  </w:abstractNum>
  <w:abstractNum w:abstractNumId="2">
    <w:nsid w:val="79E2A9E3"/>
    <w:multiLevelType w:val="hybridMultilevel"/>
    <w:lvl w:ilvl="0">
      <w:lvlJc w:val="left"/>
      <w:lvlText w:val="%1."/>
      <w:numFmt w:val="decimal"/>
      <w:start w:val="11"/>
    </w:lvl>
  </w:abstractNum>
  <w:abstractNum w:abstractNumId="3">
    <w:nsid w:val="7545E146"/>
    <w:multiLevelType w:val="hybridMultilevel"/>
    <w:lvl w:ilvl="0">
      <w:lvlJc w:val="left"/>
      <w:lvlText w:val="*"/>
      <w:numFmt w:val="bullet"/>
      <w:start w:val="1"/>
    </w:lvl>
    <w:lvl w:ilvl="1">
      <w:lvlJc w:val="left"/>
      <w:lvlText w:val="%2."/>
      <w:numFmt w:val="decimal"/>
      <w:start w:val="13"/>
    </w:lvl>
  </w:abstractNum>
  <w:abstractNum w:abstractNumId="4">
    <w:nsid w:val="515F007C"/>
    <w:multiLevelType w:val="hybridMultilevel"/>
    <w:lvl w:ilvl="0">
      <w:lvlJc w:val="left"/>
      <w:lvlText w:val="(%1)"/>
      <w:numFmt w:val="lowerLetter"/>
      <w:start w:val="3"/>
    </w:lvl>
  </w:abstractNum>
  <w:abstractNum w:abstractNumId="5">
    <w:nsid w:val="5BD062C2"/>
    <w:multiLevelType w:val="hybridMultilevel"/>
    <w:lvl w:ilvl="0">
      <w:lvlJc w:val="left"/>
      <w:lvlText w:val="(%1)"/>
      <w:numFmt w:val="lowerLetter"/>
      <w:start w:val="4"/>
    </w:lvl>
  </w:abstractNum>
  <w:abstractNum w:abstractNumId="6">
    <w:nsid w:val="12200854"/>
    <w:multiLevelType w:val="hybridMultilevel"/>
    <w:lvl w:ilvl="0">
      <w:lvlJc w:val="left"/>
      <w:lvlText w:val="(%1)"/>
      <w:numFmt w:val="lowerLetter"/>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lvl w:ilvl="1">
      <w:lvlJc w:val="left"/>
      <w:lvlText w:val="(%2)"/>
      <w:numFmt w:val="lowerRoman"/>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2019-12-05T17:27:01Z</dcterms:created>
  <dcterms:modified xsi:type="dcterms:W3CDTF">2019-12-05T17:27:01Z</dcterms:modified>
</cp:coreProperties>
</file>