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Robinson Eric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5255 WILEY POST WAY</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SALT LAKE</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84116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4"/>
                <w:szCs w:val="14"/>
                <w:color w:val="0000FF"/>
              </w:rPr>
              <w:t>CITY</w:t>
            </w:r>
          </w:p>
        </w:tc>
        <w:tc>
          <w:tcPr>
            <w:tcW w:w="6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05/17/2021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05/17/2027</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4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options granted will vest on the first anniversary of the date of grant, which is May 17, 2022. The remaining options will vest in equal monthly increments over the subsequent 24-month period.</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Eric Robinson</w:t>
            </w:r>
          </w:p>
        </w:tc>
        <w:tc>
          <w:tcPr>
            <w:tcW w:w="10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05/19/2021</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3993"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2021-05-19T16:04:54Z</dcterms:created>
  <dcterms:modified xsi:type="dcterms:W3CDTF">2021-05-19T16:04:54Z</dcterms:modified>
</cp:coreProperties>
</file>