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1, 2020 (March 30,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center"/>
              <w:ind w:left="125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(State or Other Jurisdiction</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gridSpan w:val="2"/>
          </w:tcPr>
          <w:p>
            <w:pPr>
              <w:ind w:left="240"/>
              <w:spacing w:after="0" w:line="195" w:lineRule="exact"/>
              <w:rPr>
                <w:sz w:val="20"/>
                <w:szCs w:val="20"/>
                <w:color w:val="auto"/>
              </w:rPr>
            </w:pPr>
            <w:r>
              <w:rPr>
                <w:rFonts w:ascii="Arial" w:cs="Arial" w:eastAsia="Arial" w:hAnsi="Arial"/>
                <w:sz w:val="18"/>
                <w:szCs w:val="18"/>
                <w:color w:val="auto"/>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00" w:type="dxa"/>
            <w:vAlign w:val="bottom"/>
            <w:gridSpan w:val="3"/>
          </w:tcPr>
          <w:p>
            <w:pPr>
              <w:ind w:left="240"/>
              <w:spacing w:after="0"/>
              <w:rPr>
                <w:sz w:val="20"/>
                <w:szCs w:val="20"/>
                <w:color w:val="auto"/>
              </w:rPr>
            </w:pPr>
            <w:r>
              <w:rPr>
                <w:rFonts w:ascii="Arial" w:cs="Arial" w:eastAsia="Arial" w:hAnsi="Arial"/>
                <w:sz w:val="18"/>
                <w:szCs w:val="18"/>
                <w:color w:val="auto"/>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6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36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530" w:right="339" w:bottom="1440" w:gutter="0" w:footer="0" w:header="0"/>
        </w:sectPr>
      </w:pP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4225" cy="336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336550"/>
                    </a:xfrm>
                    <a:prstGeom prst="rect">
                      <a:avLst/>
                    </a:prstGeom>
                    <a:noFill/>
                  </pic:spPr>
                </pic:pic>
              </a:graphicData>
            </a:graphic>
          </wp:anchor>
        </w:drawing>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1200" w:type="dxa"/>
            <w:vAlign w:val="bottom"/>
            <w:tcBorders>
              <w:top w:val="single" w:sz="8" w:color="auto"/>
              <w:left w:val="single" w:sz="8" w:color="auto"/>
            </w:tcBorders>
          </w:tcPr>
          <w:p>
            <w:pPr>
              <w:spacing w:after="0"/>
              <w:rPr>
                <w:sz w:val="17"/>
                <w:szCs w:val="17"/>
                <w:color w:val="auto"/>
              </w:rPr>
            </w:pPr>
          </w:p>
        </w:tc>
        <w:tc>
          <w:tcPr>
            <w:tcW w:w="2500" w:type="dxa"/>
            <w:vAlign w:val="bottom"/>
            <w:tcBorders>
              <w:top w:val="single" w:sz="8" w:color="auto"/>
              <w:right w:val="single" w:sz="8" w:color="auto"/>
            </w:tcBorders>
            <w:gridSpan w:val="2"/>
          </w:tcPr>
          <w:p>
            <w:pPr>
              <w:jc w:val="center"/>
              <w:ind w:right="1200"/>
              <w:spacing w:after="0" w:line="206" w:lineRule="exact"/>
              <w:rPr>
                <w:sz w:val="20"/>
                <w:szCs w:val="20"/>
                <w:color w:val="auto"/>
              </w:rPr>
            </w:pPr>
            <w:r>
              <w:rPr>
                <w:rFonts w:ascii="Arial" w:cs="Arial" w:eastAsia="Arial" w:hAnsi="Arial"/>
                <w:sz w:val="18"/>
                <w:szCs w:val="18"/>
                <w:color w:val="auto"/>
                <w:w w:val="90"/>
              </w:rPr>
              <w:t>Title of each class</w:t>
            </w:r>
          </w:p>
        </w:tc>
        <w:tc>
          <w:tcPr>
            <w:tcW w:w="1220" w:type="dxa"/>
            <w:vAlign w:val="bottom"/>
            <w:tcBorders>
              <w:top w:val="single" w:sz="8" w:color="auto"/>
            </w:tcBorders>
          </w:tcPr>
          <w:p>
            <w:pPr>
              <w:spacing w:after="0"/>
              <w:rPr>
                <w:sz w:val="17"/>
                <w:szCs w:val="17"/>
                <w:color w:val="auto"/>
              </w:rPr>
            </w:pPr>
          </w:p>
        </w:tc>
        <w:tc>
          <w:tcPr>
            <w:tcW w:w="2620" w:type="dxa"/>
            <w:vAlign w:val="bottom"/>
            <w:tcBorders>
              <w:top w:val="single" w:sz="8" w:color="auto"/>
              <w:right w:val="single" w:sz="8" w:color="auto"/>
            </w:tcBorders>
            <w:gridSpan w:val="2"/>
          </w:tcPr>
          <w:p>
            <w:pPr>
              <w:jc w:val="center"/>
              <w:ind w:right="1260"/>
              <w:spacing w:after="0" w:line="206" w:lineRule="exact"/>
              <w:rPr>
                <w:sz w:val="20"/>
                <w:szCs w:val="20"/>
                <w:color w:val="auto"/>
              </w:rPr>
            </w:pPr>
            <w:r>
              <w:rPr>
                <w:rFonts w:ascii="Arial" w:cs="Arial" w:eastAsia="Arial" w:hAnsi="Arial"/>
                <w:sz w:val="18"/>
                <w:szCs w:val="18"/>
                <w:color w:val="auto"/>
                <w:w w:val="92"/>
              </w:rPr>
              <w:t>Trading Symbol(s)</w:t>
            </w:r>
          </w:p>
        </w:tc>
      </w:tr>
      <w:tr>
        <w:trPr>
          <w:trHeight w:val="51"/>
        </w:trPr>
        <w:tc>
          <w:tcPr>
            <w:tcW w:w="1200" w:type="dxa"/>
            <w:vAlign w:val="bottom"/>
            <w:tcBorders>
              <w:left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210"/>
        </w:trPr>
        <w:tc>
          <w:tcPr>
            <w:tcW w:w="37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Common Stock, $0.001</w:t>
            </w:r>
          </w:p>
        </w:tc>
        <w:tc>
          <w:tcPr>
            <w:tcW w:w="122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1260"/>
              <w:spacing w:after="0"/>
              <w:rPr>
                <w:sz w:val="20"/>
                <w:szCs w:val="20"/>
                <w:color w:val="auto"/>
              </w:rPr>
            </w:pPr>
            <w:r>
              <w:rPr>
                <w:rFonts w:ascii="Arial" w:cs="Arial" w:eastAsia="Arial" w:hAnsi="Arial"/>
                <w:sz w:val="18"/>
                <w:szCs w:val="18"/>
                <w:color w:val="auto"/>
                <w:w w:val="95"/>
              </w:rPr>
              <w:t>CLRO</w:t>
            </w:r>
          </w:p>
        </w:tc>
      </w:tr>
      <w:tr>
        <w:trPr>
          <w:trHeight w:val="23"/>
        </w:trPr>
        <w:tc>
          <w:tcPr>
            <w:tcW w:w="120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60"/>
        <w:spacing w:after="0" w:line="324" w:lineRule="auto"/>
        <w:rPr>
          <w:sz w:val="20"/>
          <w:szCs w:val="20"/>
          <w:color w:val="auto"/>
        </w:rPr>
      </w:pPr>
      <w:r>
        <w:rPr>
          <w:rFonts w:ascii="Arial" w:cs="Arial" w:eastAsia="Arial" w:hAnsi="Arial"/>
          <w:sz w:val="18"/>
          <w:szCs w:val="18"/>
          <w:u w:val="single" w:color="auto"/>
          <w:color w:val="auto"/>
        </w:rPr>
        <w:t xml:space="preserve">Name of each exchange on which registered </w:t>
      </w:r>
      <w:r>
        <w:rPr>
          <w:rFonts w:ascii="Arial" w:cs="Arial" w:eastAsia="Arial" w:hAnsi="Arial"/>
          <w:sz w:val="18"/>
          <w:szCs w:val="18"/>
          <w:color w:val="auto"/>
        </w:rPr>
        <w:t>The NASDAQ Capital Market</w:t>
      </w:r>
    </w:p>
    <w:p>
      <w:pPr>
        <w:sectPr>
          <w:pgSz w:w="11900" w:h="16838" w:orient="portrait"/>
          <w:cols w:equalWidth="0" w:num="2">
            <w:col w:w="7540" w:space="240"/>
            <w:col w:w="3460"/>
          </w:cols>
          <w:pgMar w:left="320" w:top="53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30, ClearOne, Inc. (the “Company”) issued a press release announcing its financial results for the three and twelve months ended December 31, 2019.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29"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FF"/>
          </w:rPr>
          <w:t>Press Release of ClearOne, Inc. dated March 30, 2020</w:t>
        </w:r>
        <w:r>
          <w:rPr>
            <w:rFonts w:ascii="Arial" w:cs="Arial" w:eastAsia="Arial" w:hAnsi="Arial"/>
            <w:sz w:val="15"/>
            <w:szCs w:val="15"/>
            <w:color w:val="0000FF"/>
          </w:rPr>
          <w:t>.</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8020" w:type="dxa"/>
            <w:vAlign w:val="bottom"/>
            <w:gridSpan w:val="2"/>
          </w:tcPr>
          <w:p>
            <w:pPr>
              <w:ind w:left="1820"/>
              <w:spacing w:after="0"/>
              <w:rPr>
                <w:sz w:val="20"/>
                <w:szCs w:val="20"/>
                <w:color w:val="auto"/>
              </w:rPr>
            </w:pPr>
            <w:r>
              <w:rPr>
                <w:rFonts w:ascii="Arial" w:cs="Arial" w:eastAsia="Arial" w:hAnsi="Arial"/>
                <w:sz w:val="18"/>
                <w:szCs w:val="18"/>
                <w:color w:val="auto"/>
              </w:rPr>
              <w:t>CLEARONE, INC.</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Date: April 1, 2020</w:t>
            </w:r>
          </w:p>
        </w:tc>
        <w:tc>
          <w:tcPr>
            <w:tcW w:w="8020" w:type="dxa"/>
            <w:vAlign w:val="bottom"/>
            <w:gridSpan w:val="2"/>
          </w:tcPr>
          <w:p>
            <w:pPr>
              <w:ind w:left="18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2"/>
        </w:trPr>
        <w:tc>
          <w:tcPr>
            <w:tcW w:w="3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25755"/>
                    </a:xfrm>
                    <a:prstGeom prst="rect">
                      <a:avLst/>
                    </a:prstGeom>
                    <a:noFill/>
                  </pic:spPr>
                </pic:pic>
              </a:graphicData>
            </a:graphic>
          </wp:anchor>
        </w:drawing>
        <w:t>ClearOne Reports Fourth Quarter 2019 Financial Results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Sequential quarterly revenue up by 5.6%</w:t>
      </w:r>
    </w:p>
    <w:p>
      <w:pPr>
        <w:spacing w:after="0" w:line="23"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Professional audio revenue growth driven by the Beamforming Microphone Array Ceiling Tile</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Q4 Overall revenue down year-over-year by 12%</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Q4 Non-GAAP Operating expenses declined by 10% year-over-year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SALT LAKE CITY, UTAH – March 30, 2020 – ClearOne (NASDAQ: CLRO), a global provider of audio and visual communication solutions, reported financial results for the three and twelve- month periods ended December 31, 2019.</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made great progress executing on our vision for success to rise above the current challenges as we implement our core initiatives - technology innovation, cost savings, and enforcement of our intellectual property. In these unprecedented times where the traditional forms of work collaboration are being tested, our role as a leading provider of solutions for distance conferencing and remote collaboration has become even more relevant. We believe that our innovative technology and solutions will serve not only demands during this crisis but also future needs for travel-free meetings” said Zee Hakimoglu, CEO and Chair of ClearOne.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encouraged by the recent increase in demand for our Pro Audio products driven by the Beamforming Microphone Array Ceiling Tile. It validates both our substantial investment in technology and our litigation strategy. But we are not getting the full benefits of the Court’s extraordinary remedy in the form of the preliminary injunction granted against Shure with respect to infringement of our ’806 Patent. Shure chose to play fast and loose with the Court’s preliminary injunction rushing to market with a design, that we believe, still infringes ClearOne’s patent. We have sought a Court order holding Shure in contempt for marketing and selling the design in violation of the preliminary injunction. And with respect to one of our broadest beamforming microphone array patents, the ’553 Patent, last month, the Federal Circuit essentially dealt a knock-out blow to Shure’s desperate and misguided campaign in the PTO to invalidate the patent. It is another significant victory acknowledging the strength of ClearOne’s intellectual property and puts us in even a better position as we prepare for trial,” Hakimoglu added.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“ClearOne has continued to invest in innovation which has been at the heart of its success. Beginning late Q4, we launched several highly strategic pro audio and video collaboration solutions addressing the burgeoning global market needs for a remote workforce and small to medium-sized workspaces. These new, highly differentiated solutions consist of audio-conferencing endpoints and cloud-based video services, each with significant competitive barriers to entry. The new solutions offer exceptional performance, are scaled to meet end-user economics, and provide highly lucrative earning potential for our channel reseller partners.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Importantly, our ongoing effort and success in cutting costs provide us not only short-term cash liquidity but also long-term strategic operational efficiency,” Hakimoglu continued.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understand the frustration of our shareholders with the current market capitalization of the company which we believe is a fraction of ClearOne’s inherent worth. But we are confident that as we drive our core initiatives, ClearOne’s true value will be recognized in the marketplace,” Hakimoglu concluded.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Innovation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Recent new introductions now shipping or scheduled to ship in early Q2 2020 include: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COLLABORATE® Versa Pro CT - An innovative new product offering that includes our Huddle DSP mixer and new patented Beamforming Ceiling Tile Microphone Array providing pro-quality audio collaboration in mid-sized rooms. We believe it is a great room solution for Bring Your Own Device (BYOD) collaboration using any cloud-based service such as COLLABORATE Space, Microsoft® Teams, WebEx™, Zoom™, and more.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COLLABORATE Versa Room CT- Provides all the audio and video equipment plus accessories needed to create a complete AV solution for exceptional small and mid-sized room cloud-based conferencing with no external mixer needed. All the audio signal processing is integrated into the new Beamforming Ceiling Tile Microphone Array. Also includes the UNITE® 50 4K Camera, 2x10 Watt power amps built into the BMA CTH, two 8-inch ceiling speakers and the COLLABORATE Versa Hub for convenient connection to laptop and displays.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COLLABORATE Versa Lite CT - A new USB audio-enabled Beamforming Ceiling Tile Microphone Array that brings cost-effective and superb pro-audio conferencing to small meeting rooms with no DSP mixer needed. This great room solution dramatically enhances the audio experience for any cloud-collaboration application such as COLLABORATE Space, Zoom™, Microsoft® Teams, and Webex™.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Wall-Mount Bluetooth Expander - This new module enables Bluetooth audio conferencing and streaming from mobile devices to ClearOne CONVERGE® Pro 2 and Huddle Audio DSP mixers using the efficient ClearOne Architecture. NFC Tap-to-Pair allows fast and simple connectivity with mobile devices, and the Bluetooth pair name can be customized for each conference room.</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CONSOLE® AI – A new software tool to design CONVERGE® Pro Audio systems with </w:t>
      </w:r>
      <w:r>
        <w:rPr>
          <w:rFonts w:ascii="Arial" w:cs="Arial" w:eastAsia="Arial" w:hAnsi="Arial"/>
          <w:sz w:val="18"/>
          <w:szCs w:val="18"/>
          <w:i w:val="1"/>
          <w:iCs w:val="1"/>
          <w:color w:val="auto"/>
        </w:rPr>
        <w:t>Audio Intelligence</w:t>
      </w:r>
      <w:r>
        <w:rPr>
          <w:rFonts w:ascii="Arial" w:cs="Arial" w:eastAsia="Arial" w:hAnsi="Arial"/>
          <w:sz w:val="18"/>
          <w:szCs w:val="18"/>
          <w:color w:val="auto"/>
        </w:rPr>
        <w:t xml:space="preserve"> built-in making AV practitioners more efficient by saving time. The AI Workflow Checklist guides designers to make sure that design steps are not missed; and the innovative AI Project Audit checks the design and reports errors and warnings to alert the practitioner of potential design problems. Enhanced visualization dramatically streamlines routing, design, and reviews.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ZOOM Certification of UNITE® Cameras - All ClearOne PTZ professional cameras now Zoom certified for broad adoption.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COLLABORATE Space New Feature Enhancements - Two new valuable features have been added to ClearOne’s powerful and secure cloud-based video collaboration solution- webinar hosting and Web RTC. Webinar allows session hosts to conduct video and audio presentations up to 1000 participants in a single meeting. Web RTC enables users to easily join meetings using a browser with no downloads or plug-ins.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COLLABORATE Space and Microsoft Teams Enhancement - Now Offers Seamless Workflows by integrating COLLABORATE Space Cloud-based Video App with MS Teams. Microsoft Teams users can now enjoy a richer experience than that available within the Teams environment today including better video quality, support for multiple cameras, support for multiple displays, and a persistent meeting space where chats, audio and video recordings, documents, meeting minutes, whiteboard sessions, and more can be shared in private or public channels for later access.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offering free trial licenses for COLLABORATE Space for users to experience its rich features and capabilities.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our Intellectual Property</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early March 2020, the U.S. Court of Appeals for the Federal Circuit in Washington, D.C. issued a unanimous judgment affirming the decision by the Patent Trial and Appeal Board of the USPTO confirming the patentability of all claims of our foundational U.S. Patent No. 9,264,553 (“’553 Patent”), which covers aspects of ClearOne’s revolutionary innovations in beamforming microphone arrays.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Earlier, in late February 2020, we asked a Court to hold Shure in contempt for manufacturing, marketing and selling its redesigned MXA910, the MXA910W-A released in December 2019, in violation of the 2019 Preliminary Injunction. That court-ordered injunction prohibits Shure from “manufacturing, marketing, and selling” the MXA910 for use “in its drop-ceiling mounting configuration, including marketing and selling the MXA910 in a way that encourages or allows integrators to install it in a drop-ceiling mounting configuration.” By law, the injunction applies to the MXA910 and “colorable imitations” thereof. That request is still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going to trial against Shure in early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jc w:val="both"/>
        <w:ind w:left="400" w:hanging="388"/>
        <w:spacing w:after="0" w:line="255"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Q4 2019 revenue was $6.3 million, compared to $7.2 million in Q4 2018 and $6.0 million in Q3 2019. The year-over-year decrease reflects an impact of the on-going harm of infringement of ClearOne’s patents on its audio conferencing products and microphones despite the preliminary injunction granted against Shure as we believe Shure continues to infringe our patents and violates the preliminary injunction. The patent infringement also has negatively impacted directly the revenue from ClearOne’s other products. Sequential growth was largely due to significant increase in revenue from our pro audio products driven by our recently introduced BMA-CT even though the revenue from pro audio products are far below the levels prior to infringement of our patents.</w:t>
      </w:r>
    </w:p>
    <w:p>
      <w:pPr>
        <w:spacing w:after="0" w:line="192" w:lineRule="exact"/>
        <w:rPr>
          <w:rFonts w:ascii="Arial" w:cs="Arial" w:eastAsia="Arial" w:hAnsi="Arial"/>
          <w:sz w:val="18"/>
          <w:szCs w:val="18"/>
          <w:color w:val="auto"/>
        </w:rPr>
      </w:pPr>
    </w:p>
    <w:p>
      <w:pPr>
        <w:jc w:val="both"/>
        <w:ind w:left="400" w:hanging="388"/>
        <w:spacing w:after="0" w:line="311" w:lineRule="auto"/>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gross profit in Q4 2019 was $3.01 million compared to $3.04 million in Q4 2018 and $2.53 million in Q3 2019. GAAP gross profit margin was 48% in Q4 2019, compared to 42% in Q4 2018 and 42% in Q3 2019. Gross Profit margin increased year over year as well as sequentially mainly due to decreases in overhead costs and inventory adjustments partially offset by increases in inventory obsolescence costs and landed material costs.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both"/>
        <w:ind w:left="400" w:hanging="388"/>
        <w:spacing w:after="0" w:line="257"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in Q4 2019 were $5.0 million, compared to $5.6 million in Q4 2018 and $4.6 million in Q3 2019. Non-GAAP operating expenses in Q4 2019 were $4.6 million, compared to $5.1 million in Q4 2018 and $4.2 million in Q3 2019. The majority of the decrease in Q4 2019 operating expenses over Q4 2018 is attributable to decreases in employee-related costs including benefits and commissions and allocations of overhead expenses, partially offset by an increase in demonstration inventory costs. The sequential increase in operating expenses is mainly due to increase in legal expenses.</w:t>
      </w:r>
    </w:p>
    <w:p>
      <w:pPr>
        <w:spacing w:after="0" w:line="187" w:lineRule="exact"/>
        <w:rPr>
          <w:rFonts w:ascii="Arial" w:cs="Arial" w:eastAsia="Arial" w:hAnsi="Arial"/>
          <w:sz w:val="18"/>
          <w:szCs w:val="18"/>
          <w:color w:val="auto"/>
        </w:rPr>
      </w:pPr>
    </w:p>
    <w:p>
      <w:pPr>
        <w:jc w:val="both"/>
        <w:ind w:left="400" w:right="20" w:hanging="388"/>
        <w:spacing w:after="0" w:line="263"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in Q4 2019 was $2.0 million, or $0.12 per share, compared to net loss of $2.5 million, or $0.23 per share, in Q4 2018 and net loss of $2.0 million, or $0.12 per share, in Q3 2019. The decrease in net loss in Q4 2019 compared to Q4 2018 was mainly due to decrease in operating expenses. Net loss remained almost unchanged between Q3 2019 and Q4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6"/>
                <w:szCs w:val="16"/>
                <w:b w:val="1"/>
                <w:bCs w:val="1"/>
                <w:color w:val="auto"/>
              </w:rPr>
              <w:t>($ in 000, except per share)</w:t>
            </w:r>
          </w:p>
        </w:tc>
        <w:tc>
          <w:tcPr>
            <w:tcW w:w="600" w:type="dxa"/>
            <w:vAlign w:val="bottom"/>
          </w:tcPr>
          <w:p>
            <w:pPr>
              <w:spacing w:after="0"/>
              <w:rPr>
                <w:sz w:val="18"/>
                <w:szCs w:val="18"/>
                <w:color w:val="auto"/>
              </w:rPr>
            </w:pPr>
          </w:p>
        </w:tc>
        <w:tc>
          <w:tcPr>
            <w:tcW w:w="35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Three months ended December 31,</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gridSpan w:val="2"/>
          </w:tcPr>
          <w:p>
            <w:pPr>
              <w:jc w:val="right"/>
              <w:ind w:right="91"/>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9"/>
                <w:szCs w:val="19"/>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16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520" w:type="dxa"/>
            <w:vAlign w:val="bottom"/>
          </w:tcPr>
          <w:p>
            <w:pPr>
              <w:spacing w:after="0"/>
              <w:rPr>
                <w:sz w:val="19"/>
                <w:szCs w:val="19"/>
                <w:color w:val="auto"/>
              </w:rPr>
            </w:pPr>
          </w:p>
        </w:tc>
        <w:tc>
          <w:tcPr>
            <w:tcW w:w="84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800" w:type="dxa"/>
            <w:vAlign w:val="bottom"/>
          </w:tcPr>
          <w:p>
            <w:pPr>
              <w:spacing w:after="0"/>
              <w:rPr>
                <w:sz w:val="19"/>
                <w:szCs w:val="19"/>
                <w:color w:val="auto"/>
              </w:rPr>
            </w:pPr>
          </w:p>
        </w:tc>
        <w:tc>
          <w:tcPr>
            <w:tcW w:w="11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820" w:type="dxa"/>
            <w:vAlign w:val="bottom"/>
          </w:tcPr>
          <w:p>
            <w:pPr>
              <w:jc w:val="right"/>
              <w:ind w:right="31"/>
              <w:spacing w:after="0"/>
              <w:rPr>
                <w:sz w:val="20"/>
                <w:szCs w:val="20"/>
                <w:color w:val="auto"/>
              </w:rPr>
            </w:pPr>
            <w:r>
              <w:rPr>
                <w:rFonts w:ascii="Arial" w:cs="Arial" w:eastAsia="Arial" w:hAnsi="Arial"/>
                <w:sz w:val="16"/>
                <w:szCs w:val="16"/>
                <w:b w:val="1"/>
                <w:bCs w:val="1"/>
                <w:color w:val="auto"/>
              </w:rPr>
              <w:t>Change</w:t>
            </w:r>
          </w:p>
        </w:tc>
      </w:tr>
      <w:tr>
        <w:trPr>
          <w:trHeight w:val="199"/>
        </w:trPr>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w w:val="95"/>
              </w:rPr>
              <w:t>GAAP</w:t>
            </w:r>
          </w:p>
        </w:tc>
        <w:tc>
          <w:tcPr>
            <w:tcW w:w="244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6,325</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7,213</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-12%</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25,042</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28,156</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3,013</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3,042</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13,371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4,982</w:t>
            </w:r>
          </w:p>
        </w:tc>
        <w:tc>
          <w:tcPr>
            <w:tcW w:w="480" w:type="dxa"/>
            <w:vAlign w:val="bottom"/>
          </w:tcPr>
          <w:p>
            <w:pPr>
              <w:spacing w:after="0"/>
              <w:rPr>
                <w:sz w:val="18"/>
                <w:szCs w:val="18"/>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5,645</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19,755</w:t>
            </w:r>
          </w:p>
        </w:tc>
        <w:tc>
          <w:tcPr>
            <w:tcW w:w="80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23,698</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(1,969)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(2,603)</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(10,327)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18"/>
                <w:szCs w:val="18"/>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(1,985)</w:t>
            </w:r>
          </w:p>
        </w:tc>
        <w:tc>
          <w:tcPr>
            <w:tcW w:w="480" w:type="dxa"/>
            <w:vAlign w:val="bottom"/>
          </w:tcPr>
          <w:p>
            <w:pPr>
              <w:spacing w:after="0"/>
              <w:rPr>
                <w:sz w:val="18"/>
                <w:szCs w:val="18"/>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(2,536)</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(8,408)</w:t>
            </w:r>
          </w:p>
        </w:tc>
        <w:tc>
          <w:tcPr>
            <w:tcW w:w="80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(16,687)</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(0.12)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(0.23)</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176"/>
        </w:trPr>
        <w:tc>
          <w:tcPr>
            <w:tcW w:w="40" w:type="dxa"/>
            <w:vAlign w:val="bottom"/>
          </w:tcPr>
          <w:p>
            <w:pPr>
              <w:spacing w:after="0"/>
              <w:rPr>
                <w:sz w:val="15"/>
                <w:szCs w:val="15"/>
                <w:color w:val="auto"/>
              </w:rPr>
            </w:pPr>
          </w:p>
        </w:tc>
        <w:tc>
          <w:tcPr>
            <w:tcW w:w="29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Non-GAAP</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3,015</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3,044</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13,385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Non-GAAP operating expenses</w:t>
            </w:r>
          </w:p>
        </w:tc>
        <w:tc>
          <w:tcPr>
            <w:tcW w:w="600" w:type="dxa"/>
            <w:vAlign w:val="bottom"/>
          </w:tcPr>
          <w:p>
            <w:pPr>
              <w:spacing w:after="0"/>
              <w:rPr>
                <w:sz w:val="18"/>
                <w:szCs w:val="18"/>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4,597</w:t>
            </w:r>
          </w:p>
        </w:tc>
        <w:tc>
          <w:tcPr>
            <w:tcW w:w="480" w:type="dxa"/>
            <w:vAlign w:val="bottom"/>
          </w:tcPr>
          <w:p>
            <w:pPr>
              <w:spacing w:after="0"/>
              <w:rPr>
                <w:sz w:val="18"/>
                <w:szCs w:val="18"/>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5,100</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18,144</w:t>
            </w:r>
          </w:p>
        </w:tc>
        <w:tc>
          <w:tcPr>
            <w:tcW w:w="80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21,871</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loss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(1,582)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(2,217)</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(8,647)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Non-GAAP net loss</w:t>
            </w:r>
          </w:p>
        </w:tc>
        <w:tc>
          <w:tcPr>
            <w:tcW w:w="600" w:type="dxa"/>
            <w:vAlign w:val="bottom"/>
          </w:tcPr>
          <w:p>
            <w:pPr>
              <w:spacing w:after="0"/>
              <w:rPr>
                <w:sz w:val="18"/>
                <w:szCs w:val="18"/>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(1,598)</w:t>
            </w:r>
          </w:p>
        </w:tc>
        <w:tc>
          <w:tcPr>
            <w:tcW w:w="480" w:type="dxa"/>
            <w:vAlign w:val="bottom"/>
          </w:tcPr>
          <w:p>
            <w:pPr>
              <w:spacing w:after="0"/>
              <w:rPr>
                <w:sz w:val="18"/>
                <w:szCs w:val="18"/>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(2,150)</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(6,789)</w:t>
            </w:r>
          </w:p>
        </w:tc>
        <w:tc>
          <w:tcPr>
            <w:tcW w:w="80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(15,007)</w:t>
            </w: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(1,471)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(2,095)</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(8,070)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0" w:type="dxa"/>
            <w:vAlign w:val="bottom"/>
          </w:tcPr>
          <w:p>
            <w:pPr>
              <w:spacing w:after="0"/>
              <w:rPr>
                <w:sz w:val="20"/>
                <w:szCs w:val="20"/>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Non-GAAP loss per share (diluted)</w:t>
            </w:r>
          </w:p>
        </w:tc>
        <w:tc>
          <w:tcPr>
            <w:tcW w:w="600" w:type="dxa"/>
            <w:vAlign w:val="bottom"/>
          </w:tcPr>
          <w:p>
            <w:pPr>
              <w:spacing w:after="0"/>
              <w:rPr>
                <w:sz w:val="20"/>
                <w:szCs w:val="20"/>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(0.10)</w:t>
            </w:r>
          </w:p>
        </w:tc>
        <w:tc>
          <w:tcPr>
            <w:tcW w:w="480" w:type="dxa"/>
            <w:vAlign w:val="bottom"/>
          </w:tcPr>
          <w:p>
            <w:pPr>
              <w:spacing w:after="0"/>
              <w:rPr>
                <w:sz w:val="20"/>
                <w:szCs w:val="20"/>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(0.20)</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(0.41)</w:t>
            </w:r>
          </w:p>
        </w:tc>
        <w:tc>
          <w:tcPr>
            <w:tcW w:w="800" w:type="dxa"/>
            <w:vAlign w:val="bottom"/>
          </w:tcPr>
          <w:p>
            <w:pPr>
              <w:spacing w:after="0"/>
              <w:rPr>
                <w:sz w:val="20"/>
                <w:szCs w:val="20"/>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(1.68)</w:t>
            </w: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cash, cash equivalents and investments were $8.6 million, as compared with $15.9 million at December 31, 2018. During December 2019 we strengthened our balance sheet by raising approximately $2.7 million (net of issuance costs) from the issue of senior convertible notes in a private placement transaction. In August 2019, Company deposited $4.5 million with the United States District Court for the Northern District of Illinois as a bond so that preliminary injunction granted against Shure Inc could go into effect. Our inventories continue to be an important source of cash as we reduce our inventory levels and turn them into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2019 (the “10-K”), the footnotes thereto and the limitations set forth therein. Investors may not rely on the press release without reference to the 10-Q, the 10-K and the Public Filings.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net of allowance for doubtful accounts of $424 and $631, respectively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0"/>
        </w:trPr>
        <w:tc>
          <w:tcPr>
            <w:tcW w:w="80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34,365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Long-term inventories,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Operating lease - right of use assets,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product revenue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Senior convertible notes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Common stock, par value $0.001, 50,000,000 shares authorized, 16,646,323 and 16,630,597 shares issued</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outstanding</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57,840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44,478</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10"/>
        </w:trPr>
        <w:tc>
          <w:tcPr>
            <w:tcW w:w="806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55,110</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8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December 31,</w:t>
            </w:r>
          </w:p>
        </w:tc>
        <w:tc>
          <w:tcPr>
            <w:tcW w:w="280" w:type="dxa"/>
            <w:vAlign w:val="bottom"/>
          </w:tcPr>
          <w:p>
            <w:pPr>
              <w:spacing w:after="0"/>
              <w:rPr>
                <w:sz w:val="18"/>
                <w:szCs w:val="18"/>
                <w:color w:val="auto"/>
              </w:rPr>
            </w:pPr>
          </w:p>
        </w:tc>
        <w:tc>
          <w:tcPr>
            <w:tcW w:w="2460" w:type="dxa"/>
            <w:vAlign w:val="bottom"/>
            <w:gridSpan w:val="4"/>
          </w:tcPr>
          <w:p>
            <w:pPr>
              <w:ind w:left="200"/>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55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2018</w:t>
            </w:r>
          </w:p>
        </w:tc>
      </w:tr>
      <w:tr>
        <w:trPr>
          <w:trHeight w:val="212"/>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28,156</w:t>
            </w:r>
          </w:p>
        </w:tc>
      </w:tr>
      <w:tr>
        <w:trPr>
          <w:trHeight w:val="230"/>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14,785</w:t>
            </w:r>
          </w:p>
        </w:tc>
      </w:tr>
      <w:tr>
        <w:trPr>
          <w:trHeight w:val="20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w:t>
            </w:r>
          </w:p>
        </w:tc>
      </w:tr>
      <w:tr>
        <w:trPr>
          <w:trHeight w:val="209"/>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9,908</w:t>
            </w: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r>
      <w:tr>
        <w:trPr>
          <w:trHeight w:val="230"/>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r>
      <w:tr>
        <w:trPr>
          <w:trHeight w:val="20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23,698</w:t>
            </w:r>
          </w:p>
        </w:tc>
      </w:tr>
      <w:tr>
        <w:trPr>
          <w:trHeight w:val="210"/>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FFFFFF"/>
              </w:rPr>
              <w:t>TRUE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FFFFFF"/>
              </w:rPr>
              <w:t>TRUE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FFFFFF"/>
              </w:rPr>
              <w:t>TRUE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FFFFFF"/>
              </w:rPr>
              <w:t>TRUE</w:t>
            </w: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r>
      <w:tr>
        <w:trPr>
          <w:trHeight w:val="229"/>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9"/>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FFFFFF"/>
              </w:rPr>
              <w:t>TRUE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FFFFFF"/>
              </w:rPr>
              <w:t>TRUE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FFFFFF"/>
              </w:rPr>
              <w:t>TRUE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FFFFFF"/>
              </w:rPr>
              <w:t>TRUE</w:t>
            </w: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w:t>
            </w:r>
          </w:p>
        </w:tc>
      </w:tr>
      <w:tr>
        <w:trPr>
          <w:trHeight w:val="230"/>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color w:val="FFFFFF"/>
              </w:rPr>
              <w:t>TRUE</w:t>
            </w:r>
          </w:p>
        </w:tc>
        <w:tc>
          <w:tcPr>
            <w:tcW w:w="26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FFFFFF"/>
              </w:rPr>
              <w:t>TRUE</w:t>
            </w:r>
          </w:p>
        </w:tc>
        <w:tc>
          <w:tcPr>
            <w:tcW w:w="28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FFFFFF"/>
              </w:rPr>
              <w:t>TRUE</w:t>
            </w:r>
          </w:p>
        </w:tc>
        <w:tc>
          <w:tcPr>
            <w:tcW w:w="30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FFFFFF"/>
              </w:rPr>
              <w:t>TRUE</w:t>
            </w: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r>
      <w:tr>
        <w:trPr>
          <w:trHeight w:val="230"/>
        </w:trPr>
        <w:tc>
          <w:tcPr>
            <w:tcW w:w="5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(16,687)</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16,646,371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10,834,801</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16,638,580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8,942,629</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16,646,371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10,834,801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16,638,580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8,942,629</w:t>
            </w:r>
          </w:p>
        </w:tc>
      </w:tr>
      <w:tr>
        <w:trPr>
          <w:trHeight w:val="229"/>
        </w:trPr>
        <w:tc>
          <w:tcPr>
            <w:tcW w:w="5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Basic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(16,687)</w:t>
            </w:r>
          </w:p>
        </w:tc>
      </w:tr>
      <w:tr>
        <w:trPr>
          <w:trHeight w:val="270"/>
        </w:trPr>
        <w:tc>
          <w:tcPr>
            <w:tcW w:w="5520" w:type="dxa"/>
            <w:vAlign w:val="bottom"/>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9"/>
        </w:trPr>
        <w:tc>
          <w:tcPr>
            <w:tcW w:w="55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(16,803)</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30"/>
        </w:trPr>
        <w:tc>
          <w:tcPr>
            <w:tcW w:w="5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280" w:type="dxa"/>
            <w:vAlign w:val="bottom"/>
          </w:tcPr>
          <w:p>
            <w:pPr>
              <w:spacing w:after="0"/>
              <w:rPr>
                <w:sz w:val="18"/>
                <w:szCs w:val="18"/>
                <w:color w:val="auto"/>
              </w:rPr>
            </w:pPr>
          </w:p>
        </w:tc>
        <w:tc>
          <w:tcPr>
            <w:tcW w:w="244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9"/>
              </w:rPr>
              <w:t>Year ended December 31,</w:t>
            </w:r>
          </w:p>
        </w:tc>
      </w:tr>
      <w:tr>
        <w:trPr>
          <w:trHeight w:val="210"/>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12"/>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13,371</w:t>
            </w:r>
          </w:p>
        </w:tc>
      </w:tr>
      <w:tr>
        <w:trPr>
          <w:trHeight w:val="206"/>
        </w:trPr>
        <w:tc>
          <w:tcPr>
            <w:tcW w:w="55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7"/>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Non-GAAP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3,044</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11,201</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13,385</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9"/>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operating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(10,327)</w:t>
            </w:r>
          </w:p>
        </w:tc>
      </w:tr>
      <w:tr>
        <w:trPr>
          <w:trHeight w:val="206"/>
        </w:trPr>
        <w:tc>
          <w:tcPr>
            <w:tcW w:w="55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r>
      <w:tr>
        <w:trPr>
          <w:trHeight w:val="193"/>
        </w:trPr>
        <w:tc>
          <w:tcPr>
            <w:tcW w:w="5560" w:type="dxa"/>
            <w:vAlign w:val="bottom"/>
          </w:tcPr>
          <w:p>
            <w:pPr>
              <w:ind w:left="40"/>
              <w:spacing w:after="0"/>
              <w:rPr>
                <w:sz w:val="20"/>
                <w:szCs w:val="20"/>
                <w:color w:val="auto"/>
              </w:rPr>
            </w:pPr>
            <w:r>
              <w:rPr>
                <w:rFonts w:ascii="Arial" w:cs="Arial" w:eastAsia="Arial" w:hAnsi="Arial"/>
                <w:sz w:val="16"/>
                <w:szCs w:val="16"/>
                <w:color w:val="auto"/>
                <w:w w:val="96"/>
              </w:rPr>
              <w:t>Legal expenses, acquisition expenses, restructuring expenses, etc. not related to</w:t>
            </w:r>
          </w:p>
        </w:tc>
        <w:tc>
          <w:tcPr>
            <w:tcW w:w="14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09"/>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regular operations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Non-GAAP operating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(8,647)</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9"/>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(16,687)</w:t>
            </w:r>
          </w:p>
        </w:tc>
      </w:tr>
      <w:tr>
        <w:trPr>
          <w:trHeight w:val="206"/>
        </w:trPr>
        <w:tc>
          <w:tcPr>
            <w:tcW w:w="55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r>
      <w:tr>
        <w:trPr>
          <w:trHeight w:val="193"/>
        </w:trPr>
        <w:tc>
          <w:tcPr>
            <w:tcW w:w="5560" w:type="dxa"/>
            <w:vAlign w:val="bottom"/>
          </w:tcPr>
          <w:p>
            <w:pPr>
              <w:ind w:left="40"/>
              <w:spacing w:after="0"/>
              <w:rPr>
                <w:sz w:val="20"/>
                <w:szCs w:val="20"/>
                <w:color w:val="auto"/>
              </w:rPr>
            </w:pPr>
            <w:r>
              <w:rPr>
                <w:rFonts w:ascii="Arial" w:cs="Arial" w:eastAsia="Arial" w:hAnsi="Arial"/>
                <w:sz w:val="16"/>
                <w:szCs w:val="16"/>
                <w:color w:val="auto"/>
                <w:w w:val="96"/>
              </w:rPr>
              <w:t>Legal expenses, acquisition expenses, restructuring expenses, etc. not related to</w:t>
            </w:r>
          </w:p>
        </w:tc>
        <w:tc>
          <w:tcPr>
            <w:tcW w:w="14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09"/>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regular operations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Non-GAAP 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(15,007)</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9"/>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(16,687)</w:t>
            </w:r>
          </w:p>
        </w:tc>
      </w:tr>
      <w:tr>
        <w:trPr>
          <w:trHeight w:val="206"/>
        </w:trPr>
        <w:tc>
          <w:tcPr>
            <w:tcW w:w="5560" w:type="dxa"/>
            <w:vAlign w:val="bottom"/>
          </w:tcPr>
          <w:p>
            <w:pPr>
              <w:ind w:left="40"/>
              <w:spacing w:after="0"/>
              <w:rPr>
                <w:sz w:val="20"/>
                <w:szCs w:val="20"/>
                <w:color w:val="auto"/>
              </w:rPr>
            </w:pPr>
            <w:r>
              <w:rPr>
                <w:rFonts w:ascii="Arial" w:cs="Arial" w:eastAsia="Arial" w:hAnsi="Arial"/>
                <w:sz w:val="16"/>
                <w:szCs w:val="16"/>
                <w:color w:val="auto"/>
              </w:rPr>
              <w:t>Number of shares used in computing GAAP loss per share (diluted)</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16,646,371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10,834,801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16,638,580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8,942,629</w:t>
            </w: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loss per share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27"/>
        </w:trPr>
        <w:tc>
          <w:tcPr>
            <w:tcW w:w="5560" w:type="dxa"/>
            <w:vAlign w:val="bottom"/>
          </w:tcPr>
          <w:p>
            <w:pPr>
              <w:ind w:left="40"/>
              <w:spacing w:after="0"/>
              <w:rPr>
                <w:sz w:val="20"/>
                <w:szCs w:val="20"/>
                <w:color w:val="auto"/>
              </w:rPr>
            </w:pPr>
            <w:r>
              <w:rPr>
                <w:rFonts w:ascii="Arial" w:cs="Arial" w:eastAsia="Arial" w:hAnsi="Arial"/>
                <w:sz w:val="16"/>
                <w:szCs w:val="16"/>
                <w:color w:val="auto"/>
              </w:rPr>
              <w:t>Non-GAAP net loss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(1,598)</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(2,150)</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(6,789)</w:t>
            </w:r>
          </w:p>
        </w:tc>
        <w:tc>
          <w:tcPr>
            <w:tcW w:w="22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(15,007)</w:t>
            </w:r>
          </w:p>
        </w:tc>
      </w:tr>
      <w:tr>
        <w:trPr>
          <w:trHeight w:val="212"/>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used in computing Non-GAAP loss per share (diluted)</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16,646,371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10,834,801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16,638,580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8,942,629</w:t>
            </w:r>
          </w:p>
        </w:tc>
      </w:tr>
      <w:tr>
        <w:trPr>
          <w:trHeight w:val="227"/>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Non-GAAP loss per share (diluted)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(0.10)</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(0.20)</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(0.41)</w:t>
            </w:r>
          </w:p>
        </w:tc>
        <w:tc>
          <w:tcPr>
            <w:tcW w:w="22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33"/>
        </w:trPr>
        <w:tc>
          <w:tcPr>
            <w:tcW w:w="5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6"/>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GAAP net loss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(1,985)</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(2,536)</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(8,408)</w:t>
            </w:r>
          </w:p>
        </w:tc>
        <w:tc>
          <w:tcPr>
            <w:tcW w:w="22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(16,687)</w:t>
            </w:r>
          </w:p>
        </w:tc>
      </w:tr>
      <w:tr>
        <w:trPr>
          <w:trHeight w:val="213"/>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06"/>
        </w:trPr>
        <w:tc>
          <w:tcPr>
            <w:tcW w:w="556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r>
      <w:tr>
        <w:trPr>
          <w:trHeight w:val="193"/>
        </w:trPr>
        <w:tc>
          <w:tcPr>
            <w:tcW w:w="5560" w:type="dxa"/>
            <w:vAlign w:val="bottom"/>
          </w:tcPr>
          <w:p>
            <w:pPr>
              <w:ind w:left="40"/>
              <w:spacing w:after="0"/>
              <w:rPr>
                <w:sz w:val="20"/>
                <w:szCs w:val="20"/>
                <w:color w:val="auto"/>
              </w:rPr>
            </w:pPr>
            <w:r>
              <w:rPr>
                <w:rFonts w:ascii="Arial" w:cs="Arial" w:eastAsia="Arial" w:hAnsi="Arial"/>
                <w:sz w:val="16"/>
                <w:szCs w:val="16"/>
                <w:color w:val="auto"/>
                <w:w w:val="96"/>
              </w:rPr>
              <w:t>Legal expenses, acquisition expenses, restructuring expenses, etc. not related to</w:t>
            </w:r>
          </w:p>
        </w:tc>
        <w:tc>
          <w:tcPr>
            <w:tcW w:w="14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09"/>
        </w:trPr>
        <w:tc>
          <w:tcPr>
            <w:tcW w:w="5560" w:type="dxa"/>
            <w:vAlign w:val="bottom"/>
          </w:tcPr>
          <w:p>
            <w:pPr>
              <w:ind w:left="40"/>
              <w:spacing w:after="0"/>
              <w:rPr>
                <w:sz w:val="20"/>
                <w:szCs w:val="20"/>
                <w:color w:val="auto"/>
              </w:rPr>
            </w:pPr>
            <w:r>
              <w:rPr>
                <w:rFonts w:ascii="Arial" w:cs="Arial" w:eastAsia="Arial" w:hAnsi="Arial"/>
                <w:sz w:val="16"/>
                <w:szCs w:val="16"/>
                <w:color w:val="auto"/>
              </w:rPr>
              <w:t>regular operations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3"/>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6,440</w:t>
            </w:r>
          </w:p>
        </w:tc>
      </w:tr>
      <w:tr>
        <w:trPr>
          <w:trHeight w:val="206"/>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Non-GAAP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(6,222)</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(8,070)</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2020-04-01T16:19:51Z</dcterms:created>
  <dcterms:modified xsi:type="dcterms:W3CDTF">2020-04-01T16:19:51Z</dcterms:modified>
</cp:coreProperties>
</file>