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0" w:lineRule="exact"/>
        <w:rPr>
          <w:sz w:val="24"/>
          <w:szCs w:val="24"/>
          <w:color w:val="auto"/>
        </w:rPr>
      </w:pPr>
    </w:p>
    <w:p>
      <w:pPr>
        <w:ind w:left="660" w:right="2780" w:hanging="652"/>
        <w:spacing w:after="0" w:line="258" w:lineRule="auto"/>
        <w:tabs>
          <w:tab w:leader="none" w:pos="363"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March 31, 2016</w:t>
      </w:r>
    </w:p>
    <w:p>
      <w:pPr>
        <w:spacing w:after="0" w:line="1"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or</w:t>
      </w:r>
    </w:p>
    <w:p>
      <w:pPr>
        <w:spacing w:after="0" w:line="5" w:lineRule="exact"/>
        <w:rPr>
          <w:sz w:val="24"/>
          <w:szCs w:val="24"/>
          <w:color w:val="auto"/>
        </w:rPr>
      </w:pPr>
    </w:p>
    <w:p>
      <w:pPr>
        <w:ind w:left="660" w:right="2840" w:hanging="652"/>
        <w:spacing w:after="0" w:line="257" w:lineRule="auto"/>
        <w:tabs>
          <w:tab w:leader="none" w:pos="106"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6"/>
          <w:szCs w:val="16"/>
          <w:color w:val="auto"/>
        </w:rPr>
        <w:t xml:space="preserve"> For the transition period _______ to _______</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u w:val="single" w:color="auto"/>
          <w:color w:val="auto"/>
        </w:rPr>
        <w:t>001-33660</w:t>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CLEARONE,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520" w:type="dxa"/>
        <w:tblCellMar>
          <w:top w:w="0" w:type="dxa"/>
          <w:left w:w="0" w:type="dxa"/>
          <w:bottom w:w="0" w:type="dxa"/>
          <w:right w:w="0" w:type="dxa"/>
        </w:tblCellMar>
      </w:tblPr>
      <w:tr>
        <w:trPr>
          <w:trHeight w:val="210"/>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5"/>
              </w:rPr>
              <w:t>Utah</w:t>
            </w:r>
          </w:p>
        </w:tc>
        <w:tc>
          <w:tcPr>
            <w:tcW w:w="5780" w:type="dxa"/>
            <w:vAlign w:val="bottom"/>
            <w:gridSpan w:val="3"/>
          </w:tcPr>
          <w:p>
            <w:pPr>
              <w:jc w:val="right"/>
              <w:ind w:right="155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6"/>
                <w:szCs w:val="16"/>
                <w:color w:val="auto"/>
              </w:rPr>
              <w:t>(I.R.S. employer identification number)</w:t>
            </w:r>
          </w:p>
        </w:tc>
      </w:tr>
      <w:tr>
        <w:trPr>
          <w:trHeight w:val="257"/>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5780" w:type="dxa"/>
            <w:vAlign w:val="bottom"/>
            <w:gridSpan w:val="3"/>
          </w:tcPr>
          <w:p>
            <w:pPr>
              <w:jc w:val="right"/>
              <w:ind w:right="1759"/>
              <w:spacing w:after="0"/>
              <w:rPr>
                <w:sz w:val="20"/>
                <w:szCs w:val="20"/>
                <w:color w:val="auto"/>
              </w:rPr>
            </w:pPr>
            <w:r>
              <w:rPr>
                <w:rFonts w:ascii="Arial" w:cs="Arial" w:eastAsia="Arial" w:hAnsi="Arial"/>
                <w:sz w:val="16"/>
                <w:szCs w:val="16"/>
                <w:b w:val="1"/>
                <w:bCs w:val="1"/>
                <w:color w:val="auto"/>
              </w:rPr>
              <w:t>84116</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jc w:val="center"/>
              <w:ind w:left="699"/>
              <w:spacing w:after="0"/>
              <w:rPr>
                <w:sz w:val="20"/>
                <w:szCs w:val="20"/>
                <w:color w:val="auto"/>
              </w:rPr>
            </w:pPr>
            <w:r>
              <w:rPr>
                <w:rFonts w:ascii="Arial" w:cs="Arial" w:eastAsia="Arial" w:hAnsi="Arial"/>
                <w:sz w:val="16"/>
                <w:szCs w:val="16"/>
                <w:color w:val="auto"/>
                <w:w w:val="93"/>
              </w:rPr>
              <w:t>(Address of principal executive offices)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1660"/>
              <w:spacing w:after="0"/>
              <w:rPr>
                <w:sz w:val="20"/>
                <w:szCs w:val="20"/>
                <w:color w:val="auto"/>
              </w:rPr>
            </w:pPr>
            <w:r>
              <w:rPr>
                <w:rFonts w:ascii="Arial" w:cs="Arial" w:eastAsia="Arial" w:hAnsi="Arial"/>
                <w:sz w:val="16"/>
                <w:szCs w:val="16"/>
                <w:color w:val="auto"/>
              </w:rPr>
              <w:t>(Zip Code)</w:t>
            </w:r>
          </w:p>
        </w:tc>
      </w:tr>
      <w:tr>
        <w:trPr>
          <w:trHeight w:val="257"/>
        </w:trPr>
        <w:tc>
          <w:tcPr>
            <w:tcW w:w="4620" w:type="dxa"/>
            <w:vAlign w:val="bottom"/>
          </w:tcPr>
          <w:p>
            <w:pPr>
              <w:spacing w:after="0"/>
              <w:rPr>
                <w:sz w:val="22"/>
                <w:szCs w:val="22"/>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w w:val="96"/>
              </w:rPr>
              <w:t>(801) 975-7200</w:t>
            </w:r>
          </w:p>
        </w:tc>
        <w:tc>
          <w:tcPr>
            <w:tcW w:w="40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20955</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62" w:lineRule="exact"/>
        <w:rPr>
          <w:sz w:val="24"/>
          <w:szCs w:val="24"/>
          <w:color w:val="auto"/>
        </w:rPr>
      </w:pPr>
    </w:p>
    <w:p>
      <w:pPr>
        <w:spacing w:after="0" w:line="349" w:lineRule="auto"/>
        <w:rPr>
          <w:sz w:val="20"/>
          <w:szCs w:val="20"/>
          <w:color w:val="auto"/>
        </w:rPr>
      </w:pPr>
      <w:r>
        <w:rPr>
          <w:rFonts w:ascii="Arial" w:cs="Arial" w:eastAsia="Arial" w:hAnsi="Arial"/>
          <w:sz w:val="14"/>
          <w:szCs w:val="14"/>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99"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See the definition of “large accelerated filer, “accelerated filer” and “smaller reporting company” in Rule 12b-2 of the Exchange Act. (Check one):</w:t>
      </w:r>
    </w:p>
    <w:p>
      <w:pPr>
        <w:sectPr>
          <w:pgSz w:w="11900" w:h="16838" w:orient="portrait"/>
          <w:cols w:equalWidth="0" w:num="1">
            <w:col w:w="11400"/>
          </w:cols>
          <w:pgMar w:left="240" w:top="477" w:right="259" w:bottom="1440" w:gutter="0" w:footer="0" w:header="0"/>
        </w:sectPr>
      </w:pPr>
    </w:p>
    <w:p>
      <w:pPr>
        <w:spacing w:after="0" w:line="167"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Larger Accelerated Filer [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[x]</w:t>
      </w:r>
    </w:p>
    <w:p>
      <w:pPr>
        <w:spacing w:after="0" w:line="165" w:lineRule="exact"/>
        <w:rPr>
          <w:sz w:val="24"/>
          <w:szCs w:val="24"/>
          <w:color w:val="auto"/>
        </w:rPr>
      </w:pPr>
    </w:p>
    <w:p>
      <w:pPr>
        <w:sectPr>
          <w:pgSz w:w="11900" w:h="16838" w:orient="portrait"/>
          <w:cols w:equalWidth="0" w:num="2">
            <w:col w:w="6080" w:space="720"/>
            <w:col w:w="4600"/>
          </w:cols>
          <w:pgMar w:left="240" w:top="477"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 ]</w:t>
      </w:r>
    </w:p>
    <w:p>
      <w:pPr>
        <w:spacing w:after="0" w:line="200" w:lineRule="exact"/>
        <w:rPr>
          <w:sz w:val="24"/>
          <w:szCs w:val="24"/>
          <w:color w:val="auto"/>
        </w:rPr>
      </w:pPr>
    </w:p>
    <w:p>
      <w:pPr>
        <w:sectPr>
          <w:pgSz w:w="11900" w:h="16838" w:orient="portrait"/>
          <w:cols w:equalWidth="0" w:num="3">
            <w:col w:w="6080" w:space="720"/>
            <w:col w:w="1860" w:space="120"/>
            <w:col w:w="2620"/>
          </w:cols>
          <w:pgMar w:left="240" w:top="477" w:right="259" w:bottom="1440" w:gutter="0" w:footer="0" w:header="0"/>
          <w:type w:val="continuous"/>
        </w:sectPr>
      </w:pP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 ] No [x]</w:t>
      </w:r>
    </w:p>
    <w:p>
      <w:pPr>
        <w:spacing w:after="0" w:line="217"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APPLICABLE ONLY TO CORPORATE ISSUERS:</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ClearOne common stock outstanding as of April 30, 2016 was 9,253,578.</w:t>
      </w:r>
    </w:p>
    <w:p>
      <w:pPr>
        <w:sectPr>
          <w:pgSz w:w="11900" w:h="16838" w:orient="portrait"/>
          <w:cols w:equalWidth="0" w:num="1">
            <w:col w:w="11400"/>
          </w:cols>
          <w:pgMar w:left="240" w:top="477" w:right="2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 FOR THE QUARTER ENDED MARCH 31, 2016</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940" w:type="dxa"/>
            <w:vAlign w:val="bottom"/>
            <w:gridSpan w:val="7"/>
          </w:tcPr>
          <w:p>
            <w:pPr>
              <w:jc w:val="center"/>
              <w:ind w:right="318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02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2016 Unaudited and December 31, 2015</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2016 and 2015 Unaudited</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three months ended March 31, 2016 and 2015 Unaudited</w:t>
              </w:r>
            </w:hyperlink>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w:t>
              </w:r>
            </w:hyperlink>
          </w:p>
        </w:tc>
        <w:tc>
          <w:tcPr>
            <w:tcW w:w="10260" w:type="dxa"/>
            <w:vAlign w:val="bottom"/>
            <w:gridSpan w:val="1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10260" w:type="dxa"/>
            <w:vAlign w:val="bottom"/>
            <w:gridSpan w:val="1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920" w:type="dxa"/>
            <w:vAlign w:val="bottom"/>
            <w:tcBorders>
              <w:left w:val="single" w:sz="8" w:color="0000EE"/>
            </w:tcBorders>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10260" w:type="dxa"/>
            <w:vAlign w:val="bottom"/>
            <w:gridSpan w:val="1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r>
      <w:tr>
        <w:trPr>
          <w:trHeight w:val="48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940" w:type="dxa"/>
            <w:vAlign w:val="bottom"/>
            <w:gridSpan w:val="7"/>
          </w:tcPr>
          <w:p>
            <w:pPr>
              <w:jc w:val="center"/>
              <w:ind w:right="3180"/>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338"/>
        </w:trPr>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w:t>
              </w:r>
            </w:hyperlink>
          </w:p>
        </w:tc>
        <w:tc>
          <w:tcPr>
            <w:tcW w:w="1026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6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9360" w:type="dxa"/>
            <w:vAlign w:val="bottom"/>
            <w:gridSpan w:val="1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439"/>
        </w:trPr>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1026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1026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794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4.</w:t>
              </w:r>
            </w:hyperlink>
          </w:p>
        </w:tc>
        <w:tc>
          <w:tcPr>
            <w:tcW w:w="1026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500" w:type="dxa"/>
            <w:vAlign w:val="bottom"/>
            <w:gridSpan w:val="8"/>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5.</w:t>
              </w:r>
            </w:hyperlink>
          </w:p>
        </w:tc>
        <w:tc>
          <w:tcPr>
            <w:tcW w:w="1026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960" w:type="dxa"/>
            <w:vAlign w:val="bottom"/>
            <w:gridSpan w:val="10"/>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6.</w:t>
              </w:r>
            </w:hyperlink>
          </w:p>
        </w:tc>
        <w:tc>
          <w:tcPr>
            <w:tcW w:w="1026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36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March 31, 2016</w:t>
            </w:r>
          </w:p>
        </w:tc>
        <w:tc>
          <w:tcPr>
            <w:tcW w:w="240" w:type="dxa"/>
            <w:vAlign w:val="bottom"/>
          </w:tcPr>
          <w:p>
            <w:pPr>
              <w:spacing w:after="0"/>
              <w:rPr>
                <w:sz w:val="18"/>
                <w:szCs w:val="18"/>
                <w:color w:val="auto"/>
              </w:rPr>
            </w:pPr>
          </w:p>
        </w:tc>
        <w:tc>
          <w:tcPr>
            <w:tcW w:w="1820" w:type="dxa"/>
            <w:vAlign w:val="bottom"/>
          </w:tcPr>
          <w:p>
            <w:pPr>
              <w:jc w:val="right"/>
              <w:ind w:right="290"/>
              <w:spacing w:after="0"/>
              <w:rPr>
                <w:sz w:val="20"/>
                <w:szCs w:val="20"/>
                <w:color w:val="auto"/>
              </w:rPr>
            </w:pPr>
            <w:r>
              <w:rPr>
                <w:rFonts w:ascii="Arial" w:cs="Arial" w:eastAsia="Arial" w:hAnsi="Arial"/>
                <w:sz w:val="16"/>
                <w:szCs w:val="16"/>
                <w:b w:val="1"/>
                <w:bCs w:val="1"/>
                <w:color w:val="auto"/>
                <w:w w:val="98"/>
              </w:rPr>
              <w:t>December 31, 2015</w:t>
            </w:r>
          </w:p>
        </w:tc>
      </w:tr>
      <w:tr>
        <w:trPr>
          <w:trHeight w:val="270"/>
        </w:trPr>
        <w:tc>
          <w:tcPr>
            <w:tcW w:w="7180" w:type="dxa"/>
            <w:vAlign w:val="bottom"/>
          </w:tcPr>
          <w:p>
            <w:pPr>
              <w:ind w:left="328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3"/>
                <w:szCs w:val="23"/>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33"/>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13,913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13,412</w:t>
            </w: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7,161</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Receivables, net of allowance for doubtful accounts of $77 and $54, respectively</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8,133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8,692</w:t>
            </w: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13,447</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Distributor channel inventories</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1,628</w:t>
            </w: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1,806</w:t>
            </w: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46,278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46,146</w:t>
            </w: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19,204</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Long-term inventories, net</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2,018</w:t>
            </w: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1,589</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Intangibles, net</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6,368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6,638</w:t>
            </w: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12,724</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5,093</w:t>
            </w: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r>
      <w:tr>
        <w:trPr>
          <w:trHeight w:val="297"/>
        </w:trPr>
        <w:tc>
          <w:tcPr>
            <w:tcW w:w="71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94,353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93,529</w:t>
            </w:r>
          </w:p>
        </w:tc>
      </w:tr>
      <w:tr>
        <w:trPr>
          <w:trHeight w:val="237"/>
        </w:trPr>
        <w:tc>
          <w:tcPr>
            <w:tcW w:w="718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2,815</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2,243</w:t>
            </w: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product revenue</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4,549</w:t>
            </w: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9,607</w:t>
            </w: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1,203</w:t>
            </w: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10,960</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Common stock, par value $0.001, 50,000,000 shares authorized, 9,219,978 and 9,183,957 shares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7"/>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issued and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45,568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46,291</w:t>
            </w: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36,940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36,435</w:t>
            </w: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82,505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82,569</w:t>
            </w:r>
          </w:p>
        </w:tc>
      </w:tr>
      <w:tr>
        <w:trPr>
          <w:trHeight w:val="257"/>
        </w:trPr>
        <w:tc>
          <w:tcPr>
            <w:tcW w:w="7180" w:type="dxa"/>
            <w:vAlign w:val="bottom"/>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94,353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93,529</w:t>
            </w: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3400" w:type="dxa"/>
            <w:vAlign w:val="bottom"/>
            <w:gridSpan w:val="4"/>
          </w:tcPr>
          <w:p>
            <w:pPr>
              <w:jc w:val="right"/>
              <w:ind w:right="91"/>
              <w:spacing w:after="0"/>
              <w:rPr>
                <w:sz w:val="20"/>
                <w:szCs w:val="20"/>
                <w:color w:val="auto"/>
              </w:rPr>
            </w:pPr>
            <w:r>
              <w:rPr>
                <w:rFonts w:ascii="Arial" w:cs="Arial" w:eastAsia="Arial" w:hAnsi="Arial"/>
                <w:sz w:val="16"/>
                <w:szCs w:val="16"/>
                <w:b w:val="1"/>
                <w:bCs w:val="1"/>
                <w:color w:val="auto"/>
              </w:rPr>
              <w:t>Three months ended March 31,</w:t>
            </w:r>
          </w:p>
        </w:tc>
        <w:tc>
          <w:tcPr>
            <w:tcW w:w="860" w:type="dxa"/>
            <w:vAlign w:val="bottom"/>
          </w:tcPr>
          <w:p>
            <w:pPr>
              <w:spacing w:after="0"/>
              <w:rPr>
                <w:sz w:val="18"/>
                <w:szCs w:val="18"/>
                <w:color w:val="auto"/>
              </w:rPr>
            </w:pPr>
          </w:p>
        </w:tc>
      </w:tr>
      <w:tr>
        <w:trPr>
          <w:trHeight w:val="33"/>
        </w:trPr>
        <w:tc>
          <w:tcPr>
            <w:tcW w:w="71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7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860" w:type="dxa"/>
            <w:vAlign w:val="bottom"/>
          </w:tcPr>
          <w:p>
            <w:pPr>
              <w:spacing w:after="0"/>
              <w:rPr>
                <w:sz w:val="18"/>
                <w:szCs w:val="18"/>
                <w:color w:val="auto"/>
              </w:rPr>
            </w:pPr>
          </w:p>
        </w:tc>
      </w:tr>
      <w:tr>
        <w:trPr>
          <w:trHeight w:val="33"/>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20" w:type="dxa"/>
            <w:vAlign w:val="bottom"/>
            <w:tcBorders>
              <w:bottom w:val="single" w:sz="8" w:color="CCEEFF"/>
            </w:tcBorders>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13,033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13,586</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4,568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5,124</w:t>
            </w:r>
          </w:p>
        </w:tc>
      </w:tr>
      <w:tr>
        <w:trPr>
          <w:trHeight w:val="27"/>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8,462</w:t>
            </w:r>
          </w:p>
        </w:tc>
      </w:tr>
      <w:tr>
        <w:trPr>
          <w:trHeight w:val="291"/>
        </w:trPr>
        <w:tc>
          <w:tcPr>
            <w:tcW w:w="71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77"/>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2,622</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6,563</w:t>
            </w:r>
          </w:p>
        </w:tc>
      </w:tr>
      <w:tr>
        <w:trPr>
          <w:trHeight w:val="291"/>
        </w:trPr>
        <w:tc>
          <w:tcPr>
            <w:tcW w:w="71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1,899</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7"/>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2,003</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731</w:t>
            </w:r>
          </w:p>
        </w:tc>
      </w:tr>
      <w:tr>
        <w:trPr>
          <w:trHeight w:val="27"/>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1,272</w:t>
            </w:r>
          </w:p>
        </w:tc>
      </w:tr>
      <w:tr>
        <w:trPr>
          <w:trHeight w:val="20"/>
        </w:trPr>
        <w:tc>
          <w:tcPr>
            <w:tcW w:w="7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4"/>
        </w:trPr>
        <w:tc>
          <w:tcPr>
            <w:tcW w:w="7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1220" w:type="dxa"/>
            <w:vAlign w:val="bottom"/>
            <w:tcBorders>
              <w:bottom w:val="single" w:sz="8" w:color="CCEEFF"/>
            </w:tcBorders>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1220" w:type="dxa"/>
            <w:vAlign w:val="bottom"/>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1220" w:type="dxa"/>
            <w:vAlign w:val="bottom"/>
          </w:tcPr>
          <w:p>
            <w:pPr>
              <w:jc w:val="right"/>
              <w:ind w:right="99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0.13</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97"/>
        </w:trPr>
        <w:tc>
          <w:tcPr>
            <w:tcW w:w="7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w w:val="89"/>
              </w:rPr>
              <w:t>9,196,522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9,100,107</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9,513,440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9,508,479</w:t>
            </w:r>
          </w:p>
        </w:tc>
      </w:tr>
      <w:tr>
        <w:trPr>
          <w:trHeight w:val="324"/>
        </w:trPr>
        <w:tc>
          <w:tcPr>
            <w:tcW w:w="7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ind w:right="10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1"/>
                <w:szCs w:val="21"/>
                <w:color w:val="auto"/>
              </w:rPr>
            </w:pPr>
          </w:p>
        </w:tc>
        <w:tc>
          <w:tcPr>
            <w:tcW w:w="1220" w:type="dxa"/>
            <w:vAlign w:val="bottom"/>
          </w:tcPr>
          <w:p>
            <w:pPr>
              <w:jc w:val="right"/>
              <w:ind w:right="101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1,272</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300"/>
              <w:spacing w:after="0"/>
              <w:rPr>
                <w:sz w:val="20"/>
                <w:szCs w:val="20"/>
                <w:color w:val="auto"/>
              </w:rPr>
            </w:pPr>
            <w:r>
              <w:rPr>
                <w:rFonts w:ascii="Arial" w:cs="Arial" w:eastAsia="Arial" w:hAnsi="Arial"/>
                <w:sz w:val="18"/>
                <w:szCs w:val="18"/>
                <w:color w:val="auto"/>
              </w:rPr>
              <w:t>Unrealized gain on available-for-sale securities, net of tax</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Change in foreign currency translation adjustment</w:t>
            </w:r>
          </w:p>
        </w:tc>
        <w:tc>
          <w:tcPr>
            <w:tcW w:w="1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57"/>
        </w:trPr>
        <w:tc>
          <w:tcPr>
            <w:tcW w:w="7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220" w:type="dxa"/>
            <w:vAlign w:val="bottom"/>
            <w:tcBorders>
              <w:top w:val="single" w:sz="8" w:color="auto"/>
              <w:bottom w:val="single" w:sz="8" w:color="auto"/>
            </w:tcBorders>
          </w:tcPr>
          <w:p>
            <w:pPr>
              <w:jc w:val="right"/>
              <w:ind w:right="103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101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1,147</w:t>
            </w:r>
          </w:p>
        </w:tc>
      </w:tr>
      <w:tr>
        <w:trPr>
          <w:trHeight w:val="20"/>
        </w:trPr>
        <w:tc>
          <w:tcPr>
            <w:tcW w:w="7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3640" w:type="dxa"/>
            <w:vAlign w:val="bottom"/>
            <w:gridSpan w:val="4"/>
          </w:tcPr>
          <w:p>
            <w:pPr>
              <w:jc w:val="right"/>
              <w:ind w:right="253"/>
              <w:spacing w:after="0"/>
              <w:rPr>
                <w:sz w:val="20"/>
                <w:szCs w:val="20"/>
                <w:color w:val="auto"/>
              </w:rPr>
            </w:pPr>
            <w:r>
              <w:rPr>
                <w:rFonts w:ascii="Arial" w:cs="Arial" w:eastAsia="Arial" w:hAnsi="Arial"/>
                <w:sz w:val="16"/>
                <w:szCs w:val="16"/>
                <w:b w:val="1"/>
                <w:bCs w:val="1"/>
                <w:color w:val="auto"/>
              </w:rPr>
              <w:t>Three months ended March 31,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20" w:type="dxa"/>
            <w:vAlign w:val="bottom"/>
          </w:tcPr>
          <w:p>
            <w:pPr>
              <w:spacing w:after="0"/>
              <w:rPr>
                <w:sz w:val="20"/>
                <w:szCs w:val="20"/>
                <w:color w:val="auto"/>
              </w:rPr>
            </w:pPr>
          </w:p>
        </w:tc>
        <w:tc>
          <w:tcPr>
            <w:tcW w:w="1380" w:type="dxa"/>
            <w:vAlign w:val="bottom"/>
          </w:tcPr>
          <w:p>
            <w:pPr>
              <w:jc w:val="right"/>
              <w:ind w:right="54"/>
              <w:spacing w:after="0"/>
              <w:rPr>
                <w:sz w:val="20"/>
                <w:szCs w:val="20"/>
                <w:color w:val="auto"/>
              </w:rPr>
            </w:pPr>
            <w:r>
              <w:rPr>
                <w:rFonts w:ascii="Arial" w:cs="Arial" w:eastAsia="Arial" w:hAnsi="Arial"/>
                <w:sz w:val="16"/>
                <w:szCs w:val="16"/>
                <w:b w:val="1"/>
                <w:bCs w:val="1"/>
                <w:color w:val="auto"/>
              </w:rPr>
              <w:t>2016</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73"/>
              <w:spacing w:after="0"/>
              <w:rPr>
                <w:sz w:val="20"/>
                <w:szCs w:val="20"/>
                <w:color w:val="auto"/>
              </w:rPr>
            </w:pPr>
            <w:r>
              <w:rPr>
                <w:rFonts w:ascii="Arial" w:cs="Arial" w:eastAsia="Arial" w:hAnsi="Arial"/>
                <w:sz w:val="16"/>
                <w:szCs w:val="16"/>
                <w:b w:val="1"/>
                <w:bCs w:val="1"/>
                <w:color w:val="auto"/>
              </w:rPr>
              <w:t>2015</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tcPr>
          <w:p>
            <w:pPr>
              <w:jc w:val="right"/>
              <w:ind w:right="1054"/>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21"/>
                <w:szCs w:val="21"/>
                <w:color w:val="auto"/>
              </w:rPr>
            </w:pPr>
          </w:p>
        </w:tc>
        <w:tc>
          <w:tcPr>
            <w:tcW w:w="1380" w:type="dxa"/>
            <w:vAlign w:val="bottom"/>
          </w:tcPr>
          <w:p>
            <w:pPr>
              <w:jc w:val="right"/>
              <w:ind w:right="1053"/>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rent</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doubtful accounts, net</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Write-down of inventory to net realizable value</w:t>
            </w: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disposal of assets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Tax benefit from exercise of stock options</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Receivables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product revenue</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Other long-term liabilities</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2,086</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183"/>
        </w:trPr>
        <w:tc>
          <w:tcPr>
            <w:tcW w:w="702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maturities and sales of marketable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Purchases of marketable securities</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1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156"/>
        </w:trPr>
        <w:tc>
          <w:tcPr>
            <w:tcW w:w="702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Proceeds from the exercise of stock options</w:t>
            </w: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Repurchase and cancellation of stock options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Tax benefit from exercise of stock options</w:t>
            </w: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Repurchase and cancellation of stock</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1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13,412</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57"/>
        </w:trPr>
        <w:tc>
          <w:tcPr>
            <w:tcW w:w="7020" w:type="dxa"/>
            <w:vAlign w:val="bottom"/>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1380" w:type="dxa"/>
            <w:vAlign w:val="bottom"/>
            <w:tcBorders>
              <w:top w:val="single" w:sz="8" w:color="auto"/>
              <w:bottom w:val="single" w:sz="8" w:color="auto"/>
            </w:tcBorders>
          </w:tcPr>
          <w:p>
            <w:pPr>
              <w:jc w:val="right"/>
              <w:ind w:right="1054"/>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13,913</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1053"/>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10,865</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4820"/>
              <w:spacing w:after="0"/>
              <w:rPr>
                <w:sz w:val="20"/>
                <w:szCs w:val="20"/>
                <w:color w:val="auto"/>
              </w:rPr>
            </w:pPr>
            <w:r>
              <w:rPr>
                <w:rFonts w:ascii="Arial" w:cs="Arial" w:eastAsia="Arial" w:hAnsi="Arial"/>
                <w:sz w:val="18"/>
                <w:szCs w:val="18"/>
                <w:i w:val="1"/>
                <w:iCs w:val="1"/>
                <w:color w:val="auto"/>
              </w:rPr>
              <w:t>See accompanying notes</w:t>
            </w: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37"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20" w:type="dxa"/>
            <w:vAlign w:val="bottom"/>
            <w:gridSpan w:val="4"/>
          </w:tcPr>
          <w:p>
            <w:pPr>
              <w:jc w:val="right"/>
              <w:ind w:right="914"/>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jc w:val="right"/>
              <w:ind w:right="776"/>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jc w:val="right"/>
              <w:ind w:right="774"/>
              <w:spacing w:after="0"/>
              <w:rPr>
                <w:sz w:val="20"/>
                <w:szCs w:val="20"/>
                <w:color w:val="auto"/>
              </w:rPr>
            </w:pPr>
            <w:r>
              <w:rPr>
                <w:rFonts w:ascii="Arial" w:cs="Arial" w:eastAsia="Arial" w:hAnsi="Arial"/>
                <w:sz w:val="16"/>
                <w:szCs w:val="16"/>
                <w:b w:val="1"/>
                <w:bCs w:val="1"/>
                <w:color w:val="auto"/>
              </w:rPr>
              <w:t>2015</w:t>
            </w:r>
          </w:p>
        </w:tc>
      </w:tr>
      <w:tr>
        <w:trPr>
          <w:trHeight w:val="33"/>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20"/>
              <w:spacing w:after="0"/>
              <w:rPr>
                <w:sz w:val="20"/>
                <w:szCs w:val="20"/>
                <w:color w:val="auto"/>
              </w:rPr>
            </w:pPr>
            <w:r>
              <w:rPr>
                <w:rFonts w:ascii="Arial" w:cs="Arial" w:eastAsia="Arial" w:hAnsi="Arial"/>
                <w:sz w:val="18"/>
                <w:szCs w:val="18"/>
                <w:color w:val="auto"/>
              </w:rPr>
              <w:t>Cash paid for income taxes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881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37"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Business Description:</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Basis of Presentation:</w:t>
      </w:r>
    </w:p>
    <w:p>
      <w:pPr>
        <w:spacing w:after="0" w:line="225" w:lineRule="exact"/>
        <w:rPr>
          <w:sz w:val="20"/>
          <w:szCs w:val="20"/>
          <w:color w:val="auto"/>
        </w:rPr>
      </w:pPr>
    </w:p>
    <w:p>
      <w:pPr>
        <w:ind w:right="440"/>
        <w:spacing w:after="0" w:line="216" w:lineRule="auto"/>
        <w:rPr>
          <w:sz w:val="20"/>
          <w:szCs w:val="20"/>
          <w:color w:val="auto"/>
        </w:rPr>
      </w:pPr>
      <w:r>
        <w:rPr>
          <w:rFonts w:ascii="Arial" w:cs="Arial" w:eastAsia="Arial" w:hAnsi="Arial"/>
          <w:sz w:val="18"/>
          <w:szCs w:val="18"/>
          <w:color w:val="auto"/>
        </w:rPr>
        <w:t>The fiscal year for ClearOne is the 12 months ending on December 31</w:t>
      </w:r>
      <w:r>
        <w:rPr>
          <w:rFonts w:ascii="Arial" w:cs="Arial" w:eastAsia="Arial" w:hAnsi="Arial"/>
          <w:sz w:val="25"/>
          <w:szCs w:val="25"/>
          <w:color w:val="auto"/>
          <w:vertAlign w:val="superscript"/>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20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These accompanying interim condensed consolidated financial statements for the three months ended March 31, 2016 and 2015,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March 31, 2016 and December 31, 2015, the results of operations for the three months ended March 31, 2016 and 2015, and the statements of cash flows for the three months ended March 31, 2016 and 2015. The results of operations for the three months ended March 31, 2016 and 2015 are not necessarily indicative of the results for a full-year period. These interim condensed consolidated financial statements should be read in conjunction with the financial statements included in our Annual Report on Form 10-K for the year ended December 31, 2015 filed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Significant Accounting Policies: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 for the year ended December 31, 2015. There have been no changes to these policies during the three months ended March 31, 2016 that are of significance or potential significance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Recent Accounting Pronouncements: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Early adoption is not permitted. The updated standard becomes effective for the Company on January 1, 2017. The Company has not yet selected a transition method and is currently evaluating the effect that the updated standard will have on the consolidated financial statements.</w:t>
      </w:r>
    </w:p>
    <w:p>
      <w:pPr>
        <w:spacing w:after="0" w:line="158" w:lineRule="exact"/>
        <w:rPr>
          <w:sz w:val="20"/>
          <w:szCs w:val="20"/>
          <w:color w:val="auto"/>
        </w:rPr>
      </w:pPr>
    </w:p>
    <w:p>
      <w:pPr>
        <w:jc w:val="both"/>
        <w:ind w:right="580"/>
        <w:spacing w:after="0" w:line="312" w:lineRule="auto"/>
        <w:rPr>
          <w:sz w:val="20"/>
          <w:szCs w:val="20"/>
          <w:color w:val="auto"/>
        </w:rPr>
      </w:pPr>
      <w:r>
        <w:rPr>
          <w:rFonts w:ascii="Arial" w:cs="Arial" w:eastAsia="Arial" w:hAnsi="Arial"/>
          <w:sz w:val="16"/>
          <w:szCs w:val="16"/>
          <w:color w:val="auto"/>
        </w:rPr>
        <w:t>In November 2015, the FASB issued ASU 2015-17, Income Taxes (Topic 740), simplifying the presentation of deferred taxes on the balance sheet by requiring companies to classify everything as either a non-current asset or non-current liability. Early adoption of this ASU is permitted. ClearOne has adopted this standard update early as it would simplify the presentation of taxes on the balance sheet and within the income tax footnote.</w:t>
      </w:r>
    </w:p>
    <w:p>
      <w:pPr>
        <w:spacing w:after="0" w:line="1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February 2016, FASB released Accounting Standards Update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will take effect the Company for fiscal years, and interim periods within those fiscal years, beginning after December 15, 2018. Early application will be permitted for all organizations. The Company has not yet selected a transition method and is currently evaluating the effect that the updated standard will have on the consolidated financial statements.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March 2016, the FASB issued ASU 2016-09, Compensation - Stock Compensation: Improvements to Employee Shared-Based Payment Accounting. The standard is intended to simplify several areas of accounting for share-based compensation arrangements, including the income tax impact, classification on the statement of cash flows and forfeitures. ASU 2016-09 is effective for the Company on January 1, 2017. The Company is currently evaluating the impact that ASU 2016-09 will have on the consolidated financial statements.</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38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rPr>
              <w:t>Three months ended March 31,</w:t>
            </w:r>
          </w:p>
        </w:tc>
        <w:tc>
          <w:tcPr>
            <w:tcW w:w="84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840" w:type="dxa"/>
            <w:vAlign w:val="bottom"/>
          </w:tcPr>
          <w:p>
            <w:pPr>
              <w:spacing w:after="0"/>
              <w:rPr>
                <w:sz w:val="20"/>
                <w:szCs w:val="20"/>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ind w:right="1014"/>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1"/>
                <w:szCs w:val="21"/>
                <w:color w:val="auto"/>
              </w:rPr>
            </w:pPr>
          </w:p>
        </w:tc>
        <w:tc>
          <w:tcPr>
            <w:tcW w:w="1220" w:type="dxa"/>
            <w:vAlign w:val="bottom"/>
          </w:tcPr>
          <w:p>
            <w:pPr>
              <w:jc w:val="right"/>
              <w:ind w:right="101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1,272</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9,196,522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9,100,107</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Dilutive common stock equivalents using treasury stock method</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316,918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408,372</w:t>
            </w:r>
          </w:p>
        </w:tc>
      </w:tr>
      <w:tr>
        <w:trPr>
          <w:trHeight w:val="297"/>
        </w:trPr>
        <w:tc>
          <w:tcPr>
            <w:tcW w:w="7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1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9,513,440</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9,508,479</w:t>
            </w:r>
          </w:p>
        </w:tc>
      </w:tr>
      <w:tr>
        <w:trPr>
          <w:trHeight w:val="311"/>
        </w:trPr>
        <w:tc>
          <w:tcPr>
            <w:tcW w:w="7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220" w:type="dxa"/>
            <w:vAlign w:val="bottom"/>
          </w:tcPr>
          <w:p>
            <w:pPr>
              <w:jc w:val="right"/>
              <w:ind w:right="1014"/>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1220" w:type="dxa"/>
            <w:vAlign w:val="bottom"/>
          </w:tcPr>
          <w:p>
            <w:pPr>
              <w:jc w:val="right"/>
              <w:ind w:right="101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0.14</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220" w:type="dxa"/>
            <w:vAlign w:val="bottom"/>
            <w:tcBorders>
              <w:bottom w:val="single" w:sz="8" w:color="CCEEFF"/>
            </w:tcBorders>
            <w:shd w:val="clear" w:color="auto" w:fill="CCEEFF"/>
          </w:tcPr>
          <w:p>
            <w:pPr>
              <w:jc w:val="right"/>
              <w:ind w:right="101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r>
      <w:tr>
        <w:trPr>
          <w:trHeight w:val="324"/>
        </w:trPr>
        <w:tc>
          <w:tcPr>
            <w:tcW w:w="7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options outstanding</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1,000,571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1,037,137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Anti-dilutive options not included in the computations</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289,623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268,709</w:t>
            </w:r>
          </w:p>
        </w:tc>
      </w:tr>
    </w:tbl>
    <w:p>
      <w:pPr>
        <w:spacing w:after="0" w:line="22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94"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Company has classified its marketable securities as available-for-sale securities. These securities are carried at estimated fair value with unrealized holding gains and losses included in accumulated other comprehensive income/loss in stockholders' equity until realized. Gains and losses on marketable security transactions are reported on the specific-identification method. Dividend and interest income are recognized when earned.</w:t>
      </w:r>
    </w:p>
    <w:p>
      <w:pPr>
        <w:spacing w:after="0" w:line="22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security at March 31, 2016 and December 31, 2015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40" w:type="dxa"/>
            <w:vAlign w:val="bottom"/>
          </w:tcPr>
          <w:p>
            <w:pPr>
              <w:spacing w:after="0"/>
              <w:rPr>
                <w:sz w:val="16"/>
                <w:szCs w:val="16"/>
                <w:color w:val="auto"/>
              </w:rPr>
            </w:pPr>
          </w:p>
        </w:tc>
        <w:tc>
          <w:tcPr>
            <w:tcW w:w="1120" w:type="dxa"/>
            <w:vAlign w:val="bottom"/>
          </w:tcPr>
          <w:p>
            <w:pPr>
              <w:jc w:val="right"/>
              <w:ind w:right="29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2016</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Available-for-sale securities: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Corporate bonds and notes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19,422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19,506</w:t>
            </w:r>
          </w:p>
        </w:tc>
        <w:tc>
          <w:tcPr>
            <w:tcW w:w="0" w:type="dxa"/>
            <w:vAlign w:val="bottom"/>
          </w:tcPr>
          <w:p>
            <w:pPr>
              <w:spacing w:after="0"/>
              <w:rPr>
                <w:sz w:val="1"/>
                <w:szCs w:val="1"/>
                <w:color w:val="auto"/>
              </w:rPr>
            </w:pPr>
          </w:p>
        </w:tc>
      </w:tr>
      <w:tr>
        <w:trPr>
          <w:trHeight w:val="243"/>
        </w:trPr>
        <w:tc>
          <w:tcPr>
            <w:tcW w:w="5620" w:type="dxa"/>
            <w:vAlign w:val="bottom"/>
          </w:tcPr>
          <w:p>
            <w:pPr>
              <w:ind w:left="96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6,691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26,113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26,237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20" w:type="dxa"/>
            <w:vAlign w:val="bottom"/>
          </w:tcPr>
          <w:p>
            <w:pPr>
              <w:spacing w:after="0"/>
              <w:rPr>
                <w:sz w:val="24"/>
                <w:szCs w:val="24"/>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06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unrealized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20" w:type="dxa"/>
            <w:vAlign w:val="bottom"/>
          </w:tcPr>
          <w:p>
            <w:pPr>
              <w:spacing w:after="0"/>
              <w:rPr>
                <w:sz w:val="12"/>
                <w:szCs w:val="12"/>
                <w:color w:val="auto"/>
              </w:rPr>
            </w:pPr>
          </w:p>
        </w:tc>
        <w:tc>
          <w:tcPr>
            <w:tcW w:w="12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holding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left="159"/>
              <w:spacing w:after="0" w:line="149" w:lineRule="exact"/>
              <w:rPr>
                <w:sz w:val="20"/>
                <w:szCs w:val="20"/>
                <w:color w:val="auto"/>
              </w:rPr>
            </w:pPr>
            <w:r>
              <w:rPr>
                <w:rFonts w:ascii="Arial" w:cs="Arial" w:eastAsia="Arial" w:hAnsi="Arial"/>
                <w:sz w:val="14"/>
                <w:szCs w:val="14"/>
                <w:b w:val="1"/>
                <w:bCs w:val="1"/>
                <w:color w:val="auto"/>
                <w:w w:val="90"/>
              </w:rPr>
              <w:t>holding</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6"/>
                <w:szCs w:val="16"/>
                <w:color w:val="auto"/>
              </w:rPr>
            </w:pPr>
          </w:p>
        </w:tc>
        <w:tc>
          <w:tcPr>
            <w:tcW w:w="106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87"/>
              </w:rPr>
              <w:t>gains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tcPr>
          <w:p>
            <w:pPr>
              <w:jc w:val="center"/>
              <w:ind w:left="159"/>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29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2015</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Corporate bonds and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20,827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20,744</w:t>
            </w:r>
          </w:p>
        </w:tc>
        <w:tc>
          <w:tcPr>
            <w:tcW w:w="0" w:type="dxa"/>
            <w:vAlign w:val="bottom"/>
          </w:tcPr>
          <w:p>
            <w:pPr>
              <w:spacing w:after="0"/>
              <w:rPr>
                <w:sz w:val="1"/>
                <w:szCs w:val="1"/>
                <w:color w:val="auto"/>
              </w:rPr>
            </w:pPr>
          </w:p>
        </w:tc>
      </w:tr>
      <w:tr>
        <w:trPr>
          <w:trHeight w:val="243"/>
        </w:trPr>
        <w:tc>
          <w:tcPr>
            <w:tcW w:w="5620" w:type="dxa"/>
            <w:vAlign w:val="bottom"/>
          </w:tcPr>
          <w:p>
            <w:pPr>
              <w:ind w:left="96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5,608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26,435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26,365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20" w:type="dxa"/>
            <w:vAlign w:val="bottom"/>
            <w:gridSpan w:val="7"/>
          </w:tcPr>
          <w:p>
            <w:pPr>
              <w:spacing w:after="0"/>
              <w:rPr>
                <w:sz w:val="20"/>
                <w:szCs w:val="20"/>
                <w:color w:val="auto"/>
              </w:rPr>
            </w:pPr>
            <w:r>
              <w:rPr>
                <w:rFonts w:ascii="Arial" w:cs="Arial" w:eastAsia="Arial" w:hAnsi="Arial"/>
                <w:sz w:val="18"/>
                <w:szCs w:val="18"/>
                <w:color w:val="auto"/>
                <w:w w:val="95"/>
              </w:rPr>
              <w:t>Maturities of marketable securities classified as available-for-sale securities were as follows at March 31, 2016: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6"/>
          </w:tcPr>
          <w:p>
            <w:pPr>
              <w:ind w:left="58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517"/>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0"/>
              </w:rPr>
              <w:t>cost</w:t>
            </w: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2016</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Due within one year</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5,881</w:t>
            </w:r>
          </w:p>
        </w:tc>
        <w:tc>
          <w:tcPr>
            <w:tcW w:w="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5,890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Due after one year through five years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19,247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19,365</w:t>
            </w:r>
          </w:p>
        </w:tc>
        <w:tc>
          <w:tcPr>
            <w:tcW w:w="0" w:type="dxa"/>
            <w:vAlign w:val="bottom"/>
          </w:tcPr>
          <w:p>
            <w:pPr>
              <w:spacing w:after="0"/>
              <w:rPr>
                <w:sz w:val="1"/>
                <w:szCs w:val="1"/>
                <w:color w:val="auto"/>
              </w:rPr>
            </w:pP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Due after five years through ten years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985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26,113</w:t>
            </w:r>
          </w:p>
        </w:tc>
        <w:tc>
          <w:tcPr>
            <w:tcW w:w="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26,237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Debt securities in an unrealized loss position as of March 31, 2016 were not deemed impaired at acquisition and subsequent declines in fair value are not deemed attributed to declines in credit quality. Management believes that it is more likely than not that the securities will receive a full recovery of par value. The available-for-sale marketable securities in a gross unrealized loss position as of March 31, 2016 are summarized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5"/>
          </w:tcPr>
          <w:p>
            <w:pPr>
              <w:ind w:left="30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220" w:type="dxa"/>
            <w:vAlign w:val="bottom"/>
            <w:gridSpan w:val="5"/>
          </w:tcPr>
          <w:p>
            <w:pPr>
              <w:ind w:left="240"/>
              <w:spacing w:after="0"/>
              <w:rPr>
                <w:sz w:val="20"/>
                <w:szCs w:val="20"/>
                <w:color w:val="auto"/>
              </w:rPr>
            </w:pPr>
            <w:r>
              <w:rPr>
                <w:rFonts w:ascii="Arial" w:cs="Arial" w:eastAsia="Arial" w:hAnsi="Arial"/>
                <w:sz w:val="16"/>
                <w:szCs w:val="16"/>
                <w:b w:val="1"/>
                <w:bCs w:val="1"/>
                <w:color w:val="auto"/>
              </w:rPr>
              <w:t>More than 12 months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spacing w:after="0"/>
              <w:rPr>
                <w:sz w:val="20"/>
                <w:szCs w:val="20"/>
                <w:color w:val="auto"/>
              </w:rPr>
            </w:pPr>
            <w:r>
              <w:rPr>
                <w:rFonts w:ascii="Arial" w:cs="Arial" w:eastAsia="Arial" w:hAnsi="Arial"/>
                <w:sz w:val="16"/>
                <w:szCs w:val="16"/>
                <w:b w:val="1"/>
                <w:bCs w:val="1"/>
                <w:color w:val="auto"/>
                <w:w w:val="99"/>
              </w:rPr>
              <w:t>Total</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23"/>
              <w:spacing w:after="0" w:line="147"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80" w:type="dxa"/>
            <w:vAlign w:val="bottom"/>
          </w:tcPr>
          <w:p>
            <w:pPr>
              <w:spacing w:after="0"/>
              <w:rPr>
                <w:sz w:val="12"/>
                <w:szCs w:val="12"/>
                <w:color w:val="auto"/>
              </w:rPr>
            </w:pPr>
          </w:p>
        </w:tc>
        <w:tc>
          <w:tcPr>
            <w:tcW w:w="8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2"/>
              </w:rPr>
              <w:t>unrealized</w:t>
            </w:r>
          </w:p>
        </w:tc>
        <w:tc>
          <w:tcPr>
            <w:tcW w:w="0" w:type="dxa"/>
            <w:vAlign w:val="bottom"/>
          </w:tcPr>
          <w:p>
            <w:pPr>
              <w:spacing w:after="0"/>
              <w:rPr>
                <w:sz w:val="1"/>
                <w:szCs w:val="1"/>
                <w:color w:val="auto"/>
              </w:rPr>
            </w:pPr>
          </w:p>
        </w:tc>
      </w:tr>
      <w:tr>
        <w:trPr>
          <w:trHeight w:val="149"/>
        </w:trPr>
        <w:tc>
          <w:tcPr>
            <w:tcW w:w="41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holding</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holding</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0"/>
              </w:rPr>
              <w:t>holding</w:t>
            </w:r>
          </w:p>
        </w:tc>
        <w:tc>
          <w:tcPr>
            <w:tcW w:w="0" w:type="dxa"/>
            <w:vAlign w:val="bottom"/>
          </w:tcPr>
          <w:p>
            <w:pPr>
              <w:spacing w:after="0"/>
              <w:rPr>
                <w:sz w:val="1"/>
                <w:szCs w:val="1"/>
                <w:color w:val="auto"/>
              </w:rPr>
            </w:pPr>
          </w:p>
        </w:tc>
      </w:tr>
      <w:tr>
        <w:trPr>
          <w:trHeight w:val="192"/>
        </w:trPr>
        <w:tc>
          <w:tcPr>
            <w:tcW w:w="41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7"/>
              </w:rPr>
              <w:t>losses</w:t>
            </w:r>
          </w:p>
        </w:tc>
        <w:tc>
          <w:tcPr>
            <w:tcW w:w="1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03"/>
              <w:spacing w:after="0"/>
              <w:rPr>
                <w:sz w:val="20"/>
                <w:szCs w:val="20"/>
                <w:color w:val="auto"/>
              </w:rPr>
            </w:pPr>
            <w:r>
              <w:rPr>
                <w:rFonts w:ascii="Arial" w:cs="Arial" w:eastAsia="Arial" w:hAnsi="Arial"/>
                <w:sz w:val="14"/>
                <w:szCs w:val="14"/>
                <w:b w:val="1"/>
                <w:bCs w:val="1"/>
                <w:color w:val="auto"/>
                <w:w w:val="77"/>
              </w:rPr>
              <w:t>losses</w:t>
            </w:r>
          </w:p>
        </w:tc>
        <w:tc>
          <w:tcPr>
            <w:tcW w:w="0" w:type="dxa"/>
            <w:vAlign w:val="bottom"/>
          </w:tcPr>
          <w:p>
            <w:pPr>
              <w:spacing w:after="0"/>
              <w:rPr>
                <w:sz w:val="1"/>
                <w:szCs w:val="1"/>
                <w:color w:val="auto"/>
              </w:rPr>
            </w:pPr>
          </w:p>
        </w:tc>
      </w:tr>
      <w:tr>
        <w:trPr>
          <w:trHeight w:val="25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March 31, 2016</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6"/>
                <w:szCs w:val="16"/>
                <w:color w:val="auto"/>
              </w:rPr>
              <w:t>Corporate bonds and notes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0"/>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5,060</w:t>
            </w:r>
          </w:p>
        </w:tc>
        <w:tc>
          <w:tcPr>
            <w:tcW w:w="4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Municipal bonds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3,416</w:t>
            </w:r>
          </w:p>
        </w:tc>
        <w:tc>
          <w:tcPr>
            <w:tcW w:w="10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1,844</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5,260</w:t>
            </w:r>
          </w:p>
        </w:tc>
        <w:tc>
          <w:tcPr>
            <w:tcW w:w="400" w:type="dxa"/>
            <w:vAlign w:val="bottom"/>
            <w:gridSpan w:val="3"/>
          </w:tcPr>
          <w:p>
            <w:pPr>
              <w:ind w:left="2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2016 and December 31, 2015 consisted of the following:</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Estimated useful</w:t>
            </w:r>
          </w:p>
        </w:tc>
        <w:tc>
          <w:tcPr>
            <w:tcW w:w="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0"/>
        </w:trPr>
        <w:tc>
          <w:tcPr>
            <w:tcW w:w="54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lives</w:t>
            </w:r>
          </w:p>
        </w:tc>
        <w:tc>
          <w:tcPr>
            <w:tcW w:w="38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2016</w:t>
            </w:r>
          </w:p>
        </w:tc>
        <w:tc>
          <w:tcPr>
            <w:tcW w:w="320" w:type="dxa"/>
            <w:vAlign w:val="bottom"/>
          </w:tcPr>
          <w:p>
            <w:pPr>
              <w:spacing w:after="0"/>
              <w:rPr>
                <w:sz w:val="18"/>
                <w:szCs w:val="18"/>
                <w:color w:val="auto"/>
              </w:rPr>
            </w:pPr>
          </w:p>
        </w:tc>
        <w:tc>
          <w:tcPr>
            <w:tcW w:w="1800" w:type="dxa"/>
            <w:vAlign w:val="bottom"/>
          </w:tcPr>
          <w:p>
            <w:pPr>
              <w:jc w:val="right"/>
              <w:ind w:right="311"/>
              <w:spacing w:after="0"/>
              <w:rPr>
                <w:sz w:val="20"/>
                <w:szCs w:val="20"/>
                <w:color w:val="auto"/>
              </w:rPr>
            </w:pPr>
            <w:r>
              <w:rPr>
                <w:rFonts w:ascii="Arial" w:cs="Arial" w:eastAsia="Arial" w:hAnsi="Arial"/>
                <w:sz w:val="16"/>
                <w:szCs w:val="16"/>
                <w:b w:val="1"/>
                <w:bCs w:val="1"/>
                <w:color w:val="auto"/>
                <w:w w:val="95"/>
              </w:rPr>
              <w:t>December 31, 2015</w:t>
            </w:r>
          </w:p>
        </w:tc>
      </w:tr>
      <w:tr>
        <w:trPr>
          <w:trHeight w:val="33"/>
        </w:trPr>
        <w:tc>
          <w:tcPr>
            <w:tcW w:w="54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Tradename</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7 years</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Patents and technological know-how</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10 years</w:t>
            </w:r>
          </w:p>
        </w:tc>
        <w:tc>
          <w:tcPr>
            <w:tcW w:w="38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5,869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5,850</w:t>
            </w:r>
          </w:p>
        </w:tc>
      </w:tr>
      <w:tr>
        <w:trPr>
          <w:trHeight w:val="27"/>
        </w:trPr>
        <w:tc>
          <w:tcPr>
            <w:tcW w:w="5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software</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15 years</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4,341</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Other</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5 years</w:t>
            </w:r>
          </w:p>
        </w:tc>
        <w:tc>
          <w:tcPr>
            <w:tcW w:w="38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324</w:t>
            </w:r>
          </w:p>
        </w:tc>
      </w:tr>
      <w:tr>
        <w:trPr>
          <w:trHeight w:val="27"/>
        </w:trPr>
        <w:tc>
          <w:tcPr>
            <w:tcW w:w="54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11,070</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(4,721)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(4,432)</w:t>
            </w:r>
          </w:p>
        </w:tc>
      </w:tr>
      <w:tr>
        <w:trPr>
          <w:trHeight w:val="27"/>
        </w:trPr>
        <w:tc>
          <w:tcPr>
            <w:tcW w:w="54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6,638</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months ended March 31, 2016 and March 31, 2015 was as follows:</w:t>
      </w:r>
    </w:p>
    <w:p>
      <w:pPr>
        <w:spacing w:after="0" w:line="185"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37465</wp:posOffset>
            </wp:positionV>
            <wp:extent cx="27959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80" w:lineRule="exact"/>
        <w:rPr>
          <w:sz w:val="20"/>
          <w:szCs w:val="20"/>
          <w:color w:val="auto"/>
        </w:rPr>
      </w:pPr>
    </w:p>
    <w:p>
      <w:pPr>
        <w:ind w:left="7920"/>
        <w:spacing w:after="0"/>
        <w:tabs>
          <w:tab w:leader="none" w:pos="1016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 w:type="dxa"/>
            <w:vAlign w:val="bottom"/>
            <w:tcBorders>
              <w:right w:val="single" w:sz="8" w:color="CCEEFF"/>
            </w:tcBorders>
          </w:tcPr>
          <w:p>
            <w:pPr>
              <w:spacing w:after="0"/>
              <w:rPr>
                <w:sz w:val="22"/>
                <w:szCs w:val="22"/>
                <w:color w:val="auto"/>
              </w:rPr>
            </w:pPr>
          </w:p>
        </w:tc>
        <w:tc>
          <w:tcPr>
            <w:tcW w:w="6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tcBorders>
              <w:top w:val="single" w:sz="8" w:color="auto"/>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30"/>
        </w:trPr>
        <w:tc>
          <w:tcPr>
            <w:tcW w:w="40" w:type="dxa"/>
            <w:vAlign w:val="bottom"/>
          </w:tcPr>
          <w:p>
            <w:pPr>
              <w:spacing w:after="0"/>
              <w:rPr>
                <w:sz w:val="20"/>
                <w:szCs w:val="20"/>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The estimated future amortization expense of intangible assets is as follows:</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2100" w:type="dxa"/>
            <w:vAlign w:val="bottom"/>
            <w:tcBorders>
              <w:top w:val="single" w:sz="8" w:color="auto"/>
            </w:tcBorders>
          </w:tcPr>
          <w:p>
            <w:pPr>
              <w:spacing w:after="0"/>
              <w:rPr>
                <w:sz w:val="4"/>
                <w:szCs w:val="4"/>
                <w:color w:val="auto"/>
              </w:rPr>
            </w:pPr>
          </w:p>
        </w:tc>
        <w:tc>
          <w:tcPr>
            <w:tcW w:w="4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2016 (remainder)</w:t>
            </w:r>
          </w:p>
        </w:tc>
        <w:tc>
          <w:tcPr>
            <w:tcW w:w="10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21"/>
                <w:szCs w:val="21"/>
                <w:color w:val="auto"/>
              </w:rPr>
            </w:pPr>
          </w:p>
        </w:tc>
      </w:tr>
      <w:tr>
        <w:trPr>
          <w:trHeight w:val="243"/>
        </w:trPr>
        <w:tc>
          <w:tcPr>
            <w:tcW w:w="214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48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48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w:t>
            </w:r>
          </w:p>
        </w:tc>
        <w:tc>
          <w:tcPr>
            <w:tcW w:w="20" w:type="dxa"/>
            <w:vAlign w:val="bottom"/>
          </w:tcPr>
          <w:p>
            <w:pPr>
              <w:spacing w:after="0"/>
              <w:rPr>
                <w:sz w:val="21"/>
                <w:szCs w:val="21"/>
                <w:color w:val="auto"/>
              </w:rPr>
            </w:pPr>
          </w:p>
        </w:tc>
      </w:tr>
      <w:tr>
        <w:trPr>
          <w:trHeight w:val="243"/>
        </w:trPr>
        <w:tc>
          <w:tcPr>
            <w:tcW w:w="21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48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48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2,383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Borders>
              <w:right w:val="single" w:sz="8" w:color="CCEEFF"/>
            </w:tcBorders>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6,368</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as of March 31, 2016 and December 31, 2015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2016</w:t>
            </w:r>
          </w:p>
        </w:tc>
        <w:tc>
          <w:tcPr>
            <w:tcW w:w="320" w:type="dxa"/>
            <w:vAlign w:val="bottom"/>
          </w:tcPr>
          <w:p>
            <w:pPr>
              <w:spacing w:after="0"/>
              <w:rPr>
                <w:sz w:val="18"/>
                <w:szCs w:val="18"/>
                <w:color w:val="auto"/>
              </w:rPr>
            </w:pPr>
          </w:p>
        </w:tc>
        <w:tc>
          <w:tcPr>
            <w:tcW w:w="1820" w:type="dxa"/>
            <w:vAlign w:val="bottom"/>
          </w:tcPr>
          <w:p>
            <w:pPr>
              <w:jc w:val="right"/>
              <w:ind w:right="331"/>
              <w:spacing w:after="0"/>
              <w:rPr>
                <w:sz w:val="20"/>
                <w:szCs w:val="20"/>
                <w:color w:val="auto"/>
              </w:rPr>
            </w:pPr>
            <w:r>
              <w:rPr>
                <w:rFonts w:ascii="Arial" w:cs="Arial" w:eastAsia="Arial" w:hAnsi="Arial"/>
                <w:sz w:val="16"/>
                <w:szCs w:val="16"/>
                <w:b w:val="1"/>
                <w:bCs w:val="1"/>
                <w:color w:val="auto"/>
                <w:w w:val="95"/>
              </w:rPr>
              <w:t>December 31, 2015</w:t>
            </w:r>
          </w:p>
        </w:tc>
      </w:tr>
      <w:tr>
        <w:trPr>
          <w:trHeight w:val="33"/>
        </w:trPr>
        <w:tc>
          <w:tcPr>
            <w:tcW w:w="7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3,404</w:t>
            </w:r>
          </w:p>
        </w:tc>
        <w:tc>
          <w:tcPr>
            <w:tcW w:w="1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2,735</w:t>
            </w:r>
          </w:p>
        </w:tc>
      </w:tr>
      <w:tr>
        <w:trPr>
          <w:trHeight w:val="27"/>
        </w:trPr>
        <w:tc>
          <w:tcPr>
            <w:tcW w:w="7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10,712</w:t>
            </w:r>
          </w:p>
        </w:tc>
      </w:tr>
      <w:tr>
        <w:trPr>
          <w:trHeight w:val="237"/>
        </w:trPr>
        <w:tc>
          <w:tcPr>
            <w:tcW w:w="7020" w:type="dxa"/>
            <w:vAlign w:val="bottom"/>
          </w:tcPr>
          <w:p>
            <w:pPr>
              <w:spacing w:after="0"/>
              <w:rPr>
                <w:sz w:val="20"/>
                <w:szCs w:val="20"/>
                <w:color w:val="auto"/>
              </w:rPr>
            </w:pP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14,470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13,447</w:t>
            </w:r>
          </w:p>
        </w:tc>
      </w:tr>
      <w:tr>
        <w:trPr>
          <w:trHeight w:val="67"/>
        </w:trPr>
        <w:tc>
          <w:tcPr>
            <w:tcW w:w="70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r>
      <w:tr>
        <w:trPr>
          <w:trHeight w:val="231"/>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w:t>
            </w:r>
          </w:p>
        </w:tc>
        <w:tc>
          <w:tcPr>
            <w:tcW w:w="3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375</w:t>
            </w:r>
          </w:p>
        </w:tc>
      </w:tr>
      <w:tr>
        <w:trPr>
          <w:trHeight w:val="27"/>
        </w:trPr>
        <w:tc>
          <w:tcPr>
            <w:tcW w:w="7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w:t>
            </w:r>
          </w:p>
        </w:tc>
      </w:tr>
      <w:tr>
        <w:trPr>
          <w:trHeight w:val="237"/>
        </w:trPr>
        <w:tc>
          <w:tcPr>
            <w:tcW w:w="7020" w:type="dxa"/>
            <w:vAlign w:val="bottom"/>
          </w:tcPr>
          <w:p>
            <w:pPr>
              <w:spacing w:after="0"/>
              <w:rPr>
                <w:sz w:val="20"/>
                <w:szCs w:val="20"/>
                <w:color w:val="auto"/>
              </w:rPr>
            </w:pP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2,018</w:t>
            </w:r>
          </w:p>
        </w:tc>
      </w:tr>
      <w:tr>
        <w:trPr>
          <w:trHeight w:val="27"/>
        </w:trPr>
        <w:tc>
          <w:tcPr>
            <w:tcW w:w="7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7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Long-term inventory represents inventory held in excess of our current (next 12 months) requirements based on our recent sales and forecasted level of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sell the above inventory, net of reserves, at or above the stated cost and believe that no loss will be incurred on its sale.</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Current finished goods do not include distributor channel inventories in the amounts of approximately $1,445 and $1,628 as of March 31, 2016 and December 31, 2015, respectively. Distributor channel inventories represent inventory at distributors and other customers where revenue recognition criteria have not yet been achieved.</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losses incurred on valuation of inventory at lower of cost or market value and write-off of obsolete inventory during the three months ended March 31, 2016 and 2015, respectively.</w:t>
      </w:r>
    </w:p>
    <w:p>
      <w:pPr>
        <w:spacing w:after="0" w:line="130" w:lineRule="exact"/>
        <w:rPr>
          <w:sz w:val="20"/>
          <w:szCs w:val="20"/>
          <w:color w:val="auto"/>
        </w:rPr>
      </w:pPr>
    </w:p>
    <w:p>
      <w:pPr>
        <w:ind w:left="82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37465</wp:posOffset>
            </wp:positionV>
            <wp:extent cx="2735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80" w:lineRule="exact"/>
        <w:rPr>
          <w:sz w:val="20"/>
          <w:szCs w:val="20"/>
          <w:color w:val="auto"/>
        </w:rPr>
      </w:pPr>
    </w:p>
    <w:p>
      <w:pPr>
        <w:ind w:left="8040"/>
        <w:spacing w:after="0"/>
        <w:tabs>
          <w:tab w:leader="none" w:pos="1022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240" w:val="left"/>
          <w:tab w:leader="none" w:pos="8880" w:val="left"/>
          <w:tab w:leader="none" w:pos="9380" w:val="left"/>
          <w:tab w:leader="none" w:pos="11120" w:val="left"/>
        </w:tabs>
        <w:rPr>
          <w:sz w:val="20"/>
          <w:szCs w:val="20"/>
          <w:color w:val="auto"/>
        </w:rPr>
      </w:pPr>
      <w:r>
        <w:rPr>
          <w:rFonts w:ascii="Arial" w:cs="Arial" w:eastAsia="Arial" w:hAnsi="Arial"/>
          <w:sz w:val="18"/>
          <w:szCs w:val="18"/>
          <w:color w:val="auto"/>
        </w:rPr>
        <w:t>Net loss (gain) on valuation of inventory and write-off of obsolete inventory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119</w:t>
        <w:tab/>
        <w:t>$</w:t>
      </w:r>
      <w:r>
        <w:rPr>
          <w:sz w:val="20"/>
          <w:szCs w:val="20"/>
          <w:color w:val="auto"/>
        </w:rPr>
        <w:tab/>
      </w:r>
      <w:r>
        <w:rPr>
          <w:rFonts w:ascii="Arial" w:cs="Arial" w:eastAsia="Arial" w:hAnsi="Arial"/>
          <w:sz w:val="16"/>
          <w:szCs w:val="16"/>
          <w:color w:val="auto"/>
        </w:rPr>
        <w:t>47</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Employee Stock Option Plans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share-based incentive plans offering stock options primarily consists of two plans. Under both plans, one new share is issued for each stock option exercised. The plans are described below.</w:t>
      </w:r>
    </w:p>
    <w:p>
      <w:pPr>
        <w:spacing w:after="0" w:line="17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Company’s 1998 Incentive Plan (the “1998 Plan”) was the Company's primary plan through November 2007. Under this plan shares of common stock was made available for issuance to employees and directors.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2007 Equity Incentive Plan (the “2007 Plan”) was restated and approved by the shareholders on December 12, 2014.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All options outstanding as of March 31, 2016 had contractual lives of ten years. Under the 1998 Plan, 2,500,000 shares were authorized for grant. As of March 31, 2016, there were 177,000 options outstanding under the 1998 Plan, which includes the cliff vesting and 3 or 4-year vesting options discussed above. As of March 31, 2016, there were 712,992 options outstanding under the 2007 Plan. As of March 31, 2016, the 2007 Plan had 893,698 authorized unissued options, while there were no options remaining that could be granted under the 1998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Company’s plans for the three months ended March 31, 2016 is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7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 average exercise</w:t>
            </w:r>
          </w:p>
        </w:tc>
        <w:tc>
          <w:tcPr>
            <w:tcW w:w="0" w:type="dxa"/>
            <w:vAlign w:val="bottom"/>
          </w:tcPr>
          <w:p>
            <w:pPr>
              <w:spacing w:after="0"/>
              <w:rPr>
                <w:sz w:val="1"/>
                <w:szCs w:val="1"/>
                <w:color w:val="auto"/>
              </w:rPr>
            </w:pPr>
          </w:p>
        </w:tc>
      </w:tr>
      <w:tr>
        <w:trPr>
          <w:trHeight w:val="210"/>
        </w:trPr>
        <w:tc>
          <w:tcPr>
            <w:tcW w:w="7160" w:type="dxa"/>
            <w:vAlign w:val="bottom"/>
          </w:tcPr>
          <w:p>
            <w:pPr>
              <w:spacing w:after="0"/>
              <w:rPr>
                <w:sz w:val="18"/>
                <w:szCs w:val="18"/>
                <w:color w:val="auto"/>
              </w:rPr>
            </w:pPr>
          </w:p>
        </w:tc>
        <w:tc>
          <w:tcPr>
            <w:tcW w:w="2040" w:type="dxa"/>
            <w:vAlign w:val="bottom"/>
          </w:tcPr>
          <w:p>
            <w:pPr>
              <w:jc w:val="right"/>
              <w:ind w:right="319"/>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8"/>
              </w:rPr>
              <w:t>price</w:t>
            </w:r>
          </w:p>
        </w:tc>
        <w:tc>
          <w:tcPr>
            <w:tcW w:w="0" w:type="dxa"/>
            <w:vAlign w:val="bottom"/>
          </w:tcPr>
          <w:p>
            <w:pPr>
              <w:spacing w:after="0"/>
              <w:rPr>
                <w:sz w:val="1"/>
                <w:szCs w:val="1"/>
                <w:color w:val="auto"/>
              </w:rPr>
            </w:pPr>
          </w:p>
        </w:tc>
      </w:tr>
      <w:tr>
        <w:trPr>
          <w:trHeight w:val="33"/>
        </w:trPr>
        <w:tc>
          <w:tcPr>
            <w:tcW w:w="716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at beginning of quarter</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1,028,935</w:t>
            </w:r>
          </w:p>
        </w:tc>
        <w:tc>
          <w:tcPr>
            <w:tcW w:w="2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$6.03</w:t>
            </w:r>
          </w:p>
        </w:tc>
        <w:tc>
          <w:tcPr>
            <w:tcW w:w="0" w:type="dxa"/>
            <w:vAlign w:val="bottom"/>
          </w:tcPr>
          <w:p>
            <w:pPr>
              <w:spacing w:after="0"/>
              <w:rPr>
                <w:sz w:val="1"/>
                <w:szCs w:val="1"/>
                <w:color w:val="auto"/>
              </w:rPr>
            </w:pPr>
          </w:p>
        </w:tc>
      </w:tr>
      <w:tr>
        <w:trPr>
          <w:trHeight w:val="237"/>
        </w:trPr>
        <w:tc>
          <w:tcPr>
            <w:tcW w:w="7160" w:type="dxa"/>
            <w:vAlign w:val="bottom"/>
          </w:tcPr>
          <w:p>
            <w:pPr>
              <w:ind w:left="240"/>
              <w:spacing w:after="0"/>
              <w:rPr>
                <w:sz w:val="20"/>
                <w:szCs w:val="20"/>
                <w:color w:val="auto"/>
              </w:rPr>
            </w:pPr>
            <w:r>
              <w:rPr>
                <w:rFonts w:ascii="Arial" w:cs="Arial" w:eastAsia="Arial" w:hAnsi="Arial"/>
                <w:sz w:val="16"/>
                <w:szCs w:val="16"/>
                <w:color w:val="auto"/>
              </w:rPr>
              <w:t>Granted</w:t>
            </w:r>
          </w:p>
        </w:tc>
        <w:tc>
          <w:tcPr>
            <w:tcW w:w="2040" w:type="dxa"/>
            <w:vAlign w:val="bottom"/>
          </w:tcPr>
          <w:p>
            <w:pPr>
              <w:jc w:val="right"/>
              <w:spacing w:after="0"/>
              <w:rPr>
                <w:sz w:val="20"/>
                <w:szCs w:val="20"/>
                <w:color w:val="auto"/>
              </w:rPr>
            </w:pPr>
            <w:r>
              <w:rPr>
                <w:rFonts w:ascii="Arial" w:cs="Arial" w:eastAsia="Arial" w:hAnsi="Arial"/>
                <w:sz w:val="16"/>
                <w:szCs w:val="16"/>
                <w:color w:val="auto"/>
              </w:rPr>
              <w:t>157,200</w:t>
            </w:r>
          </w:p>
        </w:tc>
        <w:tc>
          <w:tcPr>
            <w:tcW w:w="2160" w:type="dxa"/>
            <w:vAlign w:val="bottom"/>
            <w:gridSpan w:val="2"/>
          </w:tcPr>
          <w:p>
            <w:pPr>
              <w:jc w:val="center"/>
              <w:spacing w:after="0"/>
              <w:rPr>
                <w:sz w:val="20"/>
                <w:szCs w:val="20"/>
                <w:color w:val="auto"/>
              </w:rPr>
            </w:pPr>
            <w:r>
              <w:rPr>
                <w:rFonts w:ascii="Arial" w:cs="Arial" w:eastAsia="Arial" w:hAnsi="Arial"/>
                <w:sz w:val="16"/>
                <w:szCs w:val="16"/>
                <w:color w:val="auto"/>
                <w:w w:val="89"/>
              </w:rPr>
              <w:t>11.97</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60" w:type="dxa"/>
            <w:vAlign w:val="bottom"/>
          </w:tcPr>
          <w:p>
            <w:pPr>
              <w:ind w:left="240"/>
              <w:spacing w:after="0"/>
              <w:rPr>
                <w:sz w:val="20"/>
                <w:szCs w:val="20"/>
                <w:color w:val="auto"/>
              </w:rPr>
            </w:pPr>
            <w:r>
              <w:rPr>
                <w:rFonts w:ascii="Arial" w:cs="Arial" w:eastAsia="Arial" w:hAnsi="Arial"/>
                <w:sz w:val="16"/>
                <w:szCs w:val="16"/>
                <w:color w:val="auto"/>
              </w:rPr>
              <w:t>Exercised</w:t>
            </w:r>
          </w:p>
        </w:tc>
        <w:tc>
          <w:tcPr>
            <w:tcW w:w="2040" w:type="dxa"/>
            <w:vAlign w:val="bottom"/>
          </w:tcPr>
          <w:p>
            <w:pPr>
              <w:jc w:val="right"/>
              <w:spacing w:after="0"/>
              <w:rPr>
                <w:sz w:val="20"/>
                <w:szCs w:val="20"/>
                <w:color w:val="auto"/>
              </w:rPr>
            </w:pPr>
            <w:r>
              <w:rPr>
                <w:rFonts w:ascii="Arial" w:cs="Arial" w:eastAsia="Arial" w:hAnsi="Arial"/>
                <w:sz w:val="16"/>
                <w:szCs w:val="16"/>
                <w:color w:val="auto"/>
              </w:rPr>
              <w:t>(69,621)</w:t>
            </w:r>
          </w:p>
        </w:tc>
        <w:tc>
          <w:tcPr>
            <w:tcW w:w="2160" w:type="dxa"/>
            <w:vAlign w:val="bottom"/>
            <w:gridSpan w:val="2"/>
          </w:tcPr>
          <w:p>
            <w:pPr>
              <w:jc w:val="center"/>
              <w:spacing w:after="0"/>
              <w:rPr>
                <w:sz w:val="20"/>
                <w:szCs w:val="20"/>
                <w:color w:val="auto"/>
              </w:rPr>
            </w:pPr>
            <w:r>
              <w:rPr>
                <w:rFonts w:ascii="Arial" w:cs="Arial" w:eastAsia="Arial" w:hAnsi="Arial"/>
                <w:sz w:val="16"/>
                <w:szCs w:val="16"/>
                <w:color w:val="auto"/>
                <w:w w:val="89"/>
              </w:rPr>
              <w:t>4.21</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Repurchased</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(225,542)</w:t>
            </w:r>
          </w:p>
        </w:tc>
        <w:tc>
          <w:tcPr>
            <w:tcW w:w="2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4.37</w:t>
            </w:r>
          </w:p>
        </w:tc>
        <w:tc>
          <w:tcPr>
            <w:tcW w:w="0" w:type="dxa"/>
            <w:vAlign w:val="bottom"/>
          </w:tcPr>
          <w:p>
            <w:pPr>
              <w:spacing w:after="0"/>
              <w:rPr>
                <w:sz w:val="1"/>
                <w:szCs w:val="1"/>
                <w:color w:val="auto"/>
              </w:rPr>
            </w:pPr>
          </w:p>
        </w:tc>
      </w:tr>
      <w:tr>
        <w:trPr>
          <w:trHeight w:val="237"/>
        </w:trPr>
        <w:tc>
          <w:tcPr>
            <w:tcW w:w="7160" w:type="dxa"/>
            <w:vAlign w:val="bottom"/>
          </w:tcPr>
          <w:p>
            <w:pPr>
              <w:ind w:left="240"/>
              <w:spacing w:after="0"/>
              <w:rPr>
                <w:sz w:val="20"/>
                <w:szCs w:val="20"/>
                <w:color w:val="auto"/>
              </w:rPr>
            </w:pPr>
            <w:r>
              <w:rPr>
                <w:rFonts w:ascii="Arial" w:cs="Arial" w:eastAsia="Arial" w:hAnsi="Arial"/>
                <w:sz w:val="16"/>
                <w:szCs w:val="16"/>
                <w:color w:val="auto"/>
              </w:rPr>
              <w:t>Canceled or Expired</w:t>
            </w:r>
          </w:p>
        </w:tc>
        <w:tc>
          <w:tcPr>
            <w:tcW w:w="2040" w:type="dxa"/>
            <w:vAlign w:val="bottom"/>
          </w:tcPr>
          <w:p>
            <w:pPr>
              <w:jc w:val="right"/>
              <w:spacing w:after="0"/>
              <w:rPr>
                <w:sz w:val="20"/>
                <w:szCs w:val="20"/>
                <w:color w:val="auto"/>
              </w:rPr>
            </w:pPr>
            <w:r>
              <w:rPr>
                <w:rFonts w:ascii="Arial" w:cs="Arial" w:eastAsia="Arial" w:hAnsi="Arial"/>
                <w:sz w:val="16"/>
                <w:szCs w:val="16"/>
                <w:color w:val="auto"/>
              </w:rPr>
              <w:t>(980)</w:t>
            </w:r>
          </w:p>
        </w:tc>
        <w:tc>
          <w:tcPr>
            <w:tcW w:w="2160" w:type="dxa"/>
            <w:vAlign w:val="bottom"/>
            <w:gridSpan w:val="2"/>
          </w:tcPr>
          <w:p>
            <w:pPr>
              <w:jc w:val="center"/>
              <w:spacing w:after="0"/>
              <w:rPr>
                <w:sz w:val="20"/>
                <w:szCs w:val="20"/>
                <w:color w:val="auto"/>
              </w:rPr>
            </w:pPr>
            <w:r>
              <w:rPr>
                <w:rFonts w:ascii="Arial" w:cs="Arial" w:eastAsia="Arial" w:hAnsi="Arial"/>
                <w:sz w:val="16"/>
                <w:szCs w:val="16"/>
                <w:color w:val="auto"/>
                <w:w w:val="89"/>
              </w:rPr>
              <w:t>8.51</w:t>
            </w:r>
          </w:p>
        </w:tc>
        <w:tc>
          <w:tcPr>
            <w:tcW w:w="0" w:type="dxa"/>
            <w:vAlign w:val="bottom"/>
          </w:tcPr>
          <w:p>
            <w:pPr>
              <w:spacing w:after="0"/>
              <w:rPr>
                <w:sz w:val="1"/>
                <w:szCs w:val="1"/>
                <w:color w:val="auto"/>
              </w:rPr>
            </w:pPr>
          </w:p>
        </w:tc>
      </w:tr>
      <w:tr>
        <w:trPr>
          <w:trHeight w:val="33"/>
        </w:trPr>
        <w:tc>
          <w:tcPr>
            <w:tcW w:w="716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at end of quarter</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889,992</w:t>
            </w:r>
          </w:p>
        </w:tc>
        <w:tc>
          <w:tcPr>
            <w:tcW w:w="2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7.64</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Options exercisable at end of quarter</w:t>
            </w: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60" w:type="dxa"/>
            <w:vAlign w:val="bottom"/>
            <w:vMerge w:val="continue"/>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550,097</w:t>
            </w:r>
          </w:p>
        </w:tc>
        <w:tc>
          <w:tcPr>
            <w:tcW w:w="2160" w:type="dxa"/>
            <w:vAlign w:val="bottom"/>
            <w:gridSpan w:val="2"/>
          </w:tcPr>
          <w:p>
            <w:pPr>
              <w:jc w:val="center"/>
              <w:spacing w:after="0"/>
              <w:rPr>
                <w:sz w:val="20"/>
                <w:szCs w:val="20"/>
                <w:color w:val="auto"/>
              </w:rPr>
            </w:pPr>
            <w:r>
              <w:rPr>
                <w:rFonts w:ascii="Arial" w:cs="Arial" w:eastAsia="Arial" w:hAnsi="Arial"/>
                <w:sz w:val="16"/>
                <w:szCs w:val="16"/>
                <w:color w:val="auto"/>
                <w:w w:val="89"/>
              </w:rPr>
              <w:t>$5.64</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March 31, 2016, the total remaining unrecognized compensation cost related to non-vested stock options, net of forfeitures, was approximately $340, which will be recognized over a weighted average period of 2.57 years.</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b w:val="1"/>
          <w:bCs w:val="1"/>
          <w:i w:val="1"/>
          <w:iCs w:val="1"/>
          <w:u w:val="single" w:color="auto"/>
          <w:color w:val="auto"/>
        </w:rPr>
        <w:t>Stock Option Repurchase: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March 11, 2016 to March 17, 2016, the Company offered to repurchase eligible vested options to purchase shares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1998 Plan and the 2007 Plan from employees. The Company repurchased delivered options at a repurchase price equal to the difference between the closing market price on the date of the employee’s communication of accepting the repurchase offer and the exercise price of such employee’s delivered options, subject to applicable withholding taxes and charges. The Company repurchased 225,542 stock options from employees at an average purchase price of $7.77.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Employee Stock Purchase Plan</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 Company issues shares to employees under the Company's 2014 Employee Stock Purchase Plan (the "ESPP"). </w:t>
      </w:r>
      <w:r>
        <w:rPr>
          <w:rFonts w:ascii="Arial" w:cs="Arial" w:eastAsia="Arial" w:hAnsi="Arial"/>
          <w:sz w:val="17"/>
          <w:szCs w:val="17"/>
          <w:color w:val="333333"/>
        </w:rPr>
        <w:t>The ESPP was approved by the</w:t>
      </w:r>
      <w:r>
        <w:rPr>
          <w:rFonts w:ascii="Arial" w:cs="Arial" w:eastAsia="Arial" w:hAnsi="Arial"/>
          <w:sz w:val="17"/>
          <w:szCs w:val="17"/>
          <w:color w:val="auto"/>
        </w:rPr>
        <w:t xml:space="preserve"> </w:t>
      </w:r>
      <w:r>
        <w:rPr>
          <w:rFonts w:ascii="Arial" w:cs="Arial" w:eastAsia="Arial" w:hAnsi="Arial"/>
          <w:sz w:val="17"/>
          <w:szCs w:val="17"/>
          <w:color w:val="333333"/>
        </w:rPr>
        <w:t xml:space="preserve">Company’s shareholders on December 12, 2014. As of </w:t>
      </w:r>
      <w:r>
        <w:rPr>
          <w:rFonts w:ascii="Arial" w:cs="Arial" w:eastAsia="Arial" w:hAnsi="Arial"/>
          <w:sz w:val="17"/>
          <w:szCs w:val="17"/>
          <w:color w:val="000000"/>
        </w:rPr>
        <w:t>March 31, 2016</w:t>
      </w:r>
      <w:r>
        <w:rPr>
          <w:rFonts w:ascii="Arial" w:cs="Arial" w:eastAsia="Arial" w:hAnsi="Arial"/>
          <w:sz w:val="17"/>
          <w:szCs w:val="17"/>
          <w:color w:val="333333"/>
        </w:rPr>
        <w:t>, 485,033 of the originally approved 500,000 shares were available for offerings under the ESPP. Offering periods under the ESPP commence on each Jan 1 and July 1, and continue for a duration of six months. The ESPP is available to all employees who do not own, or are deemed to own, shares of stock making up an excess of 5% of the combined voting power of the Company, its parent or subsidiary. During each offering period, each eligible employee may purchase shares under the ESPP after authorizing payroll deductions. Under the ESPP, each employee may purchase up to the lesser of 2,500 shares or $25 of fair market value (based on the established purchase price) of the Company's stock for each offering period. Unless the employee has previously withdrawn from the offering, his or her accumulated payroll deductions will be used to purchase common stock on the last business day of the period at a price equal to 85% (or a 15% discount) of the fair market value of the common stock on the first or last day of the offering period, whichever is lower.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has been recorded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600" w:type="dxa"/>
            <w:vAlign w:val="bottom"/>
            <w:gridSpan w:val="4"/>
          </w:tcPr>
          <w:p>
            <w:pPr>
              <w:jc w:val="right"/>
              <w:ind w:right="293"/>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440" w:type="dxa"/>
            <w:vAlign w:val="bottom"/>
          </w:tcPr>
          <w:p>
            <w:pPr>
              <w:jc w:val="right"/>
              <w:ind w:right="154"/>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153"/>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440" w:type="dxa"/>
            <w:vAlign w:val="bottom"/>
            <w:tcBorders>
              <w:bottom w:val="single" w:sz="8" w:color="CCEEFF"/>
            </w:tcBorders>
            <w:shd w:val="clear" w:color="auto" w:fill="CCEEFF"/>
          </w:tcPr>
          <w:p>
            <w:pPr>
              <w:jc w:val="right"/>
              <w:ind w:right="123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4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7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4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7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3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 in shareholders’ equity during the three months ended March 31, 2016 and 2015,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480" w:type="dxa"/>
            <w:vAlign w:val="bottom"/>
            <w:gridSpan w:val="4"/>
          </w:tcPr>
          <w:p>
            <w:pPr>
              <w:jc w:val="right"/>
              <w:ind w:right="173"/>
              <w:spacing w:after="0"/>
              <w:rPr>
                <w:sz w:val="20"/>
                <w:szCs w:val="20"/>
                <w:color w:val="auto"/>
              </w:rPr>
            </w:pPr>
            <w:r>
              <w:rPr>
                <w:rFonts w:ascii="Arial" w:cs="Arial" w:eastAsia="Arial" w:hAnsi="Arial"/>
                <w:sz w:val="16"/>
                <w:szCs w:val="16"/>
                <w:b w:val="1"/>
                <w:bCs w:val="1"/>
                <w:color w:val="auto"/>
              </w:rPr>
              <w:t>Three months ended March 31,</w:t>
            </w:r>
          </w:p>
        </w:tc>
        <w:tc>
          <w:tcPr>
            <w:tcW w:w="74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6"/>
                <w:szCs w:val="16"/>
                <w:b w:val="1"/>
                <w:bCs w:val="1"/>
                <w:color w:val="auto"/>
              </w:rPr>
              <w:t>2016</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6"/>
                <w:szCs w:val="16"/>
                <w:b w:val="1"/>
                <w:bCs w:val="1"/>
                <w:color w:val="auto"/>
              </w:rPr>
              <w:t>2015</w:t>
            </w:r>
          </w:p>
        </w:tc>
        <w:tc>
          <w:tcPr>
            <w:tcW w:w="740" w:type="dxa"/>
            <w:vAlign w:val="bottom"/>
          </w:tcPr>
          <w:p>
            <w:pPr>
              <w:spacing w:after="0"/>
              <w:rPr>
                <w:sz w:val="20"/>
                <w:szCs w:val="20"/>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period</w:t>
            </w:r>
          </w:p>
        </w:tc>
        <w:tc>
          <w:tcPr>
            <w:tcW w:w="132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82,569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76,016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repurchased</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Options repurchased</w:t>
            </w: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stock purchase plan</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 options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Share-based compensation - ESPP</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 stock option exercises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Unrealized gain or loss on investments, net of tax</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Income during the period</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1,272</w:t>
            </w:r>
          </w:p>
        </w:tc>
      </w:tr>
      <w:tr>
        <w:trPr>
          <w:trHeight w:val="27"/>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the period</w:t>
            </w:r>
          </w:p>
        </w:tc>
        <w:tc>
          <w:tcPr>
            <w:tcW w:w="1320" w:type="dxa"/>
            <w:vAlign w:val="bottom"/>
            <w:tcBorders>
              <w:bottom w:val="single" w:sz="8" w:color="auto"/>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82,505</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1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77,109</w:t>
            </w:r>
          </w:p>
        </w:tc>
      </w:tr>
      <w:tr>
        <w:trPr>
          <w:trHeight w:val="20"/>
        </w:trPr>
        <w:tc>
          <w:tcPr>
            <w:tcW w:w="7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February 25, 2016, the Company announced a quarterly cash dividend of $0.05 per share to be paid on March 18, 2016 to shareholders of record as of March 7, 2016.</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32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198"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substantial majority of the Company’s financial instruments are valued using quoted prices in active markets or based on other observable inputs. The following table sets forth the fair value of the financial instruments re-measured by the Company as of March 31, 2016 and December 31, 2015: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2016</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200" w:type="dxa"/>
            <w:vAlign w:val="bottom"/>
          </w:tcPr>
          <w:p>
            <w:pPr>
              <w:jc w:val="right"/>
              <w:ind w:right="99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19,506</w:t>
            </w:r>
          </w:p>
        </w:tc>
        <w:tc>
          <w:tcPr>
            <w:tcW w:w="100" w:type="dxa"/>
            <w:vAlign w:val="bottom"/>
          </w:tcPr>
          <w:p>
            <w:pPr>
              <w:spacing w:after="0"/>
              <w:rPr>
                <w:sz w:val="21"/>
                <w:szCs w:val="21"/>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19,506</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6,731</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6,731</w:t>
            </w:r>
          </w:p>
        </w:tc>
      </w:tr>
      <w:tr>
        <w:trPr>
          <w:trHeight w:val="25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ind w:right="99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26,237</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7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26,237</w:t>
            </w: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75"/>
        </w:trPr>
        <w:tc>
          <w:tcPr>
            <w:tcW w:w="4700" w:type="dxa"/>
            <w:vAlign w:val="bottom"/>
          </w:tcPr>
          <w:p>
            <w:pPr>
              <w:spacing w:after="0"/>
              <w:rPr>
                <w:sz w:val="24"/>
                <w:szCs w:val="24"/>
                <w:color w:val="auto"/>
              </w:rPr>
            </w:pPr>
          </w:p>
        </w:tc>
        <w:tc>
          <w:tcPr>
            <w:tcW w:w="1200" w:type="dxa"/>
            <w:vAlign w:val="bottom"/>
          </w:tcPr>
          <w:p>
            <w:pPr>
              <w:jc w:val="right"/>
              <w:ind w:right="53"/>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2015</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200" w:type="dxa"/>
            <w:vAlign w:val="bottom"/>
          </w:tcPr>
          <w:p>
            <w:pPr>
              <w:jc w:val="right"/>
              <w:ind w:right="99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20,744</w:t>
            </w:r>
          </w:p>
        </w:tc>
        <w:tc>
          <w:tcPr>
            <w:tcW w:w="100" w:type="dxa"/>
            <w:vAlign w:val="bottom"/>
          </w:tcPr>
          <w:p>
            <w:pPr>
              <w:spacing w:after="0"/>
              <w:rPr>
                <w:sz w:val="21"/>
                <w:szCs w:val="21"/>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20,744</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5,621</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5,621</w:t>
            </w:r>
          </w:p>
        </w:tc>
      </w:tr>
      <w:tr>
        <w:trPr>
          <w:trHeight w:val="25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ind w:right="99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26,365</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7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26,365</w:t>
            </w: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Company's forecasted effective tax rate at March 31, 2016 is 35.2%, a 0.6% decrease from the 35.8% effective tax rate recorded at December 31, 2015. The forecasted effective tax rate of 35.2% excludes jurisdictions for which no benefit from forecasted current year losses is anticipated. Including losses from such jurisdictions results in a forecasted effective tax rate of 35.5%. Our forecasted effective tax rate could fluctuate significantly on a quarterly basis and could change, to the extent that earnings in countries with tax rates that differ from that of the U.S. differ, from amounts anticipated at March 31, 2016.</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After discrete tax benefit of $93, the effective tax rate for the quarter ended March 31, 2016 is 31.3%. The discrete tax benefit is primarily attributable to tax benefit related to stock-based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evaluated its consolidated financial statements as of and for the three months ended March 31, 2016 for subsequent events through the date the financial statements were issued. The Company is not aware of any subsequent event which would require recognition or disclosure in the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press releases and reports filed with the SEC, including our Annual Report on Form 10-K for the year ended December 31, 2015.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2015.</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audio/voice and visual communications. The performance and simplicity of our advanced comprehensive solutions enhance the quality of life and offer unprecedented levels of functionality, reliability and scalability.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large, medium and small businesses. We occupy the number one global market share position, with more than 50% market share in the professional audio conferencing market for our products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2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our leading global market share in professional audio conferencing products for large businesses and organizations;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Leverage the video conferencing &amp; collaboration, streaming and digital signage technologies to enter new growth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Capitalize on the growing adoption of unified communications and introduce new products through emerging information technology channels;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left="340" w:hanging="332"/>
        <w:spacing w:after="0" w:line="25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focus on our core strengths, which include the following:</w:t>
      </w:r>
    </w:p>
    <w:p>
      <w:pPr>
        <w:spacing w:after="0" w:line="2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a superior conferencing and collaboration experience;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Significantly impacting multimedia distribution and control;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Offering greater value to our customers and partners;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Leveraging and extending ClearOne technology, leadership and innovation;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Leveraging our strong domestic and international channels to distribute new products;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Strengthening existing customer and partner relationships through dedicated support.</w:t>
      </w:r>
    </w:p>
    <w:p>
      <w:pPr>
        <w:spacing w:after="0" w:line="21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revenues were $13.0 million and $13.6 million during the three months ended March 31, 2016 and 2015, respectively. The decrease in revenues was due to all-around weakness in the global economy especially in APAC, Europe and Africa. Our gross profit remained essentially unchanged between the three months ended March 31, 2016 and the three months ended March 31, 2015. Net income increased by $96 thousand during the three months ended March 31, 2016 compared to the three months ended March 31, 2015. Net income for the three months ended March 31, 2016 increased primarily due to reduced operating expenses and tax expenses compared to the three months ended March 31, 2015.</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revenue growth and income growth is dependent on the recovery of the global economy. We closely monitor the economic situation around the world and have developed sound operating and financial plans to overcome the challenges posed by the weak economy.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2016, and 2015</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following table sets forth certain items from our unaudited condensed consolidated statements of operations (dollars in thousands) for the three months ended March 31, 2016 and 2015, respectively, together with the percentage of total revenue which each such item represents: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2"/>
          </w:tcPr>
          <w:p>
            <w:pPr>
              <w:ind w:left="300"/>
              <w:spacing w:after="0"/>
              <w:rPr>
                <w:sz w:val="20"/>
                <w:szCs w:val="20"/>
                <w:color w:val="auto"/>
              </w:rPr>
            </w:pPr>
            <w:r>
              <w:rPr>
                <w:rFonts w:ascii="Arial" w:cs="Arial" w:eastAsia="Arial" w:hAnsi="Arial"/>
                <w:sz w:val="14"/>
                <w:szCs w:val="14"/>
                <w:b w:val="1"/>
                <w:bCs w:val="1"/>
                <w:color w:val="auto"/>
              </w:rPr>
              <w:t>% of Revenue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ind w:left="320"/>
              <w:spacing w:after="0"/>
              <w:rPr>
                <w:sz w:val="20"/>
                <w:szCs w:val="20"/>
                <w:color w:val="auto"/>
              </w:rPr>
            </w:pPr>
            <w:r>
              <w:rPr>
                <w:rFonts w:ascii="Arial" w:cs="Arial" w:eastAsia="Arial" w:hAnsi="Arial"/>
                <w:sz w:val="14"/>
                <w:szCs w:val="14"/>
                <w:b w:val="1"/>
                <w:bCs w:val="1"/>
                <w:color w:val="auto"/>
              </w:rPr>
              <w:t>% of Revenue</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920" w:type="dxa"/>
            <w:vAlign w:val="bottom"/>
            <w:tcBorders>
              <w:top w:val="single" w:sz="8" w:color="auto"/>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13,033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13,586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4,568</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35%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5,124</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38%</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8,465</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62%</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Sales and marketing</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2,625</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2,622</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19%</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product development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12%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15%</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Operating income</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1,972</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4"/>
              </w:rPr>
              <w:t>1%</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before income taxes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1,983</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15%</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4"/>
              </w:rPr>
              <w:t>5%</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10%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9%</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Revenue for the three months ended March 31, 2016 was approximately $13.0 million, a decrease of approximately 4% from the three months ended March 31, 2015. The decrease in revenue was due to reduced demand across all regions except USA. The decrease was especially stronger in Asia Pacific, Southern and Central Europe, Canada and South Africa. On the products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side, the increase in revenues from microphones and video products was more than offset by a decline in revenues from all other product lines.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net change in deferred revenue during the three months ended March 31, 2016 and March 31, 2015 was a net decrease in deferred revenue of $0.3 million and a net decrease in deferred revenue of $0.5 million, respectively. See “Critical Accounting Policies and Estimates” under “Revenue and Associated Allowance for Revenue Adjustments and Doubtful Accounts” below for a detailed discussion of deferred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Costs of Goods Sold and Gross Profit</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gross profit margin (GPM), which is gross profit as a percentage of revenue, was 65% and 62% for the three months ended March 31, 2016 and 2015, respectively. The 3% increase in gross margin was primarily due to the increase of higher margin products in our revenue mix and the contribution of licensing fees to the revenue.</w:t>
      </w:r>
    </w:p>
    <w:p>
      <w:pPr>
        <w:spacing w:after="0" w:line="1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profitability in the near-term continues to depend significantly on our revenues from professional audio conferencing products, which includes wired and wireless microphones. We hold long-term inventory and if we are unable to sell our long-term inventory, our profitability might be affected by inventory write-offs and price mark-downs.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Operating Expenses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Operating expenses for the three months ended March 31, 2016 decreased by approximately $70 thousand to $6.5 million, compared to $6.6 million for the three months ended March 31, 2015.</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color w:val="auto"/>
        </w:rPr>
        <w:t xml:space="preserve">Sales and Marketing (“S&amp;M”) Expenses. </w:t>
      </w:r>
      <w:r>
        <w:rPr>
          <w:rFonts w:ascii="Arial" w:cs="Arial" w:eastAsia="Arial" w:hAnsi="Arial"/>
          <w:sz w:val="18"/>
          <w:szCs w:val="18"/>
          <w:color w:val="auto"/>
        </w:rPr>
        <w:t>S&amp;M expenses include selling, customer service, and marketing expenses, such as employee-related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of overhead expenses, trade shows, and other advertising and selling expenses.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S&amp;M expenses of approximately $2.6 million remained essentially unchanged for the three months ended March 31, 2016, when compared to S&amp;M expenses for the three months ended March 31, 2015. The decrease in employee related costs and commissions were equally offset by marketing, trade-show costs and consulting expenses.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include research and development and product line management, including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outside services, expensed materials and depreciation, and an allocation of overhead expenses.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R&amp;D expenses of approximately $2.3 million for the three months ended March 31, 2016 increased by $0.4 million, or 17%, when compared to R&amp;D expenses of approximately $1.9 million for the three months ended March 31, 2015. R&amp;D expenses increased primarily due to increases in costs for various R&amp;D projects.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General and Administrative (“G&amp;A”) Expenses. </w:t>
      </w:r>
      <w:r>
        <w:rPr>
          <w:rFonts w:ascii="Arial" w:cs="Arial" w:eastAsia="Arial" w:hAnsi="Arial"/>
          <w:sz w:val="18"/>
          <w:szCs w:val="18"/>
          <w:color w:val="auto"/>
        </w:rPr>
        <w:t>G&amp;A expenses include employee-related costs, professional service fees, allocations of overhead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costs, and corporate administrative costs, including finance, information technology and human resources.</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G&amp;A expenses of approximately $1.6 million for the three months ended March 31, 2016 decreased by $0.4 million, or 20%, when compared to G&amp;A expenses of approximately $2.0 million for the three months ended March 31, 2015. G&amp;A expenses decreased mainly due to a decrease in amortization of intangibles, reduced legal expenses and reduction in audit and accounting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currency gain (loss).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Provision for income taxes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three months ended March 31, 2016, we accrued income taxes at the forecasted effective tax rate of 35.2% as compared to the forecasted effective tax rate of 35.8% used during the three months ended March 31, 2015. In addition, a discrete tax benefit of $93 thousand is primarily attributable to tax benefit related to stock-based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March 31, 2016, our cash and cash equivalents were approximately $13.9 million, an increase of approximately $0.6 million compared to cash and cash equivalents of approximately $13.4 million as of December 31, 2015.</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operating activities was $2.1 million during the three months ended March 31, 2016, a decrease in cash flow of approximately $0.7 million compared to $2.8 million of cash provided by operating activities during the three months ended March 31, 2015. The decrease in operating cash flow was primarily due to a reduction in non-cash charges of $0.5 million, and changes in operating assets and liabilities totaling $0.3 million, partially offset by $0.1 million increase in net income.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provided by investing activities was approximately $0.1 million during the three months ended March 31, 2016 compared to $0.7 million of cash provided by investing activities during the three months ended March 31, 2015. Net cash provided by investing activities during the three months ended March 31, 2016 and 2015 included proceeds from maturities and sales of marketable investment securities, purchases of marketable securities and purchase of property and equipment.</w:t>
      </w:r>
    </w:p>
    <w:p>
      <w:pPr>
        <w:spacing w:after="0" w:line="18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Net cash used in financing activities was approximately $1.7 million during the three months ended March 31, 2016, when compared to $27 thousand of cash provided by investing activities during the three months ended March 31, 2015. Financing activities in the first quarter of 2016 primarily consisted of cash inflows of about $0.3 million proceeds from stock based compensation plans and $0.6 million from tax benefits from equity based compensation programs and cash outflows of $1.8 million on repurchase of stock options, $0.5 million for dividend payments and $0.4 million towards stock repurchases. Financing activities in the same period in 2015 consisted mostly of cash inflows of about $20 thousand from the exercise of stock options.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March 11, 2016 to March 17, 2016, the Company offered to repurchase eligible vested options to purchase shares under the 1998 Plan and the 2007 Plan from employees. On March 9, 2016, the Board of Directors of the Company authorized the repurchase of up to $10 million of the company’s outstanding shares of common stock under a new stock repurchase program. The repurchase program may be suspended or discontinued at any time without prior notice. There are no future repurchases planned at this time.</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December 2, 2014, ClearOne, Inc. issued a press release announcing the declaration of future cash dividends by the Company's Board of Directors. The most recent of these dividends was announced on February 25, 2016 when the company announced a quarterly cash dividend of $0.05 per share to be paid on March 18, 2016 to shareholders of record as of March 7,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our working capital was $35.7 million as compared to $36.5 million as of December 31, 2015.</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if and when needed to meet our short and long-term financing needs. In addition to capital expenditures, we may use cash in the near future for selective infusions of technology, sales &amp; marketing, infrastructure, and other investments to fuel our growth, as well as acquisitions that may strategically fit our business and are accretive to our performance. We may also use cash to pay cash dividends or repurchase stock.</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March 31, 2016, we had open purchase orders related to our electronics manufacturing service providers of approximately $4.0 million, primarily related to inventory purchases.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March 31, 2016, we had inventory totaling $16.5 million, of which non-current inventory accounted for $2.0 million. This compares to total inventories of $15.5 million and non-current inventory of $2.0 million as of December 31,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our Annual Report on Form 10-K for the year ended December 31, 2015. We believe the following 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 and Associated Allowances for Revenue Adjustments and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provide a right of return on product sales to certain distributors under a product rotation program. Under this seldom-used program, once a quarter, a distributor is allowed to return products purchased during the prior quarter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up-ward or down-ward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9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amount of deferred cost of goods sold was included in distributor channel inventories. The following table details the amount of deferred revenue, cost of goods sold, and gross profit as of March 31, 2016 and December 31, 2015: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2016</w:t>
            </w:r>
          </w:p>
        </w:tc>
        <w:tc>
          <w:tcPr>
            <w:tcW w:w="260" w:type="dxa"/>
            <w:vAlign w:val="bottom"/>
          </w:tcPr>
          <w:p>
            <w:pPr>
              <w:spacing w:after="0"/>
              <w:rPr>
                <w:sz w:val="18"/>
                <w:szCs w:val="18"/>
                <w:color w:val="auto"/>
              </w:rPr>
            </w:pPr>
          </w:p>
        </w:tc>
        <w:tc>
          <w:tcPr>
            <w:tcW w:w="1800" w:type="dxa"/>
            <w:vAlign w:val="bottom"/>
          </w:tcPr>
          <w:p>
            <w:pPr>
              <w:jc w:val="right"/>
              <w:ind w:right="292"/>
              <w:spacing w:after="0"/>
              <w:rPr>
                <w:sz w:val="20"/>
                <w:szCs w:val="20"/>
                <w:color w:val="auto"/>
              </w:rPr>
            </w:pPr>
            <w:r>
              <w:rPr>
                <w:rFonts w:ascii="Arial" w:cs="Arial" w:eastAsia="Arial" w:hAnsi="Arial"/>
                <w:sz w:val="16"/>
                <w:szCs w:val="16"/>
                <w:b w:val="1"/>
                <w:bCs w:val="1"/>
                <w:color w:val="auto"/>
                <w:w w:val="97"/>
              </w:rPr>
              <w:t>December 31, 2015</w:t>
            </w: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Deferred cost of goods sold</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1,628</w:t>
            </w: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gross profit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2,921</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quarterly as a reduction of revenue in accordance with GAAP.</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offer credit terms on the sale of our products to a majority of our channel partners and perform ongoing credit evaluations of our customers’ financial condition. We maintain an allowance for doubtful accounts for estimated losses resulting from the inability or unwillingness of our channel partners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Goodwill and Intangible Assets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There were no impairments recorded in 2016 or 2015 as no impairment indicators existed. However, due to uncertainty in the industrial, technological, and competitive environments in which we operate, we might be required to exit or dispose of the assets acquired through our acquisitions, which could result in an impairment of goodwill and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Long-Lived Assets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Accounting for Income Taxes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income taxes in both the United States and in certain foreign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2015 and determined that based upon available evidence it is more likely than not that certain of our deferred tax assets related to capital loss carryovers, state research and development credits, and foreign net operating loss carryforwards will not be realized and, accordingly, we have recorded a valuation allowance against these deferred tax assets in the amount of $1.1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Lower-of-Cost or Market Adjustments and Reserves for Excess and Obsolete Inventory</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 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Share-Based Compensation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2004, the FASB issued guidelines now contained under FASB ASC Topic 718, "Compensation – Stock Compensation". ASC Topic 718 establishes standards for the accounting for transactions in which an entity exchanges its equity instruments for goods or services. Primarily, ASC Topic 718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services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Recent Accounting Pronouncements: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Early adoption is not permitted. The updated standard becomes effective for the Company on January 1, 2017. The Company has not yet selected a transition method and we are currently evaluating the effect that the updated standard will have on the consolidated financial statements.</w:t>
      </w:r>
    </w:p>
    <w:p>
      <w:pPr>
        <w:spacing w:after="0" w:line="15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November 2015, the FASB issued ASU 2015-17, Income Taxes (Topic 740), simplifying the presentation of deferred taxes on the balance sheet by requiring companies to classify everything as either a non-current asset or non-current liability. Early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adoption of this ASU is permitted. ClearOne has adopted this standard update early as it would simplify the presentation of taxes on the balance sheet and within the income tax footnote.</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February 2016, FASB released Accounting Standards Update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will take effect the Company for fiscal years, and interim periods within those fiscal years, beginning after December 15, 2018. Early application will be permitted for all organizations. The Company has not yet selected a transition method and we are currently evaluating the effect that the updated standard will have on the consolidated financial statements.</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March 2016, the FASB issued ASU 2016-09, Compensation - Stock Compensation: Improvements to Employee Shared-Based Payment Accounting. The standard is intended to simplify several areas of accounting for share-based compensation arrangements, including the income tax impact, classification on the statement of cash flows and forfeitures. ASU 2016-09 is effective for the Company on January 1, 2017 and we are currently evaluating the impact that ASU 2016-09 will have on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March 31, 2016 was performed under the supervision and with the participation of our management, including our Chief Executive Officer and our Chief Financial Officer. Based on this evaluation, our management, including our Chief Executive Officer and Chief Financial Officer, concluded that our disclosure controls and procedures are effective as of March 31, 2016 to ensure that information required to be disclosed by us in reports we file or submit under the Exchange Act is recorded, processed, summarized and reported as specified in the SEC’s rules and forms.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March 31, 2016 that materially affected, or that we believe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There are no updates to the status of the legal proceedings and commitments and contingencies reported in our Form 10-K for the year ended December 31, 2015 under Part I, Item 3. Legal Proceedings and Note 8 - Commitments and Contingencies of the Notes to Consolidated Financial Statements (Part II, Item 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included in our Annual Report on Form 10-K for the fiscal year ended December 31, 2015.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May 2012, our Board of Directors authorized a stock repurchase program authorizing the Company to repurchase up to $2 million of our outstanding common stock. On July 30, 2012, the Board of Directors increased the repurchase amount to $3 million from the original $2 million. On February 20, 2013, the Board of Directors again increased the repurchase amount to $10 million from $3 million. On December 2, 2014, ClearOne, Inc. issued a press release announcing the declaration of future cash dividends by the Company's Board of Directors and reported the discontinuance of this stock repurchase program. At the time of the discontinuance of this stock repurchase program, the Company had repurchased approximately $5.4 million of the Company's stock.</w:t>
      </w:r>
    </w:p>
    <w:p>
      <w:pPr>
        <w:spacing w:after="0" w:line="158"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On March 9, 2016, the Board of Directors of the Company authorized the repurchase of up to $10 million of the Company’s outstanding shares of common stock under a new stock repurchase program. In connection with the repurchase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2016 we acquired the following shares of common stock under the current stock repurchase program:</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(c)</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Total Number of</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Shares Purchased</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as Part of Publicly</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7"/>
              </w:rPr>
              <w:t>(d)</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 Dollar</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(b)</w:t>
            </w:r>
          </w:p>
        </w:tc>
        <w:tc>
          <w:tcPr>
            <w:tcW w:w="19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Announced Plans</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Value of Shares that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Average Price</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3"/>
              </w:rPr>
              <w:t>May Yet Be</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Total Number of</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or Programs</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c>
          <w:tcPr>
            <w:tcW w:w="0" w:type="dxa"/>
            <w:vAlign w:val="bottom"/>
          </w:tcPr>
          <w:p>
            <w:pPr>
              <w:spacing w:after="0"/>
              <w:rPr>
                <w:sz w:val="1"/>
                <w:szCs w:val="1"/>
                <w:color w:val="auto"/>
              </w:rPr>
            </w:pPr>
          </w:p>
        </w:tc>
      </w:tr>
      <w:tr>
        <w:trPr>
          <w:trHeight w:val="210"/>
        </w:trPr>
        <w:tc>
          <w:tcPr>
            <w:tcW w:w="3780" w:type="dxa"/>
            <w:vAlign w:val="bottom"/>
            <w:gridSpan w:val="2"/>
          </w:tcPr>
          <w:p>
            <w:pPr>
              <w:ind w:left="1600"/>
              <w:spacing w:after="0"/>
              <w:rPr>
                <w:sz w:val="20"/>
                <w:szCs w:val="20"/>
                <w:color w:val="auto"/>
              </w:rPr>
            </w:pPr>
            <w:r>
              <w:rPr>
                <w:rFonts w:ascii="Arial" w:cs="Arial" w:eastAsia="Arial" w:hAnsi="Arial"/>
                <w:sz w:val="16"/>
                <w:szCs w:val="16"/>
                <w:b w:val="1"/>
                <w:bCs w:val="1"/>
                <w:color w:val="auto"/>
              </w:rPr>
              <w:t>Period</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Shares Purchased</w:t>
            </w:r>
          </w:p>
        </w:tc>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Paid per Share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1 to January 31</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February 1 to February 29</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5"/>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1 to March 31</w:t>
            </w: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33,600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33,600</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9,596,063</w:t>
            </w:r>
          </w:p>
        </w:tc>
        <w:tc>
          <w:tcPr>
            <w:tcW w:w="0" w:type="dxa"/>
            <w:vAlign w:val="bottom"/>
          </w:tcPr>
          <w:p>
            <w:pPr>
              <w:spacing w:after="0"/>
              <w:rPr>
                <w:sz w:val="1"/>
                <w:szCs w:val="1"/>
                <w:color w:val="auto"/>
              </w:rPr>
            </w:pPr>
          </w:p>
        </w:tc>
      </w:tr>
      <w:tr>
        <w:trPr>
          <w:trHeight w:val="237"/>
        </w:trPr>
        <w:tc>
          <w:tcPr>
            <w:tcW w:w="37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33,600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33,600</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9,596,063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From March 11, 2016 to March 17, 2016, the Company offered to repurchase eligible vested options to purchase shares under the 1998 Plan and the 2007 Plan from employees. The Company repurchased delivered options at a repurchase price equal to the difference between the closing market price on the date of the employee’s communication of accepting the repurchase offer and the exercise price of such employee’s delivered options, subject to applicable withholding taxes and charges.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CLEARONE, INC.</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2"/>
        </w:trPr>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Title of Document</w:t>
            </w: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91"/>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Form of Offer to Repurchase Eligible Options for Cash</w:t>
            </w:r>
          </w:p>
        </w:tc>
      </w:tr>
      <w:tr>
        <w:trPr>
          <w:trHeight w:val="378"/>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Chief Executive Officer (filed herewith)</w:t>
            </w:r>
          </w:p>
        </w:tc>
      </w:tr>
      <w:tr>
        <w:trPr>
          <w:trHeight w:val="459"/>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 (filed herewith)</w:t>
            </w:r>
          </w:p>
        </w:tc>
      </w:tr>
      <w:tr>
        <w:trPr>
          <w:trHeight w:val="459"/>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Chief Executive Officer (filed herewith)</w:t>
            </w:r>
          </w:p>
        </w:tc>
      </w:tr>
      <w:tr>
        <w:trPr>
          <w:trHeight w:val="459"/>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Instance Document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140" w:type="dxa"/>
            <w:vAlign w:val="bottom"/>
            <w:gridSpan w:val="3"/>
          </w:tcPr>
          <w:p>
            <w:pPr>
              <w:spacing w:after="0"/>
              <w:rPr>
                <w:sz w:val="20"/>
                <w:szCs w:val="20"/>
                <w:color w:val="auto"/>
              </w:rPr>
            </w:pPr>
            <w:r>
              <w:rPr>
                <w:rFonts w:ascii="Arial" w:cs="Arial" w:eastAsia="Arial" w:hAnsi="Arial"/>
                <w:sz w:val="18"/>
                <w:szCs w:val="18"/>
                <w:color w:val="auto"/>
                <w:w w:val="99"/>
              </w:rPr>
              <w:t>XBRL Taxonomy Extension Calculation Linkbase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140" w:type="dxa"/>
            <w:vAlign w:val="bottom"/>
            <w:gridSpan w:val="3"/>
          </w:tcPr>
          <w:p>
            <w:pPr>
              <w:spacing w:after="0"/>
              <w:rPr>
                <w:sz w:val="20"/>
                <w:szCs w:val="20"/>
                <w:color w:val="auto"/>
              </w:rPr>
            </w:pPr>
            <w:r>
              <w:rPr>
                <w:rFonts w:ascii="Arial" w:cs="Arial" w:eastAsia="Arial" w:hAnsi="Arial"/>
                <w:sz w:val="18"/>
                <w:szCs w:val="18"/>
                <w:color w:val="auto"/>
                <w:w w:val="97"/>
              </w:rPr>
              <w:t>XBRL Taxonomy Extension Presentation Linkbase (filed herewith)</w:t>
            </w:r>
          </w:p>
        </w:tc>
      </w:tr>
      <w:tr>
        <w:trPr>
          <w:trHeight w:val="89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60" w:type="dxa"/>
            <w:vAlign w:val="bottom"/>
            <w:gridSpan w:val="2"/>
          </w:tcPr>
          <w:p>
            <w:pPr>
              <w:ind w:left="310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0219"/>
          </w:cols>
          <w:pgMar w:left="240" w:top="121" w:right="1440"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CLEARONE, INC.</w:t>
      </w:r>
    </w:p>
    <w:p>
      <w:pPr>
        <w:spacing w:after="0" w:line="23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May 10,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May 10,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600"/>
          </w:cols>
          <w:pgMar w:left="240" w:top="121" w:right="10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of Offering Materials: March 11, 2016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 ONE,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REPURCHASE ELIGIBLE OPTIONS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ClearOne, Inc. and its subsidiaries (collectively, “ClearOne” or the “Company”) is offering you the right (the “Offer”) to have the Company repurchase your options to purchase shares of common stock of the Company under the 1998 Stock Option Plan (the “1998 Plan”) and the 2007 Equity Incentive Plan as Amended and Restated Effective December 12, 2014, in exchange for a cash payment equal to the value of the options, calculated as set forth below.</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Offer is subject to all the terms and conditions set forth in this Offer to Repurchase Eligible Options as well as the accompanying Introductory Letter and Letter of Transmittal, which may be referred to collectively in these materials as this “Offer to Repurchase” or the “offering materials.” The Offer expires at 5:00 P.M. Mountain Time on March 17, 2016 (“Offer Expiry Date”).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All options that became vested as per the terms of the applicable option plans on or before Offer Expiry Date are eligible for repurchase. We call these options that are eligible as “Eligible Options”. You can find the number of eligible options listed on the Letter of Transmittal that is attached to this letter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as well as in the </w:t>
      </w:r>
      <w:r>
        <w:rPr>
          <w:rFonts w:ascii="Arial" w:cs="Arial" w:eastAsia="Arial" w:hAnsi="Arial"/>
          <w:sz w:val="16"/>
          <w:szCs w:val="16"/>
          <w:b w:val="1"/>
          <w:bCs w:val="1"/>
          <w:u w:val="single" w:color="auto"/>
          <w:color w:val="auto"/>
        </w:rPr>
        <w:t>Optionee Statement</w:t>
      </w:r>
      <w:r>
        <w:rPr>
          <w:rFonts w:ascii="Arial" w:cs="Arial" w:eastAsia="Arial" w:hAnsi="Arial"/>
          <w:sz w:val="16"/>
          <w:szCs w:val="16"/>
          <w:color w:val="auto"/>
        </w:rPr>
        <w:t xml:space="preserve"> attached with this Offer. You must continue to be an employee on Offer Expiry Date to be eligible for this Offer.</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You can choose to deliver all eligible options or only a portion of eligible options for repurchase. The number of eligible options you agree to deliver for repurchase are referred to in these documents as “delivered options”. In the attached Letter of Transmittal you can make your choice clear as to whether you want to deliver all eligible options or only a portion of it for repurchase. Please follow the instructions in the Letter of Transmittal carefully.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repurchase delivered options at a repurchase price equal to the difference between the closing market price on the date of your communication of accepting this Offer and the exercise price of your delivered options. You can refer to the following example to understand how repurchase value of delivered options is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210185</wp:posOffset>
            </wp:positionV>
            <wp:extent cx="6217285" cy="14490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17285" cy="1449070"/>
                    </a:xfrm>
                    <a:prstGeom prst="rect">
                      <a:avLst/>
                    </a:prstGeom>
                    <a:noFill/>
                  </pic:spPr>
                </pic:pic>
              </a:graphicData>
            </a:graphic>
          </wp:anchor>
        </w:drawing>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EXAMPLE FOR CALCULATING REPURCHASE VALUE</w:t>
      </w:r>
    </w:p>
    <w:p>
      <w:pPr>
        <w:spacing w:after="0" w:line="34" w:lineRule="exact"/>
        <w:rPr>
          <w:sz w:val="20"/>
          <w:szCs w:val="20"/>
          <w:color w:val="auto"/>
        </w:rPr>
      </w:pPr>
    </w:p>
    <w:tbl>
      <w:tblPr>
        <w:tblLayout w:type="fixed"/>
        <w:tblInd w:w="840" w:type="dxa"/>
        <w:tblCellMar>
          <w:top w:w="0" w:type="dxa"/>
          <w:left w:w="0" w:type="dxa"/>
          <w:bottom w:w="0" w:type="dxa"/>
          <w:right w:w="0" w:type="dxa"/>
        </w:tblCellMar>
      </w:tblPr>
      <w:tr>
        <w:trPr>
          <w:trHeight w:val="257"/>
        </w:trPr>
        <w:tc>
          <w:tcPr>
            <w:tcW w:w="69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 of eligible options (Refer to Optionee Statement)</w:t>
            </w:r>
          </w:p>
        </w:tc>
        <w:tc>
          <w:tcPr>
            <w:tcW w:w="780" w:type="dxa"/>
            <w:vAlign w:val="bottom"/>
            <w:tcBorders>
              <w:top w:val="single" w:sz="8" w:color="auto"/>
              <w:right w:val="single" w:sz="8" w:color="auto"/>
            </w:tcBorders>
          </w:tcPr>
          <w:p>
            <w:pPr>
              <w:spacing w:after="0"/>
              <w:rPr>
                <w:sz w:val="22"/>
                <w:szCs w:val="22"/>
                <w:color w:val="auto"/>
              </w:rPr>
            </w:pPr>
          </w:p>
        </w:tc>
        <w:tc>
          <w:tcPr>
            <w:tcW w:w="2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800</w:t>
            </w:r>
          </w:p>
        </w:tc>
      </w:tr>
      <w:tr>
        <w:trPr>
          <w:trHeight w:val="27"/>
        </w:trPr>
        <w:tc>
          <w:tcPr>
            <w:tcW w:w="69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6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of options that you have chosen to deliver for repurchase (delivered options)</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w:t>
            </w:r>
          </w:p>
        </w:tc>
        <w:tc>
          <w:tcPr>
            <w:tcW w:w="2040" w:type="dxa"/>
            <w:vAlign w:val="bottom"/>
          </w:tcPr>
          <w:p>
            <w:pPr>
              <w:ind w:left="20"/>
              <w:spacing w:after="0"/>
              <w:rPr>
                <w:sz w:val="20"/>
                <w:szCs w:val="20"/>
                <w:color w:val="auto"/>
              </w:rPr>
            </w:pPr>
            <w:r>
              <w:rPr>
                <w:rFonts w:ascii="Arial" w:cs="Arial" w:eastAsia="Arial" w:hAnsi="Arial"/>
                <w:sz w:val="18"/>
                <w:szCs w:val="18"/>
                <w:color w:val="auto"/>
              </w:rPr>
              <w:t>500</w:t>
            </w:r>
          </w:p>
        </w:tc>
      </w:tr>
      <w:tr>
        <w:trPr>
          <w:trHeight w:val="27"/>
        </w:trPr>
        <w:tc>
          <w:tcPr>
            <w:tcW w:w="69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6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Exercise price for each delivered option</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w:t>
            </w:r>
          </w:p>
        </w:tc>
        <w:tc>
          <w:tcPr>
            <w:tcW w:w="2040" w:type="dxa"/>
            <w:vAlign w:val="bottom"/>
          </w:tcPr>
          <w:p>
            <w:pPr>
              <w:ind w:left="20"/>
              <w:spacing w:after="0"/>
              <w:rPr>
                <w:sz w:val="20"/>
                <w:szCs w:val="20"/>
                <w:color w:val="auto"/>
              </w:rPr>
            </w:pPr>
            <w:r>
              <w:rPr>
                <w:rFonts w:ascii="Arial" w:cs="Arial" w:eastAsia="Arial" w:hAnsi="Arial"/>
                <w:sz w:val="18"/>
                <w:szCs w:val="18"/>
                <w:color w:val="auto"/>
              </w:rPr>
              <w:t>$3.65</w:t>
            </w:r>
          </w:p>
        </w:tc>
      </w:tr>
      <w:tr>
        <w:trPr>
          <w:trHeight w:val="27"/>
        </w:trPr>
        <w:tc>
          <w:tcPr>
            <w:tcW w:w="69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6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 when you sent the acceptance of this offer to ClearOne</w:t>
            </w:r>
          </w:p>
        </w:tc>
        <w:tc>
          <w:tcPr>
            <w:tcW w:w="780" w:type="dxa"/>
            <w:vAlign w:val="bottom"/>
            <w:tcBorders>
              <w:right w:val="single" w:sz="8" w:color="auto"/>
            </w:tcBorders>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03/11/2015</w:t>
            </w:r>
          </w:p>
        </w:tc>
      </w:tr>
      <w:tr>
        <w:trPr>
          <w:trHeight w:val="27"/>
        </w:trPr>
        <w:tc>
          <w:tcPr>
            <w:tcW w:w="69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6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Closing Market price on 03/11/2015</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w:t>
            </w:r>
          </w:p>
        </w:tc>
        <w:tc>
          <w:tcPr>
            <w:tcW w:w="2040" w:type="dxa"/>
            <w:vAlign w:val="bottom"/>
          </w:tcPr>
          <w:p>
            <w:pPr>
              <w:ind w:left="20"/>
              <w:spacing w:after="0"/>
              <w:rPr>
                <w:sz w:val="20"/>
                <w:szCs w:val="20"/>
                <w:color w:val="auto"/>
              </w:rPr>
            </w:pPr>
            <w:r>
              <w:rPr>
                <w:rFonts w:ascii="Arial" w:cs="Arial" w:eastAsia="Arial" w:hAnsi="Arial"/>
                <w:sz w:val="18"/>
                <w:szCs w:val="18"/>
                <w:color w:val="auto"/>
              </w:rPr>
              <w:t>$12.00</w:t>
            </w:r>
          </w:p>
        </w:tc>
      </w:tr>
      <w:tr>
        <w:trPr>
          <w:trHeight w:val="27"/>
        </w:trPr>
        <w:tc>
          <w:tcPr>
            <w:tcW w:w="69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6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Repurchase value per option (C) - (B)</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w:t>
            </w:r>
          </w:p>
        </w:tc>
        <w:tc>
          <w:tcPr>
            <w:tcW w:w="2040" w:type="dxa"/>
            <w:vAlign w:val="bottom"/>
          </w:tcPr>
          <w:p>
            <w:pPr>
              <w:ind w:left="20"/>
              <w:spacing w:after="0"/>
              <w:rPr>
                <w:sz w:val="20"/>
                <w:szCs w:val="20"/>
                <w:color w:val="auto"/>
              </w:rPr>
            </w:pPr>
            <w:r>
              <w:rPr>
                <w:rFonts w:ascii="Arial" w:cs="Arial" w:eastAsia="Arial" w:hAnsi="Arial"/>
                <w:sz w:val="18"/>
                <w:szCs w:val="18"/>
                <w:color w:val="auto"/>
              </w:rPr>
              <w:t>$8.35</w:t>
            </w:r>
          </w:p>
        </w:tc>
      </w:tr>
      <w:tr>
        <w:trPr>
          <w:trHeight w:val="27"/>
        </w:trPr>
        <w:tc>
          <w:tcPr>
            <w:tcW w:w="69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6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Repurchase value of delivered options(D) x (A)</w:t>
            </w:r>
          </w:p>
        </w:tc>
        <w:tc>
          <w:tcPr>
            <w:tcW w:w="780" w:type="dxa"/>
            <w:vAlign w:val="bottom"/>
            <w:tcBorders>
              <w:right w:val="single" w:sz="8" w:color="auto"/>
            </w:tcBorders>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$4,175</w:t>
            </w:r>
          </w:p>
        </w:tc>
      </w:tr>
      <w:tr>
        <w:trPr>
          <w:trHeight w:val="27"/>
        </w:trPr>
        <w:tc>
          <w:tcPr>
            <w:tcW w:w="69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repurchase value of delivered options will be subject to reduction for applicable withholding taxes and charges.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you wish to deliver your eligible options for repurchase, you must complete and sign the Letter of Transmittal in accordance with terms set forth in the offering materials and deliver it to the Company by email to narsi@clearone.com or by mail to Attn: Narsi Narayanan, ClearOne, Inc., 5225 Wiley Post Way, Suite 500, Salt Lake City, Utah 84116. Your Letter of Transmittal must be received by the Company by 5:00 P.M., Mountain time, on March 17, 2016.</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questions about this Offer to Repurchase or requests for assistance or for additional copies of any offering materials should be made by email to narsi@clearone.com by telephone at (801) 975-7200.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the Compensation Committee of the Company’s Board of Directors has authorized this Offer to Repurchase, neither the Company, the Board of Directors nor the Compensation Committee of the Board of Directors makes any recommendation as to whether or not you should deliver your eligible options for repurchase. The Company also has not authorized any person to make any recommendation on its behalf as to whether you should accept the Offer. You must make your own decision whether to deliver your eligible options for repurchase. In doing so, you should rely only on the information contained in the offering materials or</w:t>
      </w:r>
    </w:p>
    <w:p>
      <w:pPr>
        <w:sectPr>
          <w:pgSz w:w="11900" w:h="16838" w:orient="portrait"/>
          <w:cols w:equalWidth="0" w:num="1">
            <w:col w:w="11420"/>
          </w:cols>
          <w:pgMar w:left="240" w:top="580" w:right="239" w:bottom="1440" w:gutter="0" w:footer="0" w:header="0"/>
        </w:sectPr>
      </w:pPr>
    </w:p>
    <w:bookmarkStart w:id="25" w:name="page26"/>
    <w:bookmarkEnd w:id="25"/>
    <w:p>
      <w:pPr>
        <w:jc w:val="both"/>
        <w:ind w:right="20"/>
        <w:spacing w:after="0" w:line="342" w:lineRule="auto"/>
        <w:rPr>
          <w:sz w:val="20"/>
          <w:szCs w:val="20"/>
          <w:color w:val="auto"/>
        </w:rPr>
      </w:pPr>
      <w:r>
        <w:rPr>
          <w:rFonts w:ascii="Arial" w:cs="Arial" w:eastAsia="Arial" w:hAnsi="Arial"/>
          <w:sz w:val="16"/>
          <w:szCs w:val="16"/>
          <w:color w:val="auto"/>
        </w:rPr>
        <w:t>any other authorized communications from the Company made to you, as no other representations or information has been authorized by the Company. You may also wish to consult with your own advisors, including tax, financial or legal advisors, before making any decisions regarding the Offer.</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10, 2016, the closing price of our common stock as reported on the Nasdaq Capital Market was $11.82 per share. We recommend that you obtain current market quotations for our common stock before deciding whether to elect to cancel your eligible options.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recommend that, in addition to this document, the Letter of Transmittal, Optionee Statement and any authorized communications from us, you review the materials that we have filed with the U.S. Securities and Exchange Commission before making a decision on whether to elect to deliver your eligible options for repurchase, including our annual report on Form 10-K for the year ended December 31, 2014, our quarterly reports on Form 10-Q for the periods ended March 31, 2015, June 30, 2015, and September 30, 2015, and any subsequently filed annual and quarterly reports, and the definitive proxy statement for our 2015 Annual Meeting of Stockholders.</w:t>
      </w:r>
    </w:p>
    <w:p>
      <w:pPr>
        <w:sectPr>
          <w:pgSz w:w="11900" w:h="16838" w:orient="portrait"/>
          <w:cols w:equalWidth="0" w:num="1">
            <w:col w:w="11420"/>
          </w:cols>
          <w:pgMar w:left="240" w:top="58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Frequently asked questions (FAQ)</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is designed to answer some of the questions you may have about the Offer.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Option Repurchase Works</w:t>
      </w:r>
    </w:p>
    <w:p>
      <w:pPr>
        <w:spacing w:after="0" w:line="22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What is the Offer?</w:t>
      </w:r>
    </w:p>
    <w:p>
      <w:pPr>
        <w:spacing w:after="0" w:line="23" w:lineRule="exact"/>
        <w:rPr>
          <w:rFonts w:ascii="Arial" w:cs="Arial" w:eastAsia="Arial" w:hAnsi="Arial"/>
          <w:sz w:val="18"/>
          <w:szCs w:val="18"/>
          <w:color w:val="auto"/>
        </w:rPr>
      </w:pPr>
    </w:p>
    <w:p>
      <w:pPr>
        <w:ind w:left="340" w:right="20"/>
        <w:spacing w:after="0" w:line="290" w:lineRule="auto"/>
        <w:rPr>
          <w:rFonts w:ascii="Arial" w:cs="Arial" w:eastAsia="Arial" w:hAnsi="Arial"/>
          <w:sz w:val="18"/>
          <w:szCs w:val="18"/>
          <w:color w:val="auto"/>
        </w:rPr>
      </w:pPr>
      <w:r>
        <w:rPr>
          <w:rFonts w:ascii="Arial" w:cs="Arial" w:eastAsia="Arial" w:hAnsi="Arial"/>
          <w:sz w:val="17"/>
          <w:szCs w:val="17"/>
          <w:color w:val="auto"/>
        </w:rPr>
        <w:t>ClearOne granted you stock options, that gave you a right to buy ClearOne stock when those options vested according to the terms of grant. These options have value when ClearOne stock trades above the price at which you can exercise your options to buy ClearOne stock.</w:t>
      </w:r>
    </w:p>
    <w:p>
      <w:pPr>
        <w:spacing w:after="0" w:line="161"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ClearOne is now offering you a chance to deliver these options for repurchase by ClearOne. ClearOne is offering to repurchase these options from you at a repurchase price explained in these documents and in this FAQ.</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Do I have a choice to participate in this Offer?</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Yes. Participation in the Offer is voluntary. Whether to participate in the Offer is your decision, and you are free to reject the Offer if you so choose.</w:t>
      </w:r>
    </w:p>
    <w:p>
      <w:pPr>
        <w:spacing w:after="0" w:line="222"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How do I benefit by delivering the Options for repurchase pursuant to this Offer?</w:t>
      </w:r>
    </w:p>
    <w:p>
      <w:pPr>
        <w:spacing w:after="0" w:line="23" w:lineRule="exact"/>
        <w:rPr>
          <w:rFonts w:ascii="Arial" w:cs="Arial" w:eastAsia="Arial" w:hAnsi="Arial"/>
          <w:sz w:val="18"/>
          <w:szCs w:val="18"/>
          <w:color w:val="auto"/>
        </w:rPr>
      </w:pPr>
    </w:p>
    <w:p>
      <w:pPr>
        <w:jc w:val="both"/>
        <w:ind w:left="340"/>
        <w:spacing w:after="0" w:line="255" w:lineRule="auto"/>
        <w:rPr>
          <w:rFonts w:ascii="Arial" w:cs="Arial" w:eastAsia="Arial" w:hAnsi="Arial"/>
          <w:sz w:val="18"/>
          <w:szCs w:val="18"/>
          <w:color w:val="auto"/>
        </w:rPr>
      </w:pPr>
      <w:r>
        <w:rPr>
          <w:rFonts w:ascii="Arial" w:cs="Arial" w:eastAsia="Arial" w:hAnsi="Arial"/>
          <w:sz w:val="18"/>
          <w:szCs w:val="18"/>
          <w:color w:val="auto"/>
        </w:rPr>
        <w:t>If you choose to exercise ClearOne options in the normal course and sell the shares in the open market through a broker, you have to complete required paperwork related to exercise and resale of shares. You also face the uncertainty of not knowing the price at which broker may be able to sell ClearOne stock when you exercise options and instruct the broker to sell the shares.</w:t>
      </w:r>
    </w:p>
    <w:p>
      <w:pPr>
        <w:spacing w:after="0" w:line="19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This Offer eliminates paperwork and uncertainty related to the price at which broker may be able to sell ClearOne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How many options am I eligible to deliver pursuant to this Offer?</w:t>
      </w:r>
    </w:p>
    <w:p>
      <w:pPr>
        <w:spacing w:after="0" w:line="23" w:lineRule="exact"/>
        <w:rPr>
          <w:rFonts w:ascii="Arial" w:cs="Arial" w:eastAsia="Arial" w:hAnsi="Arial"/>
          <w:sz w:val="18"/>
          <w:szCs w:val="18"/>
          <w:color w:val="auto"/>
        </w:rPr>
      </w:pPr>
    </w:p>
    <w:p>
      <w:pPr>
        <w:ind w:left="340"/>
        <w:spacing w:after="0" w:line="261" w:lineRule="auto"/>
        <w:rPr>
          <w:rFonts w:ascii="Arial" w:cs="Arial" w:eastAsia="Arial" w:hAnsi="Arial"/>
          <w:sz w:val="18"/>
          <w:szCs w:val="18"/>
          <w:color w:val="auto"/>
        </w:rPr>
      </w:pPr>
      <w:r>
        <w:rPr>
          <w:rFonts w:ascii="Arial" w:cs="Arial" w:eastAsia="Arial" w:hAnsi="Arial"/>
          <w:sz w:val="18"/>
          <w:szCs w:val="18"/>
          <w:color w:val="auto"/>
        </w:rPr>
        <w:t>You can find the number of eligible options listed on the Letter of Transmittal as well as Optionee Statement attached with this Offer. You are eligible to deliver all eligible options or only a portion of the eligible options for repurchase.</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How much will I receive for my delivered options?</w:t>
      </w:r>
    </w:p>
    <w:p>
      <w:pPr>
        <w:spacing w:after="0" w:line="23" w:lineRule="exact"/>
        <w:rPr>
          <w:rFonts w:ascii="Arial" w:cs="Arial" w:eastAsia="Arial" w:hAnsi="Arial"/>
          <w:sz w:val="18"/>
          <w:szCs w:val="18"/>
          <w:color w:val="auto"/>
        </w:rPr>
      </w:pPr>
    </w:p>
    <w:p>
      <w:pPr>
        <w:ind w:left="340" w:right="540"/>
        <w:spacing w:after="0" w:line="255" w:lineRule="auto"/>
        <w:rPr>
          <w:rFonts w:ascii="Arial" w:cs="Arial" w:eastAsia="Arial" w:hAnsi="Arial"/>
          <w:sz w:val="18"/>
          <w:szCs w:val="18"/>
          <w:color w:val="auto"/>
        </w:rPr>
      </w:pPr>
      <w:r>
        <w:rPr>
          <w:rFonts w:ascii="Arial" w:cs="Arial" w:eastAsia="Arial" w:hAnsi="Arial"/>
          <w:sz w:val="18"/>
          <w:szCs w:val="18"/>
          <w:color w:val="auto"/>
        </w:rPr>
        <w:t>The Company will repurchase delivered options at a repurchase price equal to the difference between the closing market price on the date of your communication of accepting this Offer and the exercise price of your delivered options. You can refer to the following example to understand how repurchase value is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78740</wp:posOffset>
            </wp:positionV>
            <wp:extent cx="6037580" cy="1449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7580" cy="1449070"/>
                    </a:xfrm>
                    <a:prstGeom prst="rect">
                      <a:avLst/>
                    </a:prstGeom>
                    <a:noFill/>
                  </pic:spPr>
                </pic:pic>
              </a:graphicData>
            </a:graphic>
          </wp:anchor>
        </w:drawing>
      </w:r>
    </w:p>
    <w:p>
      <w:pPr>
        <w:spacing w:after="0" w:line="126"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EXAMPLE FOR CALCULATING REPURCHASE VALUE</w:t>
      </w:r>
    </w:p>
    <w:p>
      <w:pPr>
        <w:spacing w:after="0" w:line="34" w:lineRule="exact"/>
        <w:rPr>
          <w:sz w:val="20"/>
          <w:szCs w:val="20"/>
          <w:color w:val="auto"/>
        </w:rPr>
      </w:pPr>
    </w:p>
    <w:tbl>
      <w:tblPr>
        <w:tblLayout w:type="fixed"/>
        <w:tblInd w:w="340" w:type="dxa"/>
        <w:tblCellMar>
          <w:top w:w="0" w:type="dxa"/>
          <w:left w:w="0" w:type="dxa"/>
          <w:bottom w:w="0" w:type="dxa"/>
          <w:right w:w="0" w:type="dxa"/>
        </w:tblCellMar>
      </w:tblPr>
      <w:tr>
        <w:trPr>
          <w:trHeight w:val="257"/>
        </w:trPr>
        <w:tc>
          <w:tcPr>
            <w:tcW w:w="67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 of eligible options (Refer to Optionee Statement)</w:t>
            </w:r>
          </w:p>
        </w:tc>
        <w:tc>
          <w:tcPr>
            <w:tcW w:w="760" w:type="dxa"/>
            <w:vAlign w:val="bottom"/>
            <w:tcBorders>
              <w:top w:val="single" w:sz="8" w:color="auto"/>
              <w:right w:val="single" w:sz="8" w:color="auto"/>
            </w:tcBorders>
          </w:tcPr>
          <w:p>
            <w:pPr>
              <w:spacing w:after="0"/>
              <w:rPr>
                <w:sz w:val="22"/>
                <w:szCs w:val="22"/>
                <w:color w:val="auto"/>
              </w:rPr>
            </w:pPr>
          </w:p>
        </w:tc>
        <w:tc>
          <w:tcPr>
            <w:tcW w:w="1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800</w:t>
            </w:r>
          </w:p>
        </w:tc>
      </w:tr>
      <w:tr>
        <w:trPr>
          <w:trHeight w:val="27"/>
        </w:trPr>
        <w:tc>
          <w:tcPr>
            <w:tcW w:w="6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6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No. of options that you have chosen to deliver for repurchase (delivered options)</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w:t>
            </w:r>
          </w:p>
        </w:tc>
        <w:tc>
          <w:tcPr>
            <w:tcW w:w="1980" w:type="dxa"/>
            <w:vAlign w:val="bottom"/>
          </w:tcPr>
          <w:p>
            <w:pPr>
              <w:ind w:left="20"/>
              <w:spacing w:after="0"/>
              <w:rPr>
                <w:sz w:val="20"/>
                <w:szCs w:val="20"/>
                <w:color w:val="auto"/>
              </w:rPr>
            </w:pPr>
            <w:r>
              <w:rPr>
                <w:rFonts w:ascii="Arial" w:cs="Arial" w:eastAsia="Arial" w:hAnsi="Arial"/>
                <w:sz w:val="18"/>
                <w:szCs w:val="18"/>
                <w:color w:val="auto"/>
              </w:rPr>
              <w:t>500</w:t>
            </w:r>
          </w:p>
        </w:tc>
      </w:tr>
      <w:tr>
        <w:trPr>
          <w:trHeight w:val="27"/>
        </w:trPr>
        <w:tc>
          <w:tcPr>
            <w:tcW w:w="6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6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Exercise price for each delivered option</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w:t>
            </w:r>
          </w:p>
        </w:tc>
        <w:tc>
          <w:tcPr>
            <w:tcW w:w="1980" w:type="dxa"/>
            <w:vAlign w:val="bottom"/>
          </w:tcPr>
          <w:p>
            <w:pPr>
              <w:ind w:left="20"/>
              <w:spacing w:after="0"/>
              <w:rPr>
                <w:sz w:val="20"/>
                <w:szCs w:val="20"/>
                <w:color w:val="auto"/>
              </w:rPr>
            </w:pPr>
            <w:r>
              <w:rPr>
                <w:rFonts w:ascii="Arial" w:cs="Arial" w:eastAsia="Arial" w:hAnsi="Arial"/>
                <w:sz w:val="18"/>
                <w:szCs w:val="18"/>
                <w:color w:val="auto"/>
              </w:rPr>
              <w:t>$3.65</w:t>
            </w:r>
          </w:p>
        </w:tc>
      </w:tr>
      <w:tr>
        <w:trPr>
          <w:trHeight w:val="27"/>
        </w:trPr>
        <w:tc>
          <w:tcPr>
            <w:tcW w:w="6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6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Date when you sent the acceptance of this offer to ClearOne</w:t>
            </w:r>
          </w:p>
        </w:tc>
        <w:tc>
          <w:tcPr>
            <w:tcW w:w="760" w:type="dxa"/>
            <w:vAlign w:val="bottom"/>
            <w:tcBorders>
              <w:right w:val="single" w:sz="8" w:color="auto"/>
            </w:tcBorders>
          </w:tcPr>
          <w:p>
            <w:pPr>
              <w:spacing w:after="0"/>
              <w:rPr>
                <w:sz w:val="20"/>
                <w:szCs w:val="20"/>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03/11/2015</w:t>
            </w:r>
          </w:p>
        </w:tc>
      </w:tr>
      <w:tr>
        <w:trPr>
          <w:trHeight w:val="27"/>
        </w:trPr>
        <w:tc>
          <w:tcPr>
            <w:tcW w:w="6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6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Closing Market price on 03/11/2015</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w:t>
            </w:r>
          </w:p>
        </w:tc>
        <w:tc>
          <w:tcPr>
            <w:tcW w:w="1980" w:type="dxa"/>
            <w:vAlign w:val="bottom"/>
          </w:tcPr>
          <w:p>
            <w:pPr>
              <w:ind w:left="20"/>
              <w:spacing w:after="0"/>
              <w:rPr>
                <w:sz w:val="20"/>
                <w:szCs w:val="20"/>
                <w:color w:val="auto"/>
              </w:rPr>
            </w:pPr>
            <w:r>
              <w:rPr>
                <w:rFonts w:ascii="Arial" w:cs="Arial" w:eastAsia="Arial" w:hAnsi="Arial"/>
                <w:sz w:val="18"/>
                <w:szCs w:val="18"/>
                <w:color w:val="auto"/>
              </w:rPr>
              <w:t>$12.00</w:t>
            </w:r>
          </w:p>
        </w:tc>
      </w:tr>
      <w:tr>
        <w:trPr>
          <w:trHeight w:val="27"/>
        </w:trPr>
        <w:tc>
          <w:tcPr>
            <w:tcW w:w="6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6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Repurchase value per option (C) - (B)</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w:t>
            </w:r>
          </w:p>
        </w:tc>
        <w:tc>
          <w:tcPr>
            <w:tcW w:w="1980" w:type="dxa"/>
            <w:vAlign w:val="bottom"/>
          </w:tcPr>
          <w:p>
            <w:pPr>
              <w:ind w:left="20"/>
              <w:spacing w:after="0"/>
              <w:rPr>
                <w:sz w:val="20"/>
                <w:szCs w:val="20"/>
                <w:color w:val="auto"/>
              </w:rPr>
            </w:pPr>
            <w:r>
              <w:rPr>
                <w:rFonts w:ascii="Arial" w:cs="Arial" w:eastAsia="Arial" w:hAnsi="Arial"/>
                <w:sz w:val="18"/>
                <w:szCs w:val="18"/>
                <w:color w:val="auto"/>
              </w:rPr>
              <w:t>$8.35</w:t>
            </w:r>
          </w:p>
        </w:tc>
      </w:tr>
      <w:tr>
        <w:trPr>
          <w:trHeight w:val="27"/>
        </w:trPr>
        <w:tc>
          <w:tcPr>
            <w:tcW w:w="6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6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Repurchase value of delivered options(D) x (A)</w:t>
            </w:r>
          </w:p>
        </w:tc>
        <w:tc>
          <w:tcPr>
            <w:tcW w:w="760" w:type="dxa"/>
            <w:vAlign w:val="bottom"/>
            <w:tcBorders>
              <w:right w:val="single" w:sz="8" w:color="auto"/>
            </w:tcBorders>
          </w:tcPr>
          <w:p>
            <w:pPr>
              <w:spacing w:after="0"/>
              <w:rPr>
                <w:sz w:val="20"/>
                <w:szCs w:val="20"/>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$4,175</w:t>
            </w:r>
          </w:p>
        </w:tc>
      </w:tr>
      <w:tr>
        <w:trPr>
          <w:trHeight w:val="27"/>
        </w:trPr>
        <w:tc>
          <w:tcPr>
            <w:tcW w:w="6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Repurchase value net of any tax withholding will be paid.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determination is final as to the amount of cash payment you will get for delivered options.</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When will I receive my cash payment for delivered options?</w:t>
      </w:r>
    </w:p>
    <w:p>
      <w:pPr>
        <w:spacing w:after="0" w:line="23" w:lineRule="exact"/>
        <w:rPr>
          <w:rFonts w:ascii="Arial" w:cs="Arial" w:eastAsia="Arial" w:hAnsi="Arial"/>
          <w:sz w:val="18"/>
          <w:szCs w:val="18"/>
          <w:color w:val="auto"/>
        </w:rPr>
      </w:pPr>
    </w:p>
    <w:p>
      <w:pPr>
        <w:ind w:left="340" w:right="20"/>
        <w:spacing w:after="0" w:line="261" w:lineRule="auto"/>
        <w:rPr>
          <w:rFonts w:ascii="Arial" w:cs="Arial" w:eastAsia="Arial" w:hAnsi="Arial"/>
          <w:sz w:val="18"/>
          <w:szCs w:val="18"/>
          <w:color w:val="auto"/>
        </w:rPr>
      </w:pPr>
      <w:r>
        <w:rPr>
          <w:rFonts w:ascii="Arial" w:cs="Arial" w:eastAsia="Arial" w:hAnsi="Arial"/>
          <w:sz w:val="18"/>
          <w:szCs w:val="18"/>
          <w:color w:val="auto"/>
        </w:rPr>
        <w:t>You will be entitled to a prompt single lump sum cash payment as soon as practicable but no later than 10 days following the Offer Expiry Date. No interest will accrue and no interest will be paid on any portion of the payment, regardless of when paid.</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Can I forfeit any portion of my cash payment for delivered options after receiving it?</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No. If you have elected to deliver your eligible options in connection with the Offer, you may not forfeit your associated cash payment.</w:t>
      </w:r>
    </w:p>
    <w:p>
      <w:pPr>
        <w:sectPr>
          <w:pgSz w:w="11900" w:h="16838" w:orient="portrait"/>
          <w:cols w:equalWidth="0" w:num="1">
            <w:col w:w="11420"/>
          </w:cols>
          <w:pgMar w:left="240" w:top="580" w:right="239" w:bottom="1440" w:gutter="0" w:footer="0" w:header="0"/>
        </w:sectPr>
      </w:pPr>
    </w:p>
    <w:bookmarkStart w:id="27" w:name="page28"/>
    <w:bookmarkEnd w:id="27"/>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Why is the Company conducting the Offer?</w:t>
      </w:r>
    </w:p>
    <w:p>
      <w:pPr>
        <w:spacing w:after="0" w:line="23" w:lineRule="exact"/>
        <w:rPr>
          <w:rFonts w:ascii="Arial" w:cs="Arial" w:eastAsia="Arial" w:hAnsi="Arial"/>
          <w:sz w:val="18"/>
          <w:szCs w:val="18"/>
          <w:color w:val="auto"/>
        </w:rPr>
      </w:pPr>
    </w:p>
    <w:p>
      <w:pPr>
        <w:jc w:val="both"/>
        <w:ind w:left="340"/>
        <w:spacing w:after="0" w:line="273" w:lineRule="auto"/>
        <w:rPr>
          <w:rFonts w:ascii="Arial" w:cs="Arial" w:eastAsia="Arial" w:hAnsi="Arial"/>
          <w:sz w:val="18"/>
          <w:szCs w:val="18"/>
          <w:color w:val="auto"/>
        </w:rPr>
      </w:pPr>
      <w:r>
        <w:rPr>
          <w:rFonts w:ascii="Arial" w:cs="Arial" w:eastAsia="Arial" w:hAnsi="Arial"/>
          <w:sz w:val="17"/>
          <w:szCs w:val="17"/>
          <w:color w:val="auto"/>
        </w:rPr>
        <w:t>The principal reason the Company originally granted the eligible options was to provide an incentive to valued employees, directors and officers to remain with the Company, to help us create shareholder value and to share in the shareholder value that they create. Although our stock price has increased over the last few years, we wanted to provide you with the opportunity to obtain the more certain benefit associated with this Offer, in lieu of the less certain, but potentially more valuable benefit you could receive if you elect to retain your stock options.</w:t>
      </w:r>
    </w:p>
    <w:p>
      <w:pPr>
        <w:spacing w:after="0" w:line="17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Additionally, the options repurchased by the Company will prevent additional dilution to shareholders caused by exercise of these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Will my decision to participate in the Offer have an impact on my ability to receive options or other equity grants in the future?</w:t>
      </w:r>
    </w:p>
    <w:p>
      <w:pPr>
        <w:spacing w:after="0" w:line="23" w:lineRule="exact"/>
        <w:rPr>
          <w:rFonts w:ascii="Arial" w:cs="Arial" w:eastAsia="Arial" w:hAnsi="Arial"/>
          <w:sz w:val="18"/>
          <w:szCs w:val="18"/>
          <w:color w:val="auto"/>
        </w:rPr>
      </w:pPr>
    </w:p>
    <w:p>
      <w:pPr>
        <w:jc w:val="both"/>
        <w:ind w:left="340"/>
        <w:spacing w:after="0" w:line="255" w:lineRule="auto"/>
        <w:rPr>
          <w:rFonts w:ascii="Arial" w:cs="Arial" w:eastAsia="Arial" w:hAnsi="Arial"/>
          <w:sz w:val="18"/>
          <w:szCs w:val="18"/>
          <w:color w:val="auto"/>
        </w:rPr>
      </w:pPr>
      <w:r>
        <w:rPr>
          <w:rFonts w:ascii="Arial" w:cs="Arial" w:eastAsia="Arial" w:hAnsi="Arial"/>
          <w:sz w:val="18"/>
          <w:szCs w:val="18"/>
          <w:color w:val="auto"/>
        </w:rPr>
        <w:t>No. Your election to participate or not participate in the Offer will not have any effect on our making future grants of options or any other equity awards to you or anyone else. Your participation in the Offer will not entitle you to any additional equity grant in the future and any additional equity grants to you will depend on factors generally unrelated to past option awards.</w:t>
      </w:r>
    </w:p>
    <w:p>
      <w:pPr>
        <w:spacing w:after="0" w:line="190"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How should I decide whether or not to participate in the Offer?</w:t>
      </w:r>
    </w:p>
    <w:p>
      <w:pPr>
        <w:spacing w:after="0" w:line="23" w:lineRule="exact"/>
        <w:rPr>
          <w:rFonts w:ascii="Arial" w:cs="Arial" w:eastAsia="Arial" w:hAnsi="Arial"/>
          <w:sz w:val="18"/>
          <w:szCs w:val="18"/>
          <w:color w:val="auto"/>
        </w:rPr>
      </w:pPr>
    </w:p>
    <w:p>
      <w:pPr>
        <w:jc w:val="both"/>
        <w:ind w:left="340"/>
        <w:spacing w:after="0" w:line="255" w:lineRule="auto"/>
        <w:rPr>
          <w:rFonts w:ascii="Arial" w:cs="Arial" w:eastAsia="Arial" w:hAnsi="Arial"/>
          <w:sz w:val="18"/>
          <w:szCs w:val="18"/>
          <w:color w:val="auto"/>
        </w:rPr>
      </w:pPr>
      <w:r>
        <w:rPr>
          <w:rFonts w:ascii="Arial" w:cs="Arial" w:eastAsia="Arial" w:hAnsi="Arial"/>
          <w:sz w:val="18"/>
          <w:szCs w:val="18"/>
          <w:color w:val="auto"/>
        </w:rPr>
        <w:t>Participating in this repurchase program involves a number of risks, including the risk that the price of our common stock could increase in the future. If the price of our common stock rises above the exercise price of your option, your delivered options might be worth more than the cash payment you receive in exchange for delivering them.</w:t>
      </w:r>
    </w:p>
    <w:p>
      <w:pPr>
        <w:spacing w:after="0" w:line="190" w:lineRule="exact"/>
        <w:rPr>
          <w:rFonts w:ascii="Arial" w:cs="Arial" w:eastAsia="Arial" w:hAnsi="Arial"/>
          <w:sz w:val="18"/>
          <w:szCs w:val="18"/>
          <w:color w:val="auto"/>
        </w:rPr>
      </w:pPr>
    </w:p>
    <w:p>
      <w:pPr>
        <w:jc w:val="both"/>
        <w:ind w:left="340"/>
        <w:spacing w:after="0" w:line="255" w:lineRule="auto"/>
        <w:rPr>
          <w:rFonts w:ascii="Arial" w:cs="Arial" w:eastAsia="Arial" w:hAnsi="Arial"/>
          <w:sz w:val="18"/>
          <w:szCs w:val="18"/>
          <w:color w:val="auto"/>
        </w:rPr>
      </w:pPr>
      <w:r>
        <w:rPr>
          <w:rFonts w:ascii="Arial" w:cs="Arial" w:eastAsia="Arial" w:hAnsi="Arial"/>
          <w:sz w:val="18"/>
          <w:szCs w:val="18"/>
          <w:color w:val="auto"/>
        </w:rPr>
        <w:t>Although the Compensation Committee of the Company’s Board of Directors has approved this Offer to Repurchase, neither the Company, the Board of Directors nor the Compensation Committee makes any recommendation as to whether or not you should deliver your eligible options. The Company also has not authorized any person to make any recommendation on its behalf as to whether you should accept the Offer. You must make your own decision whether to deliver your eligible options for repurchase. We cannot guarantee that you would not ultimately receive greater value from your eligible options. You should carefully evaluate all the information contained in the offering materials and consult with your own advisors, including tax, financial or legal advisors, before making any decisions regarding the Offer.</w:t>
      </w:r>
    </w:p>
    <w:p>
      <w:pPr>
        <w:spacing w:after="0" w:line="19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If I choose to participate, what will happen to my options that will be delivered for repurchase?</w:t>
      </w:r>
    </w:p>
    <w:p>
      <w:pPr>
        <w:spacing w:after="0" w:line="23" w:lineRule="exact"/>
        <w:rPr>
          <w:rFonts w:ascii="Arial" w:cs="Arial" w:eastAsia="Arial" w:hAnsi="Arial"/>
          <w:sz w:val="18"/>
          <w:szCs w:val="18"/>
          <w:color w:val="auto"/>
        </w:rPr>
      </w:pPr>
    </w:p>
    <w:p>
      <w:pPr>
        <w:ind w:left="340"/>
        <w:spacing w:after="0" w:line="290" w:lineRule="auto"/>
        <w:rPr>
          <w:rFonts w:ascii="Arial" w:cs="Arial" w:eastAsia="Arial" w:hAnsi="Arial"/>
          <w:sz w:val="18"/>
          <w:szCs w:val="18"/>
          <w:color w:val="auto"/>
        </w:rPr>
      </w:pPr>
      <w:r>
        <w:rPr>
          <w:rFonts w:ascii="Arial" w:cs="Arial" w:eastAsia="Arial" w:hAnsi="Arial"/>
          <w:sz w:val="17"/>
          <w:szCs w:val="17"/>
          <w:color w:val="auto"/>
        </w:rPr>
        <w:t>Effective as of 5:00 P.M., Mountain Time, on the Offer Expiry Date, we will cancel all of your delivered options that you delivered for repurchase and are accepted by the Company as eligible for repurchase. You will no longer have any rights or obligations with respect to those options.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Elect to Deliver Your Eligible Options for Repurchase</w:t>
      </w:r>
    </w:p>
    <w:p>
      <w:pPr>
        <w:spacing w:after="0" w:line="229"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What do I need to do to participate in the Offer?</w:t>
      </w:r>
    </w:p>
    <w:p>
      <w:pPr>
        <w:spacing w:after="0" w:line="23" w:lineRule="exact"/>
        <w:rPr>
          <w:rFonts w:ascii="Arial" w:cs="Arial" w:eastAsia="Arial" w:hAnsi="Arial"/>
          <w:sz w:val="18"/>
          <w:szCs w:val="18"/>
          <w:color w:val="auto"/>
        </w:rPr>
      </w:pPr>
    </w:p>
    <w:p>
      <w:pPr>
        <w:jc w:val="both"/>
        <w:ind w:left="340"/>
        <w:spacing w:after="0" w:line="255" w:lineRule="auto"/>
        <w:rPr>
          <w:rFonts w:ascii="Arial" w:cs="Arial" w:eastAsia="Arial" w:hAnsi="Arial"/>
          <w:sz w:val="18"/>
          <w:szCs w:val="18"/>
          <w:color w:val="auto"/>
        </w:rPr>
      </w:pPr>
      <w:r>
        <w:rPr>
          <w:rFonts w:ascii="Arial" w:cs="Arial" w:eastAsia="Arial" w:hAnsi="Arial"/>
          <w:sz w:val="18"/>
          <w:szCs w:val="18"/>
          <w:color w:val="auto"/>
        </w:rPr>
        <w:t>To participate, you must complete and sign the Letter of Transmittal and deliver it to the Company by email to narsi@clearone.com or by mail to Attn: Narsi Narayanan, ClearOne, Inc., 5225 Wiley Post Way, Suite 500, Salt Lake City, Utah 84116. We must receive your Letter of Transmittal by 5:00 P.M., Mountain Time, on March 17, 2016.</w:t>
      </w:r>
    </w:p>
    <w:p>
      <w:pPr>
        <w:spacing w:after="0" w:line="19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If you want to email the documents, make sure that you print the Letter of Transmittal, sign it physically and email the scanned document.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What will happen if I do not turn in an executed Letter of Transmittal by the deadline?</w:t>
      </w:r>
    </w:p>
    <w:p>
      <w:pPr>
        <w:spacing w:after="0" w:line="23" w:lineRule="exact"/>
        <w:rPr>
          <w:rFonts w:ascii="Arial" w:cs="Arial" w:eastAsia="Arial" w:hAnsi="Arial"/>
          <w:sz w:val="18"/>
          <w:szCs w:val="18"/>
          <w:color w:val="auto"/>
        </w:rPr>
      </w:pPr>
    </w:p>
    <w:p>
      <w:pPr>
        <w:ind w:left="340"/>
        <w:spacing w:after="0" w:line="261" w:lineRule="auto"/>
        <w:rPr>
          <w:rFonts w:ascii="Arial" w:cs="Arial" w:eastAsia="Arial" w:hAnsi="Arial"/>
          <w:sz w:val="18"/>
          <w:szCs w:val="18"/>
          <w:color w:val="auto"/>
        </w:rPr>
      </w:pPr>
      <w:r>
        <w:rPr>
          <w:rFonts w:ascii="Arial" w:cs="Arial" w:eastAsia="Arial" w:hAnsi="Arial"/>
          <w:sz w:val="18"/>
          <w:szCs w:val="18"/>
          <w:color w:val="auto"/>
        </w:rPr>
        <w:t>If you do not return your executed Letter of Transmittal by the deadline, you will not be able to participate in the option repurchase, and all eligible options you currently hold will remain unchanged with their original exercise price and original terms.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What if I don’t want to accept the Offer?</w:t>
      </w:r>
    </w:p>
    <w:p>
      <w:pPr>
        <w:spacing w:after="0" w:line="23" w:lineRule="exact"/>
        <w:rPr>
          <w:rFonts w:ascii="Arial" w:cs="Arial" w:eastAsia="Arial" w:hAnsi="Arial"/>
          <w:sz w:val="18"/>
          <w:szCs w:val="18"/>
          <w:color w:val="auto"/>
        </w:rPr>
      </w:pPr>
    </w:p>
    <w:p>
      <w:pPr>
        <w:jc w:val="both"/>
        <w:ind w:left="340"/>
        <w:spacing w:after="0" w:line="254" w:lineRule="auto"/>
        <w:rPr>
          <w:rFonts w:ascii="Arial" w:cs="Arial" w:eastAsia="Arial" w:hAnsi="Arial"/>
          <w:sz w:val="18"/>
          <w:szCs w:val="18"/>
          <w:color w:val="auto"/>
        </w:rPr>
      </w:pPr>
      <w:r>
        <w:rPr>
          <w:rFonts w:ascii="Arial" w:cs="Arial" w:eastAsia="Arial" w:hAnsi="Arial"/>
          <w:sz w:val="18"/>
          <w:szCs w:val="18"/>
          <w:color w:val="auto"/>
        </w:rPr>
        <w:t>You don’t have to accept the Offer. The Offer is completely voluntary, and there are no penalties for electing not to participate. If you do not elect to participate, your outstanding options will remain outstanding under the terms and conditions under which they were granted. To elect not to participate, you do not need to do anything or otherwise contact the Company. If you decide not to participate in the Offer, you do not need to submit a Letter of Transmittal.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What are the U.S. federal income and withholding tax consequences of accepting the Offer for payment of the cash payment?</w:t>
      </w:r>
    </w:p>
    <w:p>
      <w:pPr>
        <w:sectPr>
          <w:pgSz w:w="11900" w:h="16838" w:orient="portrait"/>
          <w:cols w:equalWidth="0" w:num="1">
            <w:col w:w="11420"/>
          </w:cols>
          <w:pgMar w:left="240" w:top="584" w:right="239" w:bottom="1440" w:gutter="0" w:footer="0" w:header="0"/>
        </w:sectPr>
      </w:pPr>
    </w:p>
    <w:bookmarkStart w:id="28" w:name="page29"/>
    <w:bookmarkEnd w:id="28"/>
    <w:p>
      <w:pPr>
        <w:jc w:val="both"/>
        <w:ind w:left="340"/>
        <w:spacing w:after="0" w:line="259" w:lineRule="auto"/>
        <w:rPr>
          <w:sz w:val="20"/>
          <w:szCs w:val="20"/>
          <w:color w:val="auto"/>
        </w:rPr>
      </w:pPr>
      <w:r>
        <w:rPr>
          <w:rFonts w:ascii="Arial" w:cs="Arial" w:eastAsia="Arial" w:hAnsi="Arial"/>
          <w:sz w:val="18"/>
          <w:szCs w:val="18"/>
          <w:color w:val="auto"/>
        </w:rPr>
        <w:t>The repurchase value paid to all employees will be treated as regular cash compensation. As such, ClearOne will treat this as ordinary income in the year in which your cash payment is paid to you and will report this in the Form W-2 reported to the Internal Revenue Service for the year in which the payment is made. At the time your cash payment is made, the Company will reduce your payment to reflect all required income and payroll tax withholdings and will send those amounts to the appropriate tax or other authorities.</w:t>
      </w:r>
    </w:p>
    <w:p>
      <w:pPr>
        <w:spacing w:after="0" w:line="18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Are there any other tax consequences to which I may be subject?</w:t>
      </w:r>
    </w:p>
    <w:p>
      <w:pPr>
        <w:spacing w:after="0" w:line="23" w:lineRule="exact"/>
        <w:rPr>
          <w:rFonts w:ascii="Arial" w:cs="Arial" w:eastAsia="Arial" w:hAnsi="Arial"/>
          <w:sz w:val="18"/>
          <w:szCs w:val="18"/>
          <w:color w:val="auto"/>
        </w:rPr>
      </w:pPr>
    </w:p>
    <w:p>
      <w:pPr>
        <w:jc w:val="both"/>
        <w:ind w:left="340"/>
        <w:spacing w:after="0" w:line="255" w:lineRule="auto"/>
        <w:rPr>
          <w:rFonts w:ascii="Arial" w:cs="Arial" w:eastAsia="Arial" w:hAnsi="Arial"/>
          <w:sz w:val="18"/>
          <w:szCs w:val="18"/>
          <w:color w:val="auto"/>
        </w:rPr>
      </w:pPr>
      <w:r>
        <w:rPr>
          <w:rFonts w:ascii="Arial" w:cs="Arial" w:eastAsia="Arial" w:hAnsi="Arial"/>
          <w:sz w:val="18"/>
          <w:szCs w:val="18"/>
          <w:color w:val="auto"/>
        </w:rPr>
        <w:t>Depending on where you live, there may be additional state or local tax imposed on the repurchase of your options. We recommend that you consult with a tax advisor prior to participating in the Offer to determine the specific tax considerations and tax consequences relevant to your participation in the Offer.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Obtain More Information</w:t>
      </w:r>
    </w:p>
    <w:p>
      <w:pPr>
        <w:spacing w:after="0" w:line="22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What should I do if I have additional questions about this Offer to Repurchase?</w:t>
      </w:r>
    </w:p>
    <w:p>
      <w:pPr>
        <w:spacing w:after="0" w:line="23" w:lineRule="exact"/>
        <w:rPr>
          <w:rFonts w:ascii="Arial" w:cs="Arial" w:eastAsia="Arial" w:hAnsi="Arial"/>
          <w:sz w:val="18"/>
          <w:szCs w:val="18"/>
          <w:color w:val="auto"/>
        </w:rPr>
      </w:pPr>
    </w:p>
    <w:p>
      <w:pPr>
        <w:ind w:left="340"/>
        <w:spacing w:after="0" w:line="261" w:lineRule="auto"/>
        <w:rPr>
          <w:rFonts w:ascii="Arial" w:cs="Arial" w:eastAsia="Arial" w:hAnsi="Arial"/>
          <w:sz w:val="18"/>
          <w:szCs w:val="18"/>
          <w:color w:val="auto"/>
        </w:rPr>
      </w:pPr>
      <w:r>
        <w:rPr>
          <w:rFonts w:ascii="Arial" w:cs="Arial" w:eastAsia="Arial" w:hAnsi="Arial"/>
          <w:sz w:val="18"/>
          <w:szCs w:val="18"/>
          <w:color w:val="auto"/>
        </w:rPr>
        <w:t>If you have any other questions about this Offer to Repurchase, you may direct them to Narsi Narayanan at (801) 975-7200 or by email at narsi@clearone.com.</w:t>
      </w:r>
    </w:p>
    <w:p>
      <w:pPr>
        <w:sectPr>
          <w:pgSz w:w="11900" w:h="16838" w:orient="portrait"/>
          <w:cols w:equalWidth="0" w:num="1">
            <w:col w:w="11420"/>
          </w:cols>
          <w:pgMar w:left="240" w:top="58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TRANSMITTAL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ClearOne, Inc.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 am currently an employee of the Company and am the holder of eligible options, as defined. I have received from the Company the offering materials provided herewith describing the offer to deliver for repurchase certain stock options for the right to receive in exchange a cash payment (the “offering materials”). I have reviewed the list of my eligible options that the Company has set forth herein as well as in the </w:t>
      </w:r>
      <w:r>
        <w:rPr>
          <w:rFonts w:ascii="Arial" w:cs="Arial" w:eastAsia="Arial" w:hAnsi="Arial"/>
          <w:sz w:val="18"/>
          <w:szCs w:val="18"/>
          <w:b w:val="1"/>
          <w:bCs w:val="1"/>
          <w:u w:val="single" w:color="auto"/>
          <w:color w:val="auto"/>
        </w:rPr>
        <w:t>Optionee Statement</w:t>
      </w:r>
      <w:r>
        <w:rPr>
          <w:rFonts w:ascii="Arial" w:cs="Arial" w:eastAsia="Arial" w:hAnsi="Arial"/>
          <w:sz w:val="18"/>
          <w:szCs w:val="18"/>
          <w:color w:val="auto"/>
        </w:rPr>
        <w:t xml:space="preserve"> attached to this Letter of Transmittal and make my election herein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0000FF"/>
        </w:rPr>
        <w:t>Elect only one of the three choices below and put your initials against the choice.</w:t>
      </w:r>
    </w:p>
    <w:p>
      <w:pPr>
        <w:spacing w:after="0" w:line="355" w:lineRule="exact"/>
        <w:rPr>
          <w:sz w:val="20"/>
          <w:szCs w:val="20"/>
          <w:color w:val="auto"/>
        </w:rPr>
      </w:pPr>
    </w:p>
    <w:tbl>
      <w:tblPr>
        <w:tblLayout w:type="fixed"/>
        <w:tblInd w:w="530" w:type="dxa"/>
        <w:tblCellMar>
          <w:top w:w="0" w:type="dxa"/>
          <w:left w:w="0" w:type="dxa"/>
          <w:bottom w:w="0" w:type="dxa"/>
          <w:right w:w="0" w:type="dxa"/>
        </w:tblCellMar>
      </w:tblPr>
      <w:tr>
        <w:trPr>
          <w:trHeight w:val="257"/>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Choice A</w:t>
            </w:r>
          </w:p>
        </w:tc>
        <w:tc>
          <w:tcPr>
            <w:tcW w:w="758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I have accepted to deliver all my eligible options totaling_______options for repurchase by the</w:t>
            </w:r>
          </w:p>
        </w:tc>
        <w:tc>
          <w:tcPr>
            <w:tcW w:w="15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280" w:type="dxa"/>
            <w:vAlign w:val="bottom"/>
            <w:tcBorders>
              <w:left w:val="single" w:sz="8" w:color="auto"/>
              <w:right w:val="single" w:sz="8" w:color="auto"/>
            </w:tcBorders>
          </w:tcPr>
          <w:p>
            <w:pPr>
              <w:spacing w:after="0"/>
              <w:rPr>
                <w:sz w:val="2"/>
                <w:szCs w:val="2"/>
                <w:color w:val="auto"/>
              </w:rPr>
            </w:pPr>
          </w:p>
        </w:tc>
        <w:tc>
          <w:tcPr>
            <w:tcW w:w="7580" w:type="dxa"/>
            <w:vAlign w:val="bottom"/>
            <w:tcBorders>
              <w:right w:val="single" w:sz="8" w:color="auto"/>
            </w:tcBorders>
            <w:vMerge w:val="continue"/>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tcPr>
          <w:p>
            <w:pPr>
              <w:spacing w:after="0"/>
              <w:rPr>
                <w:sz w:val="20"/>
                <w:szCs w:val="20"/>
                <w:color w:val="auto"/>
              </w:rPr>
            </w:pPr>
          </w:p>
        </w:tc>
        <w:tc>
          <w:tcPr>
            <w:tcW w:w="7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w:t>
            </w:r>
          </w:p>
        </w:tc>
        <w:tc>
          <w:tcPr>
            <w:tcW w:w="154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Initial</w:t>
            </w: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Choice B</w:t>
            </w:r>
          </w:p>
        </w:tc>
        <w:tc>
          <w:tcPr>
            <w:tcW w:w="7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I have accepted to deliver only _______ options for repurchase by the Company. I authorize ClearOne</w:t>
            </w:r>
          </w:p>
        </w:tc>
        <w:tc>
          <w:tcPr>
            <w:tcW w:w="1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auto"/>
              <w:right w:val="single" w:sz="8" w:color="auto"/>
            </w:tcBorders>
          </w:tcPr>
          <w:p>
            <w:pPr>
              <w:spacing w:after="0"/>
              <w:rPr>
                <w:sz w:val="9"/>
                <w:szCs w:val="9"/>
                <w:color w:val="auto"/>
              </w:rPr>
            </w:pPr>
          </w:p>
        </w:tc>
        <w:tc>
          <w:tcPr>
            <w:tcW w:w="7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2"/>
              </w:rPr>
              <w:t>to choose from eligible options, those options that will maximize the cash payment to me. I understand</w:t>
            </w: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80" w:type="dxa"/>
            <w:vAlign w:val="bottom"/>
            <w:tcBorders>
              <w:left w:val="single" w:sz="8" w:color="auto"/>
              <w:right w:val="single" w:sz="8" w:color="auto"/>
            </w:tcBorders>
          </w:tcPr>
          <w:p>
            <w:pPr>
              <w:spacing w:after="0"/>
              <w:rPr>
                <w:sz w:val="7"/>
                <w:szCs w:val="7"/>
                <w:color w:val="auto"/>
              </w:rPr>
            </w:pPr>
          </w:p>
        </w:tc>
        <w:tc>
          <w:tcPr>
            <w:tcW w:w="7580" w:type="dxa"/>
            <w:vAlign w:val="bottom"/>
            <w:tcBorders>
              <w:right w:val="single" w:sz="8" w:color="auto"/>
            </w:tcBorders>
            <w:vMerge w:val="continue"/>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7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that ClearOne will choose those options that have the least exercise price.</w:t>
            </w:r>
          </w:p>
        </w:tc>
        <w:tc>
          <w:tcPr>
            <w:tcW w:w="154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Initial</w:t>
            </w: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Choice C</w:t>
            </w:r>
          </w:p>
        </w:tc>
        <w:tc>
          <w:tcPr>
            <w:tcW w:w="7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I have accepted to deliver only _______ options for repurchase by the Company. I have selected the</w:t>
            </w:r>
          </w:p>
        </w:tc>
        <w:tc>
          <w:tcPr>
            <w:tcW w:w="1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auto"/>
              <w:right w:val="single" w:sz="8" w:color="auto"/>
            </w:tcBorders>
          </w:tcPr>
          <w:p>
            <w:pPr>
              <w:spacing w:after="0"/>
              <w:rPr>
                <w:sz w:val="9"/>
                <w:szCs w:val="9"/>
                <w:color w:val="auto"/>
              </w:rPr>
            </w:pPr>
          </w:p>
        </w:tc>
        <w:tc>
          <w:tcPr>
            <w:tcW w:w="7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1"/>
              </w:rPr>
              <w:t>options to be delivered by marking the options in the attached Optionee Statement. I have also initialed</w:t>
            </w: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80" w:type="dxa"/>
            <w:vAlign w:val="bottom"/>
            <w:tcBorders>
              <w:left w:val="single" w:sz="8" w:color="auto"/>
              <w:right w:val="single" w:sz="8" w:color="auto"/>
            </w:tcBorders>
          </w:tcPr>
          <w:p>
            <w:pPr>
              <w:spacing w:after="0"/>
              <w:rPr>
                <w:sz w:val="7"/>
                <w:szCs w:val="7"/>
                <w:color w:val="auto"/>
              </w:rPr>
            </w:pPr>
          </w:p>
        </w:tc>
        <w:tc>
          <w:tcPr>
            <w:tcW w:w="7580" w:type="dxa"/>
            <w:vAlign w:val="bottom"/>
            <w:tcBorders>
              <w:right w:val="single" w:sz="8" w:color="auto"/>
            </w:tcBorders>
            <w:vMerge w:val="continue"/>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7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Optionee Statement.</w:t>
            </w:r>
          </w:p>
        </w:tc>
        <w:tc>
          <w:tcPr>
            <w:tcW w:w="154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Initial</w:t>
            </w: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understand that, by participating in the repurchase offer, I agree to sell these delivered options.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return for delivering these options, I understand that the Company will grant me a cash payment in the amount equal to the difference between closing market price on the date of my communication of accepting this Offer and the exercise price of the delivered options. I also understand that cash payment will be reduced for any applicable tax withholding.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participating in the repurchase offer, I hereby give up my entire ownership interest in all of my delivered options, and understand that those options will become null and void as of the date of my acceptance of the offer.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hereby elect to participate in the repurchase offer dated March 11, 2016 with respect to all of my eligible options.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w:t>
      </w:r>
    </w:p>
    <w:p>
      <w:pPr>
        <w:sectPr>
          <w:pgSz w:w="11900" w:h="16838" w:orient="portrait"/>
          <w:cols w:equalWidth="0" w:num="1">
            <w:col w:w="11420"/>
          </w:cols>
          <w:pgMar w:left="240" w:top="58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OPTIONEE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9900"/>
        </w:rPr>
        <w:t>Name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9900"/>
        </w:rPr>
        <w:t>Address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9900"/>
        </w:rPr>
        <w:t>City, State, Zip</w:t>
      </w:r>
    </w:p>
    <w:p>
      <w:pPr>
        <w:sectPr>
          <w:pgSz w:w="11900" w:h="16838" w:orient="portrait"/>
          <w:cols w:equalWidth="0" w:num="1">
            <w:col w:w="9019"/>
          </w:cols>
          <w:pgMar w:left="1440" w:top="79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6"/>
          <w:szCs w:val="16"/>
          <w:b w:val="1"/>
          <w:bCs w:val="1"/>
          <w:color w:val="0066FF"/>
        </w:rPr>
        <w:t>Date of grant</w:t>
      </w:r>
      <w:r>
        <w:rPr>
          <w:sz w:val="20"/>
          <w:szCs w:val="20"/>
          <w:color w:val="auto"/>
        </w:rPr>
        <w:tab/>
      </w:r>
      <w:r>
        <w:rPr>
          <w:rFonts w:ascii="Arial" w:cs="Arial" w:eastAsia="Arial" w:hAnsi="Arial"/>
          <w:sz w:val="15"/>
          <w:szCs w:val="15"/>
          <w:b w:val="1"/>
          <w:bCs w:val="1"/>
          <w:color w:val="0066FF"/>
        </w:rPr>
        <w:t>Expiry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66FF"/>
        </w:rPr>
        <w:t>Grant 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60"/>
        <w:spacing w:after="0"/>
        <w:rPr>
          <w:sz w:val="20"/>
          <w:szCs w:val="20"/>
          <w:color w:val="auto"/>
        </w:rPr>
      </w:pPr>
      <w:r>
        <w:rPr>
          <w:rFonts w:ascii="Arial" w:cs="Arial" w:eastAsia="Arial" w:hAnsi="Arial"/>
          <w:sz w:val="15"/>
          <w:szCs w:val="15"/>
          <w:b w:val="1"/>
          <w:bCs w:val="1"/>
          <w:color w:val="0066FF"/>
        </w:rPr>
        <w:t>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b w:val="1"/>
          <w:bCs w:val="1"/>
          <w:color w:val="0066FF"/>
        </w:rPr>
        <w:t>Eligible</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color w:val="0066FF"/>
        </w:rPr>
        <w:t>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hanging="53"/>
        <w:spacing w:after="0" w:line="375" w:lineRule="auto"/>
        <w:rPr>
          <w:sz w:val="20"/>
          <w:szCs w:val="20"/>
          <w:color w:val="auto"/>
        </w:rPr>
      </w:pPr>
      <w:r>
        <w:rPr>
          <w:rFonts w:ascii="Arial" w:cs="Arial" w:eastAsia="Arial" w:hAnsi="Arial"/>
          <w:sz w:val="14"/>
          <w:szCs w:val="14"/>
          <w:b w:val="1"/>
          <w:bCs w:val="1"/>
          <w:color w:val="0066FF"/>
        </w:rPr>
        <w:t>Exercise Price for Eligible Options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79"/>
        <w:spacing w:after="0" w:line="326" w:lineRule="auto"/>
        <w:rPr>
          <w:sz w:val="20"/>
          <w:szCs w:val="20"/>
          <w:color w:val="auto"/>
        </w:rPr>
      </w:pPr>
      <w:r>
        <w:rPr>
          <w:rFonts w:ascii="Arial" w:cs="Arial" w:eastAsia="Arial" w:hAnsi="Arial"/>
          <w:sz w:val="14"/>
          <w:szCs w:val="14"/>
          <w:b w:val="1"/>
          <w:bCs w:val="1"/>
          <w:color w:val="0066FF"/>
        </w:rPr>
        <w:t>Repurchase Value of Eligible Options if Stock Price is $12.00 (before taxes)</w:t>
      </w:r>
    </w:p>
    <w:p>
      <w:pPr>
        <w:sectPr>
          <w:pgSz w:w="11900" w:h="16838" w:orient="portrait"/>
          <w:cols w:equalWidth="0" w:num="6">
            <w:col w:w="1960" w:space="340"/>
            <w:col w:w="800" w:space="720"/>
            <w:col w:w="580" w:space="720"/>
            <w:col w:w="540" w:space="480"/>
            <w:col w:w="1180" w:space="200"/>
            <w:col w:w="1499"/>
          </w:cols>
          <w:pgMar w:left="1440" w:top="796" w:right="1440"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CLEARONE INC. LETTERHEAD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March 11,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 Offer to Repurchase Eligible Options for Cash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ClearOne, Inc. (the “Company”) is happy to offer you the opportunity to have the Company repurchase your options to purchase shares of common stock of the Company under the 1998 Stock Option Plan (the “1998 Plan”) and the 2007 Equity Incentive Plan as Amended and Restated Effective December 12, 2014.</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You will be eligible to exercise any options that have already vested or will become vested before March 17, 2016 (“eligible options”). You can find the number of eligible options listed on the Letter of Transmittal that is attached to this letter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as well as in the </w:t>
      </w:r>
      <w:r>
        <w:rPr>
          <w:rFonts w:ascii="Arial" w:cs="Arial" w:eastAsia="Arial" w:hAnsi="Arial"/>
          <w:sz w:val="18"/>
          <w:szCs w:val="18"/>
          <w:b w:val="1"/>
          <w:bCs w:val="1"/>
          <w:u w:val="single" w:color="auto"/>
          <w:color w:val="auto"/>
        </w:rPr>
        <w:t>Optionee Statement</w:t>
      </w:r>
      <w:r>
        <w:rPr>
          <w:rFonts w:ascii="Arial" w:cs="Arial" w:eastAsia="Arial" w:hAnsi="Arial"/>
          <w:sz w:val="18"/>
          <w:szCs w:val="18"/>
          <w:color w:val="auto"/>
        </w:rPr>
        <w:t xml:space="preserve"> attached with this “Offer to Repurchase Eligible Options.” You can choose to deliver all eligible options or only a portion of eligible option for repurchase. The number of eligible options you agree to deliver are referred in these documents as “delivered options”. This repurchase offer allows you to sell your delivered options for a cash payment equal to the difference between closing market price on the date of your communication of accepting this Offer to ClearOne and the exercise price of your delivered options. The repurchase value, less any applicable tax withholding, will be paid as soon as practicable following your acceptance of this offer.</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documents describe this Offer to Repurchase Eligible Options in detail, including possible benefits and risks. Please take the time to review the documents and instructions enclosed with this letter and consider your decision carefully.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conducting this offer to provide you with an alternative means of realizing value from your eligible options. We make no recommendations as to whether you should accept this offer, and we recommend that you consult with your own advisors regarding your decision.</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If you choose to accept this offer, you must complete and return to us the Letter of Transmittal that is attached to this letter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in accordance with the instructions contained in the accompanying offering materials no later than 5:00 P.M., Mountain Time, on March 17,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questions about this offer should be emailed to </w:t>
      </w:r>
      <w:r>
        <w:rPr>
          <w:rFonts w:ascii="Arial" w:cs="Arial" w:eastAsia="Arial" w:hAnsi="Arial"/>
          <w:sz w:val="18"/>
          <w:szCs w:val="18"/>
          <w:u w:val="single" w:color="auto"/>
          <w:color w:val="0000FF"/>
        </w:rPr>
        <w:t>narsi@clearone.com</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/s/Narsi Narayanan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of Finance</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11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May 10,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186690</wp:posOffset>
            </wp:positionV>
            <wp:extent cx="27101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9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380" w:val="left"/>
          <w:tab w:leader="none" w:pos="5000" w:val="left"/>
        </w:tabs>
        <w:rPr>
          <w:sz w:val="20"/>
          <w:szCs w:val="20"/>
          <w:color w:val="auto"/>
        </w:rPr>
      </w:pPr>
      <w:r>
        <w:rPr>
          <w:rFonts w:ascii="Arial" w:cs="Arial" w:eastAsia="Arial" w:hAnsi="Arial"/>
          <w:sz w:val="18"/>
          <w:szCs w:val="18"/>
          <w:color w:val="auto"/>
        </w:rPr>
        <w:t>May 10,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186690</wp:posOffset>
            </wp:positionV>
            <wp:extent cx="3413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0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36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March 31, 2016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May 10,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186690</wp:posOffset>
            </wp:positionV>
            <wp:extent cx="27101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March 31, 2016,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4420" w:val="left"/>
          <w:tab w:leader="none" w:pos="5020" w:val="left"/>
        </w:tabs>
        <w:rPr>
          <w:sz w:val="20"/>
          <w:szCs w:val="20"/>
          <w:color w:val="auto"/>
        </w:rPr>
      </w:pPr>
      <w:r>
        <w:rPr>
          <w:rFonts w:ascii="Arial" w:cs="Arial" w:eastAsia="Arial" w:hAnsi="Arial"/>
          <w:sz w:val="18"/>
          <w:szCs w:val="18"/>
          <w:color w:val="auto"/>
        </w:rPr>
        <w:t>May 10,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186690</wp:posOffset>
            </wp:positionV>
            <wp:extent cx="31642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0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lowerRoman"/>
      <w:start w:val="10"/>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4"/>
    </w:lvl>
  </w:abstractNum>
  <w:abstractNum w:abstractNumId="5">
    <w:nsid w:val="7FDCC233"/>
    <w:multiLevelType w:val="hybridMultilevel"/>
    <w:lvl w:ilvl="0">
      <w:lvlJc w:val="left"/>
      <w:lvlText w:val="%1."/>
      <w:numFmt w:val="decimal"/>
      <w:start w:val="5"/>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1."/>
      <w:numFmt w:val="decimal"/>
      <w:start w:val="7"/>
    </w:lvl>
  </w:abstractNum>
  <w:abstractNum w:abstractNumId="8">
    <w:nsid w:val="6B68079A"/>
    <w:multiLevelType w:val="hybridMultilevel"/>
    <w:lvl w:ilvl="0">
      <w:lvlJc w:val="left"/>
      <w:lvlText w:val="%1."/>
      <w:numFmt w:val="decimal"/>
      <w:start w:val="8"/>
    </w:lvl>
  </w:abstractNum>
  <w:abstractNum w:abstractNumId="9">
    <w:nsid w:val="4E6AFB66"/>
    <w:multiLevelType w:val="hybridMultilevel"/>
    <w:lvl w:ilvl="0">
      <w:lvlJc w:val="left"/>
      <w:lvlText w:val="%1."/>
      <w:numFmt w:val="decimal"/>
      <w:start w:val="9"/>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lowerRoman"/>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6"/>
    </w:lvl>
  </w:abstractNum>
  <w:abstractNum w:abstractNumId="16">
    <w:nsid w:val="62BBD95A"/>
    <w:multiLevelType w:val="hybridMultilevel"/>
    <w:lvl w:ilvl="0">
      <w:lvlJc w:val="left"/>
      <w:lvlText w:val="%1."/>
      <w:numFmt w:val="decimal"/>
      <w:start w:val="8"/>
    </w:lvl>
  </w:abstractNum>
  <w:abstractNum w:abstractNumId="17">
    <w:nsid w:val="436C6125"/>
    <w:multiLevelType w:val="hybridMultilevel"/>
    <w:lvl w:ilvl="0">
      <w:lvlJc w:val="left"/>
      <w:lvlText w:val="%1."/>
      <w:numFmt w:val="decimal"/>
      <w:start w:val="12"/>
    </w:lvl>
  </w:abstractNum>
  <w:abstractNum w:abstractNumId="18">
    <w:nsid w:val="628C895D"/>
    <w:multiLevelType w:val="hybridMultilevel"/>
    <w:lvl w:ilvl="0">
      <w:lvlJc w:val="left"/>
      <w:lvlText w:val="%1."/>
      <w:numFmt w:val="decimal"/>
      <w:start w:val="15"/>
    </w:lvl>
  </w:abstractNum>
  <w:abstractNum w:abstractNumId="19">
    <w:nsid w:val="333AB105"/>
    <w:multiLevelType w:val="hybridMultilevel"/>
    <w:lvl w:ilvl="0">
      <w:lvlJc w:val="left"/>
      <w:lvlText w:val="%1."/>
      <w:numFmt w:val="decimal"/>
      <w:start w:val="16"/>
    </w:lvl>
  </w:abstractNum>
  <w:abstractNum w:abstractNumId="20">
    <w:nsid w:val="721DA317"/>
    <w:multiLevelType w:val="hybridMultilevel"/>
    <w:lvl w:ilvl="0">
      <w:lvlJc w:val="left"/>
      <w:lvlText w:val="%1."/>
      <w:numFmt w:val="decimal"/>
      <w:start w:val="17"/>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2019-12-29T12:22:25Z</dcterms:created>
  <dcterms:modified xsi:type="dcterms:W3CDTF">2019-12-29T12:22:25Z</dcterms:modified>
</cp:coreProperties>
</file>