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
        <w:spacing w:after="0"/>
        <w:tabs>
          <w:tab w:leader="none" w:pos="4769" w:val="left"/>
        </w:tabs>
        <w:rPr>
          <w:sz w:val="20"/>
          <w:szCs w:val="20"/>
          <w:color w:val="auto"/>
        </w:rPr>
      </w:pPr>
      <w:r>
        <w:rPr>
          <w:rFonts w:ascii="Courier New" w:cs="Courier New" w:eastAsia="Courier New" w:hAnsi="Courier New"/>
          <w:sz w:val="15"/>
          <w:szCs w:val="15"/>
          <w:color w:val="auto"/>
        </w:rPr>
        <w:t>As filed with the Securities and Exchange</w:t>
      </w:r>
      <w:r>
        <w:rPr>
          <w:sz w:val="20"/>
          <w:szCs w:val="20"/>
          <w:color w:val="auto"/>
        </w:rPr>
        <w:tab/>
      </w:r>
      <w:r>
        <w:rPr>
          <w:rFonts w:ascii="Courier New" w:cs="Courier New" w:eastAsia="Courier New" w:hAnsi="Courier New"/>
          <w:sz w:val="14"/>
          <w:szCs w:val="14"/>
          <w:color w:val="auto"/>
        </w:rPr>
        <w:t>Registration No. 333-82242</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Commission on May 7, 2002</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204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WASHINGTON, D.C. 20549</w:t>
      </w:r>
    </w:p>
    <w:p>
      <w:pPr>
        <w:spacing w:after="0" w:line="1"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Amendment No. 3</w:t>
      </w:r>
    </w:p>
    <w:p>
      <w:pPr>
        <w:spacing w:after="0" w:line="1" w:lineRule="exact"/>
        <w:rPr>
          <w:sz w:val="24"/>
          <w:szCs w:val="24"/>
          <w:color w:val="auto"/>
        </w:rPr>
      </w:pPr>
    </w:p>
    <w:p>
      <w:pPr>
        <w:ind w:left="3469"/>
        <w:spacing w:after="0"/>
        <w:rPr>
          <w:sz w:val="20"/>
          <w:szCs w:val="20"/>
          <w:color w:val="auto"/>
        </w:rPr>
      </w:pPr>
      <w:r>
        <w:rPr>
          <w:rFonts w:ascii="Courier New" w:cs="Courier New" w:eastAsia="Courier New" w:hAnsi="Courier New"/>
          <w:sz w:val="15"/>
          <w:szCs w:val="15"/>
          <w:color w:val="auto"/>
        </w:rPr>
        <w:t>to</w:t>
      </w:r>
    </w:p>
    <w:p>
      <w:pPr>
        <w:spacing w:after="0" w:line="1" w:lineRule="exact"/>
        <w:rPr>
          <w:sz w:val="24"/>
          <w:szCs w:val="24"/>
          <w:color w:val="auto"/>
        </w:rPr>
      </w:pPr>
    </w:p>
    <w:p>
      <w:pPr>
        <w:ind w:left="3189"/>
        <w:spacing w:after="0"/>
        <w:rPr>
          <w:sz w:val="20"/>
          <w:szCs w:val="20"/>
          <w:color w:val="auto"/>
        </w:rPr>
      </w:pPr>
      <w:r>
        <w:rPr>
          <w:rFonts w:ascii="Courier New" w:cs="Courier New" w:eastAsia="Courier New" w:hAnsi="Courier New"/>
          <w:sz w:val="15"/>
          <w:szCs w:val="15"/>
          <w:color w:val="auto"/>
        </w:rPr>
        <w:t>Form S-4</w:t>
      </w:r>
    </w:p>
    <w:p>
      <w:pPr>
        <w:spacing w:after="0" w:line="1" w:lineRule="exact"/>
        <w:rPr>
          <w:sz w:val="24"/>
          <w:szCs w:val="24"/>
          <w:color w:val="auto"/>
        </w:rPr>
      </w:pPr>
    </w:p>
    <w:p>
      <w:pPr>
        <w:ind w:left="2569"/>
        <w:spacing w:after="0"/>
        <w:rPr>
          <w:sz w:val="20"/>
          <w:szCs w:val="20"/>
          <w:color w:val="auto"/>
        </w:rPr>
      </w:pPr>
      <w:r>
        <w:rPr>
          <w:rFonts w:ascii="Courier New" w:cs="Courier New" w:eastAsia="Courier New" w:hAnsi="Courier New"/>
          <w:sz w:val="15"/>
          <w:szCs w:val="15"/>
          <w:color w:val="auto"/>
        </w:rPr>
        <w:t>REGISTRATION STATEMENT</w:t>
      </w:r>
    </w:p>
    <w:p>
      <w:pPr>
        <w:spacing w:after="0" w:line="1" w:lineRule="exact"/>
        <w:rPr>
          <w:sz w:val="24"/>
          <w:szCs w:val="24"/>
          <w:color w:val="auto"/>
        </w:rPr>
      </w:pPr>
    </w:p>
    <w:p>
      <w:pPr>
        <w:ind w:left="3369"/>
        <w:spacing w:after="0"/>
        <w:rPr>
          <w:sz w:val="20"/>
          <w:szCs w:val="20"/>
          <w:color w:val="auto"/>
        </w:rPr>
      </w:pPr>
      <w:r>
        <w:rPr>
          <w:rFonts w:ascii="Courier New" w:cs="Courier New" w:eastAsia="Courier New" w:hAnsi="Courier New"/>
          <w:sz w:val="15"/>
          <w:szCs w:val="15"/>
          <w:color w:val="auto"/>
        </w:rPr>
        <w:t>UNDER</w:t>
      </w:r>
    </w:p>
    <w:p>
      <w:pPr>
        <w:spacing w:after="0" w:line="1"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THE SECURITIES ACT OF 1933</w:t>
      </w:r>
    </w:p>
    <w:p>
      <w:pPr>
        <w:spacing w:after="0" w:line="1"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2309"/>
        <w:spacing w:after="0"/>
        <w:rPr>
          <w:sz w:val="20"/>
          <w:szCs w:val="20"/>
          <w:color w:val="auto"/>
        </w:rPr>
      </w:pPr>
      <w:r>
        <w:rPr>
          <w:rFonts w:ascii="Courier New" w:cs="Courier New" w:eastAsia="Courier New" w:hAnsi="Courier New"/>
          <w:sz w:val="15"/>
          <w:szCs w:val="15"/>
          <w:color w:val="auto"/>
        </w:rPr>
        <w:t>ClearOne Communications, Inc.</w:t>
      </w:r>
    </w:p>
    <w:p>
      <w:pPr>
        <w:spacing w:after="0" w:line="1" w:lineRule="exact"/>
        <w:rPr>
          <w:sz w:val="24"/>
          <w:szCs w:val="24"/>
          <w:color w:val="auto"/>
        </w:rPr>
      </w:pPr>
    </w:p>
    <w:p>
      <w:pPr>
        <w:ind w:left="1589"/>
        <w:spacing w:after="0"/>
        <w:rPr>
          <w:sz w:val="20"/>
          <w:szCs w:val="20"/>
          <w:color w:val="auto"/>
        </w:rPr>
      </w:pPr>
      <w:r>
        <w:rPr>
          <w:rFonts w:ascii="Courier New" w:cs="Courier New" w:eastAsia="Courier New" w:hAnsi="Courier New"/>
          <w:sz w:val="15"/>
          <w:szCs w:val="15"/>
          <w:color w:val="auto"/>
        </w:rPr>
        <w:t>(formerly Gentner Communications Corporation)</w:t>
      </w:r>
    </w:p>
    <w:p>
      <w:pPr>
        <w:spacing w:after="0" w:line="1" w:lineRule="exact"/>
        <w:rPr>
          <w:sz w:val="24"/>
          <w:szCs w:val="24"/>
          <w:color w:val="auto"/>
        </w:rPr>
      </w:pPr>
    </w:p>
    <w:p>
      <w:pPr>
        <w:ind w:left="1149"/>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 w:lineRule="exact"/>
        <w:rPr>
          <w:sz w:val="24"/>
          <w:szCs w:val="24"/>
          <w:color w:val="auto"/>
        </w:rPr>
      </w:pPr>
    </w:p>
    <w:p>
      <w:pPr>
        <w:ind w:left="709"/>
        <w:spacing w:after="0"/>
        <w:tabs>
          <w:tab w:leader="none" w:pos="3349" w:val="left"/>
          <w:tab w:leader="none" w:pos="5669" w:val="left"/>
        </w:tabs>
        <w:rPr>
          <w:sz w:val="20"/>
          <w:szCs w:val="20"/>
          <w:color w:val="auto"/>
        </w:rPr>
      </w:pPr>
      <w:r>
        <w:rPr>
          <w:rFonts w:ascii="Courier New" w:cs="Courier New" w:eastAsia="Courier New" w:hAnsi="Courier New"/>
          <w:sz w:val="15"/>
          <w:szCs w:val="15"/>
          <w:color w:val="auto"/>
        </w:rPr>
        <w:t>Utah</w:t>
      </w:r>
      <w:r>
        <w:rPr>
          <w:sz w:val="20"/>
          <w:szCs w:val="20"/>
          <w:color w:val="auto"/>
        </w:rPr>
        <w:tab/>
      </w:r>
      <w:r>
        <w:rPr>
          <w:rFonts w:ascii="Courier New" w:cs="Courier New" w:eastAsia="Courier New" w:hAnsi="Courier New"/>
          <w:sz w:val="15"/>
          <w:szCs w:val="15"/>
          <w:color w:val="auto"/>
        </w:rPr>
        <w:t>3663</w:t>
      </w:r>
      <w:r>
        <w:rPr>
          <w:sz w:val="20"/>
          <w:szCs w:val="20"/>
          <w:color w:val="auto"/>
        </w:rPr>
        <w:tab/>
      </w:r>
      <w:r>
        <w:rPr>
          <w:rFonts w:ascii="Courier New" w:cs="Courier New" w:eastAsia="Courier New" w:hAnsi="Courier New"/>
          <w:sz w:val="14"/>
          <w:szCs w:val="14"/>
          <w:color w:val="auto"/>
        </w:rPr>
        <w:t>87-0398877</w:t>
      </w:r>
    </w:p>
    <w:p>
      <w:pPr>
        <w:spacing w:after="0" w:line="1" w:lineRule="exact"/>
        <w:rPr>
          <w:sz w:val="24"/>
          <w:szCs w:val="24"/>
          <w:color w:val="auto"/>
        </w:rPr>
      </w:pPr>
    </w:p>
    <w:p>
      <w:pPr>
        <w:ind w:left="269"/>
        <w:spacing w:after="0"/>
        <w:tabs>
          <w:tab w:leader="none" w:pos="2289" w:val="left"/>
          <w:tab w:leader="none" w:pos="5389" w:val="left"/>
        </w:tabs>
        <w:rPr>
          <w:sz w:val="20"/>
          <w:szCs w:val="20"/>
          <w:color w:val="auto"/>
        </w:rPr>
      </w:pPr>
      <w:r>
        <w:rPr>
          <w:rFonts w:ascii="Courier New" w:cs="Courier New" w:eastAsia="Courier New" w:hAnsi="Courier New"/>
          <w:sz w:val="15"/>
          <w:szCs w:val="15"/>
          <w:color w:val="auto"/>
        </w:rPr>
        <w:t>(State or Other</w:t>
      </w:r>
      <w:r>
        <w:rPr>
          <w:sz w:val="20"/>
          <w:szCs w:val="20"/>
          <w:color w:val="auto"/>
        </w:rPr>
        <w:tab/>
      </w:r>
      <w:r>
        <w:rPr>
          <w:rFonts w:ascii="Courier New" w:cs="Courier New" w:eastAsia="Courier New" w:hAnsi="Courier New"/>
          <w:sz w:val="15"/>
          <w:szCs w:val="15"/>
          <w:color w:val="auto"/>
        </w:rPr>
        <w:t>(Primary Standard Industrial</w:t>
      </w:r>
      <w:r>
        <w:rPr>
          <w:sz w:val="20"/>
          <w:szCs w:val="20"/>
          <w:color w:val="auto"/>
        </w:rPr>
        <w:tab/>
      </w:r>
      <w:r>
        <w:rPr>
          <w:rFonts w:ascii="Courier New" w:cs="Courier New" w:eastAsia="Courier New" w:hAnsi="Courier New"/>
          <w:sz w:val="14"/>
          <w:szCs w:val="14"/>
          <w:color w:val="auto"/>
        </w:rPr>
        <w:t>(I.R.S. Employer</w:t>
      </w:r>
    </w:p>
    <w:p>
      <w:pPr>
        <w:spacing w:after="0" w:line="1" w:lineRule="exact"/>
        <w:rPr>
          <w:sz w:val="24"/>
          <w:szCs w:val="24"/>
          <w:color w:val="auto"/>
        </w:rPr>
      </w:pPr>
    </w:p>
    <w:p>
      <w:pPr>
        <w:ind w:left="269"/>
        <w:spacing w:after="0"/>
        <w:tabs>
          <w:tab w:leader="none" w:pos="2369" w:val="left"/>
          <w:tab w:leader="none" w:pos="5129" w:val="left"/>
        </w:tabs>
        <w:rPr>
          <w:sz w:val="20"/>
          <w:szCs w:val="20"/>
          <w:color w:val="auto"/>
        </w:rPr>
      </w:pPr>
      <w:r>
        <w:rPr>
          <w:rFonts w:ascii="Courier New" w:cs="Courier New" w:eastAsia="Courier New" w:hAnsi="Courier New"/>
          <w:sz w:val="15"/>
          <w:szCs w:val="15"/>
          <w:color w:val="auto"/>
        </w:rPr>
        <w:t>Jurisdiction of</w:t>
      </w:r>
      <w:r>
        <w:rPr>
          <w:sz w:val="20"/>
          <w:szCs w:val="20"/>
          <w:color w:val="auto"/>
        </w:rPr>
        <w:tab/>
      </w:r>
      <w:r>
        <w:rPr>
          <w:rFonts w:ascii="Courier New" w:cs="Courier New" w:eastAsia="Courier New" w:hAnsi="Courier New"/>
          <w:sz w:val="15"/>
          <w:szCs w:val="15"/>
          <w:color w:val="auto"/>
        </w:rPr>
        <w:t>Classification Code Number)</w:t>
      </w:r>
      <w:r>
        <w:rPr>
          <w:sz w:val="20"/>
          <w:szCs w:val="20"/>
          <w:color w:val="auto"/>
        </w:rPr>
        <w:tab/>
      </w:r>
      <w:r>
        <w:rPr>
          <w:rFonts w:ascii="Courier New" w:cs="Courier New" w:eastAsia="Courier New" w:hAnsi="Courier New"/>
          <w:sz w:val="14"/>
          <w:szCs w:val="14"/>
          <w:color w:val="auto"/>
        </w:rPr>
        <w:t>Identification Number)</w:t>
      </w:r>
    </w:p>
    <w:p>
      <w:pPr>
        <w:spacing w:after="0" w:line="1" w:lineRule="exact"/>
        <w:rPr>
          <w:sz w:val="24"/>
          <w:szCs w:val="24"/>
          <w:color w:val="auto"/>
        </w:rPr>
      </w:pPr>
    </w:p>
    <w:p>
      <w:pPr>
        <w:ind w:left="269"/>
        <w:spacing w:after="0"/>
        <w:rPr>
          <w:sz w:val="20"/>
          <w:szCs w:val="20"/>
          <w:color w:val="auto"/>
        </w:rPr>
      </w:pPr>
      <w:r>
        <w:rPr>
          <w:rFonts w:ascii="Courier New" w:cs="Courier New" w:eastAsia="Courier New" w:hAnsi="Courier New"/>
          <w:sz w:val="15"/>
          <w:szCs w:val="15"/>
          <w:color w:val="auto"/>
        </w:rPr>
        <w:t>Incorporation or</w:t>
      </w:r>
    </w:p>
    <w:p>
      <w:pPr>
        <w:spacing w:after="0" w:line="1" w:lineRule="exact"/>
        <w:rPr>
          <w:sz w:val="24"/>
          <w:szCs w:val="24"/>
          <w:color w:val="auto"/>
        </w:rPr>
      </w:pPr>
    </w:p>
    <w:p>
      <w:pPr>
        <w:ind w:left="349"/>
        <w:spacing w:after="0"/>
        <w:rPr>
          <w:sz w:val="20"/>
          <w:szCs w:val="20"/>
          <w:color w:val="auto"/>
        </w:rPr>
      </w:pPr>
      <w:r>
        <w:rPr>
          <w:rFonts w:ascii="Courier New" w:cs="Courier New" w:eastAsia="Courier New" w:hAnsi="Courier New"/>
          <w:sz w:val="15"/>
          <w:szCs w:val="15"/>
          <w:color w:val="auto"/>
        </w:rPr>
        <w:t>Organization)</w:t>
      </w:r>
    </w:p>
    <w:p>
      <w:pPr>
        <w:spacing w:after="0" w:line="1"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1825 Research Way</w:t>
      </w:r>
    </w:p>
    <w:p>
      <w:pPr>
        <w:spacing w:after="0" w:line="1"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Salt Lake City, Utah 84119</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(801) 975-7200</w:t>
      </w:r>
    </w:p>
    <w:p>
      <w:pPr>
        <w:spacing w:after="0" w:line="1" w:lineRule="exact"/>
        <w:rPr>
          <w:sz w:val="24"/>
          <w:szCs w:val="24"/>
          <w:color w:val="auto"/>
        </w:rPr>
      </w:pPr>
    </w:p>
    <w:p>
      <w:pPr>
        <w:ind w:left="349"/>
        <w:spacing w:after="0"/>
        <w:rPr>
          <w:sz w:val="20"/>
          <w:szCs w:val="20"/>
          <w:color w:val="auto"/>
        </w:rPr>
      </w:pPr>
      <w:r>
        <w:rPr>
          <w:rFonts w:ascii="Courier New" w:cs="Courier New" w:eastAsia="Courier New" w:hAnsi="Courier New"/>
          <w:sz w:val="15"/>
          <w:szCs w:val="15"/>
          <w:color w:val="auto"/>
        </w:rPr>
        <w:t>(Address, Including Zip Code, and Telephone Number, Including Area Code,</w:t>
      </w:r>
    </w:p>
    <w:p>
      <w:pPr>
        <w:spacing w:after="0" w:line="1" w:lineRule="exact"/>
        <w:rPr>
          <w:sz w:val="24"/>
          <w:szCs w:val="24"/>
          <w:color w:val="auto"/>
        </w:rPr>
      </w:pPr>
    </w:p>
    <w:p>
      <w:pPr>
        <w:ind w:left="1589"/>
        <w:spacing w:after="0"/>
        <w:rPr>
          <w:sz w:val="20"/>
          <w:szCs w:val="20"/>
          <w:color w:val="auto"/>
        </w:rPr>
      </w:pPr>
      <w:r>
        <w:rPr>
          <w:rFonts w:ascii="Courier New" w:cs="Courier New" w:eastAsia="Courier New" w:hAnsi="Courier New"/>
          <w:sz w:val="15"/>
          <w:szCs w:val="15"/>
          <w:color w:val="auto"/>
        </w:rPr>
        <w:t>of Registrant's Principal Executive Offices)</w:t>
      </w:r>
    </w:p>
    <w:p>
      <w:pPr>
        <w:spacing w:after="0" w:line="1"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Frances M. Flood</w:t>
      </w:r>
    </w:p>
    <w:p>
      <w:pPr>
        <w:spacing w:after="0" w:line="1" w:lineRule="exact"/>
        <w:rPr>
          <w:sz w:val="24"/>
          <w:szCs w:val="24"/>
          <w:color w:val="auto"/>
        </w:rPr>
      </w:pPr>
    </w:p>
    <w:p>
      <w:pPr>
        <w:ind w:left="2309"/>
        <w:spacing w:after="0"/>
        <w:rPr>
          <w:sz w:val="20"/>
          <w:szCs w:val="20"/>
          <w:color w:val="auto"/>
        </w:rPr>
      </w:pPr>
      <w:r>
        <w:rPr>
          <w:rFonts w:ascii="Courier New" w:cs="Courier New" w:eastAsia="Courier New" w:hAnsi="Courier New"/>
          <w:sz w:val="15"/>
          <w:szCs w:val="15"/>
          <w:color w:val="auto"/>
        </w:rPr>
        <w:t>ClearOne Communications, Inc.</w:t>
      </w:r>
    </w:p>
    <w:p>
      <w:pPr>
        <w:spacing w:after="0" w:line="1" w:lineRule="exact"/>
        <w:rPr>
          <w:sz w:val="24"/>
          <w:szCs w:val="24"/>
          <w:color w:val="auto"/>
        </w:rPr>
      </w:pPr>
    </w:p>
    <w:p>
      <w:pPr>
        <w:ind w:left="2849"/>
        <w:spacing w:after="0"/>
        <w:rPr>
          <w:sz w:val="20"/>
          <w:szCs w:val="20"/>
          <w:color w:val="auto"/>
        </w:rPr>
      </w:pPr>
      <w:r>
        <w:rPr>
          <w:rFonts w:ascii="Courier New" w:cs="Courier New" w:eastAsia="Courier New" w:hAnsi="Courier New"/>
          <w:sz w:val="15"/>
          <w:szCs w:val="15"/>
          <w:color w:val="auto"/>
        </w:rPr>
        <w:t>1825 Research Way</w:t>
      </w:r>
    </w:p>
    <w:p>
      <w:pPr>
        <w:spacing w:after="0" w:line="1" w:lineRule="exact"/>
        <w:rPr>
          <w:sz w:val="24"/>
          <w:szCs w:val="24"/>
          <w:color w:val="auto"/>
        </w:rPr>
      </w:pPr>
    </w:p>
    <w:p>
      <w:pPr>
        <w:ind w:left="2389"/>
        <w:spacing w:after="0"/>
        <w:rPr>
          <w:sz w:val="20"/>
          <w:szCs w:val="20"/>
          <w:color w:val="auto"/>
        </w:rPr>
      </w:pPr>
      <w:r>
        <w:rPr>
          <w:rFonts w:ascii="Courier New" w:cs="Courier New" w:eastAsia="Courier New" w:hAnsi="Courier New"/>
          <w:sz w:val="15"/>
          <w:szCs w:val="15"/>
          <w:color w:val="auto"/>
        </w:rPr>
        <w:t>Salt Lake City, Utah 84119</w:t>
      </w:r>
    </w:p>
    <w:p>
      <w:pPr>
        <w:spacing w:after="0" w:line="1" w:lineRule="exact"/>
        <w:rPr>
          <w:sz w:val="24"/>
          <w:szCs w:val="24"/>
          <w:color w:val="auto"/>
        </w:rPr>
      </w:pPr>
    </w:p>
    <w:p>
      <w:pPr>
        <w:ind w:left="2929"/>
        <w:spacing w:after="0"/>
        <w:rPr>
          <w:sz w:val="20"/>
          <w:szCs w:val="20"/>
          <w:color w:val="auto"/>
        </w:rPr>
      </w:pPr>
      <w:r>
        <w:rPr>
          <w:rFonts w:ascii="Courier New" w:cs="Courier New" w:eastAsia="Courier New" w:hAnsi="Courier New"/>
          <w:sz w:val="15"/>
          <w:szCs w:val="15"/>
          <w:color w:val="auto"/>
        </w:rPr>
        <w:t>(801) 975-7200</w:t>
      </w:r>
    </w:p>
    <w:p>
      <w:pPr>
        <w:spacing w:after="0" w:line="1" w:lineRule="exact"/>
        <w:rPr>
          <w:sz w:val="24"/>
          <w:szCs w:val="24"/>
          <w:color w:val="auto"/>
        </w:rPr>
      </w:pPr>
    </w:p>
    <w:p>
      <w:pPr>
        <w:ind w:left="629"/>
        <w:spacing w:after="0"/>
        <w:rPr>
          <w:sz w:val="20"/>
          <w:szCs w:val="20"/>
          <w:color w:val="auto"/>
        </w:rPr>
      </w:pPr>
      <w:r>
        <w:rPr>
          <w:rFonts w:ascii="Courier New" w:cs="Courier New" w:eastAsia="Courier New" w:hAnsi="Courier New"/>
          <w:sz w:val="15"/>
          <w:szCs w:val="15"/>
          <w:color w:val="auto"/>
        </w:rPr>
        <w:t>(Name, Address, Including Zip Code, and Telephone Number, Including</w:t>
      </w:r>
    </w:p>
    <w:p>
      <w:pPr>
        <w:spacing w:after="0" w:line="1" w:lineRule="exact"/>
        <w:rPr>
          <w:sz w:val="24"/>
          <w:szCs w:val="24"/>
          <w:color w:val="auto"/>
        </w:rPr>
      </w:pPr>
    </w:p>
    <w:p>
      <w:pPr>
        <w:ind w:left="2129"/>
        <w:spacing w:after="0"/>
        <w:rPr>
          <w:sz w:val="20"/>
          <w:szCs w:val="20"/>
          <w:color w:val="auto"/>
        </w:rPr>
      </w:pPr>
      <w:r>
        <w:rPr>
          <w:rFonts w:ascii="Courier New" w:cs="Courier New" w:eastAsia="Courier New" w:hAnsi="Courier New"/>
          <w:sz w:val="15"/>
          <w:szCs w:val="15"/>
          <w:color w:val="auto"/>
        </w:rPr>
        <w:t>Area Code, of Agent For Service)</w:t>
      </w:r>
    </w:p>
    <w:p>
      <w:pPr>
        <w:spacing w:after="0" w:line="1" w:lineRule="exact"/>
        <w:rPr>
          <w:sz w:val="24"/>
          <w:szCs w:val="24"/>
          <w:color w:val="auto"/>
        </w:rPr>
      </w:pPr>
    </w:p>
    <w:p>
      <w:pPr>
        <w:ind w:left="3109"/>
        <w:spacing w:after="0"/>
        <w:rPr>
          <w:sz w:val="20"/>
          <w:szCs w:val="20"/>
          <w:color w:val="auto"/>
        </w:rPr>
      </w:pPr>
      <w:r>
        <w:rPr>
          <w:rFonts w:ascii="Courier New" w:cs="Courier New" w:eastAsia="Courier New" w:hAnsi="Courier New"/>
          <w:sz w:val="15"/>
          <w:szCs w:val="15"/>
          <w:color w:val="auto"/>
        </w:rPr>
        <w:t>Copies to:</w:t>
      </w:r>
    </w:p>
    <w:p>
      <w:pPr>
        <w:spacing w:after="0" w:line="1" w:lineRule="exact"/>
        <w:rPr>
          <w:sz w:val="24"/>
          <w:szCs w:val="24"/>
          <w:color w:val="auto"/>
        </w:rPr>
      </w:pPr>
    </w:p>
    <w:p>
      <w:pPr>
        <w:ind w:left="709"/>
        <w:spacing w:after="0"/>
        <w:tabs>
          <w:tab w:leader="none" w:pos="4329" w:val="left"/>
        </w:tabs>
        <w:rPr>
          <w:sz w:val="20"/>
          <w:szCs w:val="20"/>
          <w:color w:val="auto"/>
        </w:rPr>
      </w:pPr>
      <w:r>
        <w:rPr>
          <w:rFonts w:ascii="Courier New" w:cs="Courier New" w:eastAsia="Courier New" w:hAnsi="Courier New"/>
          <w:sz w:val="15"/>
          <w:szCs w:val="15"/>
          <w:color w:val="auto"/>
        </w:rPr>
        <w:t>Robert Ribeiro, Esq.</w:t>
      </w:r>
      <w:r>
        <w:rPr>
          <w:sz w:val="20"/>
          <w:szCs w:val="20"/>
          <w:color w:val="auto"/>
        </w:rPr>
        <w:tab/>
      </w:r>
      <w:r>
        <w:rPr>
          <w:rFonts w:ascii="Courier New" w:cs="Courier New" w:eastAsia="Courier New" w:hAnsi="Courier New"/>
          <w:sz w:val="14"/>
          <w:szCs w:val="14"/>
          <w:color w:val="auto"/>
        </w:rPr>
        <w:t>Robinson Alston, Esq.</w:t>
      </w:r>
    </w:p>
    <w:p>
      <w:pPr>
        <w:spacing w:after="0" w:line="1" w:lineRule="exact"/>
        <w:rPr>
          <w:sz w:val="24"/>
          <w:szCs w:val="24"/>
          <w:color w:val="auto"/>
        </w:rPr>
      </w:pPr>
    </w:p>
    <w:p>
      <w:pPr>
        <w:ind w:left="629"/>
        <w:spacing w:after="0"/>
        <w:tabs>
          <w:tab w:leader="none" w:pos="4249" w:val="left"/>
        </w:tabs>
        <w:rPr>
          <w:sz w:val="20"/>
          <w:szCs w:val="20"/>
          <w:color w:val="auto"/>
        </w:rPr>
      </w:pPr>
      <w:r>
        <w:rPr>
          <w:rFonts w:ascii="Courier New" w:cs="Courier New" w:eastAsia="Courier New" w:hAnsi="Courier New"/>
          <w:sz w:val="15"/>
          <w:szCs w:val="15"/>
          <w:color w:val="auto"/>
        </w:rPr>
        <w:t>Julius Davidson, Esq.</w:t>
      </w:r>
      <w:r>
        <w:rPr>
          <w:sz w:val="20"/>
          <w:szCs w:val="20"/>
          <w:color w:val="auto"/>
        </w:rPr>
        <w:tab/>
      </w:r>
      <w:r>
        <w:rPr>
          <w:rFonts w:ascii="Courier New" w:cs="Courier New" w:eastAsia="Courier New" w:hAnsi="Courier New"/>
          <w:sz w:val="14"/>
          <w:szCs w:val="14"/>
          <w:color w:val="auto"/>
        </w:rPr>
        <w:t>Rakesh J. Govindji, Esq.</w:t>
      </w:r>
    </w:p>
    <w:p>
      <w:pPr>
        <w:spacing w:after="0" w:line="1" w:lineRule="exact"/>
        <w:rPr>
          <w:sz w:val="24"/>
          <w:szCs w:val="24"/>
          <w:color w:val="auto"/>
        </w:rPr>
      </w:pPr>
    </w:p>
    <w:p>
      <w:pPr>
        <w:ind w:left="529"/>
        <w:spacing w:after="0"/>
        <w:tabs>
          <w:tab w:leader="none" w:pos="3529" w:val="left"/>
        </w:tabs>
        <w:rPr>
          <w:sz w:val="20"/>
          <w:szCs w:val="20"/>
          <w:color w:val="auto"/>
        </w:rPr>
      </w:pPr>
      <w:r>
        <w:rPr>
          <w:rFonts w:ascii="Courier New" w:cs="Courier New" w:eastAsia="Courier New" w:hAnsi="Courier New"/>
          <w:sz w:val="15"/>
          <w:szCs w:val="15"/>
          <w:color w:val="auto"/>
        </w:rPr>
        <w:t>Fredrikson &amp; Byron, P.A.</w:t>
      </w:r>
      <w:r>
        <w:rPr>
          <w:sz w:val="20"/>
          <w:szCs w:val="20"/>
          <w:color w:val="auto"/>
        </w:rPr>
        <w:tab/>
      </w:r>
      <w:r>
        <w:rPr>
          <w:rFonts w:ascii="Courier New" w:cs="Courier New" w:eastAsia="Courier New" w:hAnsi="Courier New"/>
          <w:sz w:val="14"/>
          <w:szCs w:val="14"/>
          <w:color w:val="auto"/>
        </w:rPr>
        <w:t>Jones, Waldo, Holbrook &amp; McDonough, P.C.</w:t>
      </w:r>
    </w:p>
    <w:p>
      <w:pPr>
        <w:spacing w:after="0" w:line="1" w:lineRule="exact"/>
        <w:rPr>
          <w:sz w:val="24"/>
          <w:szCs w:val="24"/>
          <w:color w:val="auto"/>
        </w:rPr>
      </w:pPr>
    </w:p>
    <w:p>
      <w:pPr>
        <w:ind w:left="449"/>
        <w:spacing w:after="0"/>
        <w:tabs>
          <w:tab w:leader="none" w:pos="4329" w:val="left"/>
        </w:tabs>
        <w:rPr>
          <w:sz w:val="20"/>
          <w:szCs w:val="20"/>
          <w:color w:val="auto"/>
        </w:rPr>
      </w:pPr>
      <w:r>
        <w:rPr>
          <w:rFonts w:ascii="Courier New" w:cs="Courier New" w:eastAsia="Courier New" w:hAnsi="Courier New"/>
          <w:sz w:val="15"/>
          <w:szCs w:val="15"/>
          <w:color w:val="auto"/>
        </w:rPr>
        <w:t>1100 International Centre</w:t>
      </w:r>
      <w:r>
        <w:rPr>
          <w:sz w:val="20"/>
          <w:szCs w:val="20"/>
          <w:color w:val="auto"/>
        </w:rPr>
        <w:tab/>
      </w:r>
      <w:r>
        <w:rPr>
          <w:rFonts w:ascii="Courier New" w:cs="Courier New" w:eastAsia="Courier New" w:hAnsi="Courier New"/>
          <w:sz w:val="14"/>
          <w:szCs w:val="14"/>
          <w:color w:val="auto"/>
        </w:rPr>
        <w:t>1500 Wells Fargo Plaza</w:t>
      </w:r>
    </w:p>
    <w:p>
      <w:pPr>
        <w:spacing w:after="0" w:line="1" w:lineRule="exact"/>
        <w:rPr>
          <w:sz w:val="24"/>
          <w:szCs w:val="24"/>
          <w:color w:val="auto"/>
        </w:rPr>
      </w:pPr>
    </w:p>
    <w:p>
      <w:pPr>
        <w:ind w:left="529"/>
        <w:spacing w:after="0"/>
        <w:tabs>
          <w:tab w:leader="none" w:pos="4329" w:val="left"/>
        </w:tabs>
        <w:rPr>
          <w:sz w:val="20"/>
          <w:szCs w:val="20"/>
          <w:color w:val="auto"/>
        </w:rPr>
      </w:pPr>
      <w:r>
        <w:rPr>
          <w:rFonts w:ascii="Courier New" w:cs="Courier New" w:eastAsia="Courier New" w:hAnsi="Courier New"/>
          <w:sz w:val="15"/>
          <w:szCs w:val="15"/>
          <w:color w:val="auto"/>
        </w:rPr>
        <w:t>900 Second Avenue South</w:t>
      </w:r>
      <w:r>
        <w:rPr>
          <w:sz w:val="20"/>
          <w:szCs w:val="20"/>
          <w:color w:val="auto"/>
        </w:rPr>
        <w:tab/>
      </w:r>
      <w:r>
        <w:rPr>
          <w:rFonts w:ascii="Courier New" w:cs="Courier New" w:eastAsia="Courier New" w:hAnsi="Courier New"/>
          <w:sz w:val="14"/>
          <w:szCs w:val="14"/>
          <w:color w:val="auto"/>
        </w:rPr>
        <w:t>170 South Main Street</w:t>
      </w:r>
    </w:p>
    <w:p>
      <w:pPr>
        <w:spacing w:after="0" w:line="1" w:lineRule="exact"/>
        <w:rPr>
          <w:sz w:val="24"/>
          <w:szCs w:val="24"/>
          <w:color w:val="auto"/>
        </w:rPr>
      </w:pPr>
    </w:p>
    <w:p>
      <w:pPr>
        <w:ind w:left="629"/>
        <w:spacing w:after="0"/>
        <w:tabs>
          <w:tab w:leader="none" w:pos="4149" w:val="left"/>
        </w:tabs>
        <w:rPr>
          <w:sz w:val="20"/>
          <w:szCs w:val="20"/>
          <w:color w:val="auto"/>
        </w:rPr>
      </w:pPr>
      <w:r>
        <w:rPr>
          <w:rFonts w:ascii="Courier New" w:cs="Courier New" w:eastAsia="Courier New" w:hAnsi="Courier New"/>
          <w:sz w:val="15"/>
          <w:szCs w:val="15"/>
          <w:color w:val="auto"/>
        </w:rPr>
        <w:t>Minneapolis, MN 55402</w:t>
      </w:r>
      <w:r>
        <w:rPr>
          <w:sz w:val="20"/>
          <w:szCs w:val="20"/>
          <w:color w:val="auto"/>
        </w:rPr>
        <w:tab/>
      </w:r>
      <w:r>
        <w:rPr>
          <w:rFonts w:ascii="Courier New" w:cs="Courier New" w:eastAsia="Courier New" w:hAnsi="Courier New"/>
          <w:sz w:val="14"/>
          <w:szCs w:val="14"/>
          <w:color w:val="auto"/>
        </w:rPr>
        <w:t>Salt Lake City, Utah 84101</w:t>
      </w:r>
    </w:p>
    <w:p>
      <w:pPr>
        <w:spacing w:after="0" w:line="1" w:lineRule="exact"/>
        <w:rPr>
          <w:sz w:val="24"/>
          <w:szCs w:val="24"/>
          <w:color w:val="auto"/>
        </w:rPr>
      </w:pPr>
    </w:p>
    <w:p>
      <w:pPr>
        <w:ind w:left="969"/>
        <w:spacing w:after="0"/>
        <w:tabs>
          <w:tab w:leader="none" w:pos="4689" w:val="left"/>
        </w:tabs>
        <w:rPr>
          <w:sz w:val="20"/>
          <w:szCs w:val="20"/>
          <w:color w:val="auto"/>
        </w:rPr>
      </w:pPr>
      <w:r>
        <w:rPr>
          <w:rFonts w:ascii="Courier New" w:cs="Courier New" w:eastAsia="Courier New" w:hAnsi="Courier New"/>
          <w:sz w:val="15"/>
          <w:szCs w:val="15"/>
          <w:color w:val="auto"/>
        </w:rPr>
        <w:t>(612) 347-7000</w:t>
      </w:r>
      <w:r>
        <w:rPr>
          <w:sz w:val="20"/>
          <w:szCs w:val="20"/>
          <w:color w:val="auto"/>
        </w:rPr>
        <w:tab/>
      </w:r>
      <w:r>
        <w:rPr>
          <w:rFonts w:ascii="Courier New" w:cs="Courier New" w:eastAsia="Courier New" w:hAnsi="Courier New"/>
          <w:sz w:val="14"/>
          <w:szCs w:val="14"/>
          <w:color w:val="auto"/>
        </w:rPr>
        <w:t>(801) 521-3200</w:t>
      </w:r>
    </w:p>
    <w:p>
      <w:pPr>
        <w:spacing w:after="0" w:line="1"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Approximate date of commencement of proposed sale to the public:</w:t>
      </w:r>
    </w:p>
    <w:p>
      <w:pPr>
        <w:spacing w:after="0" w:line="3" w:lineRule="exact"/>
        <w:rPr>
          <w:sz w:val="24"/>
          <w:szCs w:val="24"/>
          <w:color w:val="auto"/>
        </w:rPr>
      </w:pPr>
    </w:p>
    <w:p>
      <w:pPr>
        <w:ind w:left="9" w:right="3299"/>
        <w:spacing w:after="0" w:line="238" w:lineRule="auto"/>
        <w:rPr>
          <w:sz w:val="20"/>
          <w:szCs w:val="20"/>
          <w:color w:val="auto"/>
        </w:rPr>
      </w:pPr>
      <w:r>
        <w:rPr>
          <w:rFonts w:ascii="Courier New" w:cs="Courier New" w:eastAsia="Courier New" w:hAnsi="Courier New"/>
          <w:sz w:val="15"/>
          <w:szCs w:val="15"/>
          <w:color w:val="auto"/>
        </w:rPr>
        <w:t>As soon as practicable after this registration statement becomes effective and upon consummation of the merger described in the enclosed prospectus.</w:t>
      </w:r>
    </w:p>
    <w:p>
      <w:pPr>
        <w:spacing w:after="0" w:line="2"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3" w:lineRule="exact"/>
        <w:rPr>
          <w:sz w:val="24"/>
          <w:szCs w:val="24"/>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If any of the securities being registered on this form are being offered in connection with the formation of a holding company and there is compliance with General Instruction G, check the following box. |_|</w:t>
      </w:r>
    </w:p>
    <w:p>
      <w:pPr>
        <w:spacing w:after="0" w:line="4" w:lineRule="exact"/>
        <w:rPr>
          <w:sz w:val="24"/>
          <w:szCs w:val="24"/>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|_|</w:t>
      </w:r>
    </w:p>
    <w:p>
      <w:pPr>
        <w:spacing w:after="0" w:line="6" w:lineRule="exact"/>
        <w:rPr>
          <w:sz w:val="24"/>
          <w:szCs w:val="24"/>
          <w:color w:val="auto"/>
        </w:rPr>
      </w:pPr>
    </w:p>
    <w:p>
      <w:pPr>
        <w:jc w:val="both"/>
        <w:ind w:left="9" w:right="3119" w:firstLine="444"/>
        <w:spacing w:after="0" w:line="239" w:lineRule="auto"/>
        <w:rPr>
          <w:sz w:val="20"/>
          <w:szCs w:val="20"/>
          <w:color w:val="auto"/>
        </w:rPr>
      </w:pPr>
      <w:r>
        <w:rPr>
          <w:rFonts w:ascii="Courier New" w:cs="Courier New" w:eastAsia="Courier New" w:hAnsi="Courier New"/>
          <w:sz w:val="15"/>
          <w:szCs w:val="15"/>
          <w:color w:val="auto"/>
        </w:rPr>
        <w:t>If this form is a post-effective amendment filed pursuant to Rule 462(d) under the Securities Act, check the following box and list the Securities Act registration statement number of the earlier effective registration statement for the same offering. |_|</w:t>
      </w:r>
    </w:p>
    <w:p>
      <w:pPr>
        <w:spacing w:after="0" w:line="3"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w:t>
      </w:r>
    </w:p>
    <w:p>
      <w:pPr>
        <w:spacing w:after="0" w:line="171" w:lineRule="exact"/>
        <w:rPr>
          <w:sz w:val="24"/>
          <w:szCs w:val="24"/>
          <w:color w:val="auto"/>
        </w:rPr>
      </w:pPr>
    </w:p>
    <w:p>
      <w:pPr>
        <w:ind w:left="2209"/>
        <w:spacing w:after="0"/>
        <w:rPr>
          <w:sz w:val="20"/>
          <w:szCs w:val="20"/>
          <w:color w:val="auto"/>
        </w:rPr>
      </w:pPr>
      <w:r>
        <w:rPr>
          <w:rFonts w:ascii="Courier New" w:cs="Courier New" w:eastAsia="Courier New" w:hAnsi="Courier New"/>
          <w:sz w:val="15"/>
          <w:szCs w:val="15"/>
          <w:color w:val="auto"/>
        </w:rPr>
        <w:t>CALCULATION OF REGISTRATION FEE</w:t>
      </w:r>
    </w:p>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 =================== ================= ================== ==================</w:t>
      </w:r>
    </w:p>
    <w:p>
      <w:pPr>
        <w:spacing w:after="0" w:line="171" w:lineRule="exact"/>
        <w:rPr>
          <w:sz w:val="24"/>
          <w:szCs w:val="24"/>
          <w:color w:val="auto"/>
        </w:rPr>
      </w:pPr>
    </w:p>
    <w:tbl>
      <w:tblPr>
        <w:tblLayout w:type="fixed"/>
        <w:tblInd w:w="789" w:type="dxa"/>
        <w:tblCellMar>
          <w:top w:w="0" w:type="dxa"/>
          <w:left w:w="0" w:type="dxa"/>
          <w:bottom w:w="0" w:type="dxa"/>
          <w:right w:w="0" w:type="dxa"/>
        </w:tblCellMar>
      </w:tblPr>
      <w:tr>
        <w:trPr>
          <w:trHeight w:val="170"/>
        </w:trPr>
        <w:tc>
          <w:tcPr>
            <w:tcW w:w="1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7"/>
              </w:rPr>
              <w:t>Proposed</w:t>
            </w:r>
          </w:p>
        </w:tc>
        <w:tc>
          <w:tcPr>
            <w:tcW w:w="1600" w:type="dxa"/>
            <w:vAlign w:val="bottom"/>
          </w:tcPr>
          <w:p>
            <w:pPr>
              <w:spacing w:after="0"/>
              <w:rPr>
                <w:sz w:val="14"/>
                <w:szCs w:val="14"/>
                <w:color w:val="auto"/>
              </w:rPr>
            </w:pPr>
          </w:p>
        </w:tc>
      </w:tr>
      <w:tr>
        <w:trPr>
          <w:trHeight w:val="171"/>
        </w:trPr>
        <w:tc>
          <w:tcPr>
            <w:tcW w:w="1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rPr>
              <w:t>Proposed</w:t>
            </w:r>
          </w:p>
        </w:tc>
        <w:tc>
          <w:tcPr>
            <w:tcW w:w="158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Maximum</w:t>
            </w:r>
          </w:p>
        </w:tc>
        <w:tc>
          <w:tcPr>
            <w:tcW w:w="1600" w:type="dxa"/>
            <w:vAlign w:val="bottom"/>
          </w:tcPr>
          <w:p>
            <w:pPr>
              <w:spacing w:after="0"/>
              <w:rPr>
                <w:sz w:val="14"/>
                <w:szCs w:val="14"/>
                <w:color w:val="auto"/>
              </w:rPr>
            </w:pPr>
          </w:p>
        </w:tc>
      </w:tr>
      <w:tr>
        <w:trPr>
          <w:trHeight w:val="171"/>
        </w:trPr>
        <w:tc>
          <w:tcPr>
            <w:tcW w:w="1700" w:type="dxa"/>
            <w:vAlign w:val="bottom"/>
          </w:tcPr>
          <w:p>
            <w:pPr>
              <w:ind w:left="280"/>
              <w:spacing w:after="0"/>
              <w:rPr>
                <w:sz w:val="20"/>
                <w:szCs w:val="20"/>
                <w:color w:val="auto"/>
              </w:rPr>
            </w:pPr>
            <w:r>
              <w:rPr>
                <w:rFonts w:ascii="Courier New" w:cs="Courier New" w:eastAsia="Courier New" w:hAnsi="Courier New"/>
                <w:sz w:val="15"/>
                <w:szCs w:val="15"/>
                <w:color w:val="auto"/>
              </w:rPr>
              <w:t>Title of</w:t>
            </w:r>
          </w:p>
        </w:tc>
        <w:tc>
          <w:tcPr>
            <w:tcW w:w="1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0" w:type="dxa"/>
            <w:vAlign w:val="bottom"/>
          </w:tcPr>
          <w:p>
            <w:pPr>
              <w:ind w:left="440"/>
              <w:spacing w:after="0"/>
              <w:rPr>
                <w:sz w:val="20"/>
                <w:szCs w:val="20"/>
                <w:color w:val="auto"/>
              </w:rPr>
            </w:pPr>
            <w:r>
              <w:rPr>
                <w:rFonts w:ascii="Courier New" w:cs="Courier New" w:eastAsia="Courier New" w:hAnsi="Courier New"/>
                <w:sz w:val="15"/>
                <w:szCs w:val="15"/>
                <w:color w:val="auto"/>
              </w:rPr>
              <w:t>Maximum</w:t>
            </w:r>
          </w:p>
        </w:tc>
        <w:tc>
          <w:tcPr>
            <w:tcW w:w="1580" w:type="dxa"/>
            <w:vAlign w:val="bottom"/>
          </w:tcPr>
          <w:p>
            <w:pPr>
              <w:jc w:val="center"/>
              <w:ind w:left="26"/>
              <w:spacing w:after="0"/>
              <w:rPr>
                <w:sz w:val="20"/>
                <w:szCs w:val="20"/>
                <w:color w:val="auto"/>
              </w:rPr>
            </w:pPr>
            <w:r>
              <w:rPr>
                <w:rFonts w:ascii="Courier New" w:cs="Courier New" w:eastAsia="Courier New" w:hAnsi="Courier New"/>
                <w:sz w:val="15"/>
                <w:szCs w:val="15"/>
                <w:color w:val="auto"/>
                <w:w w:val="98"/>
              </w:rPr>
              <w:t>Aggregate</w:t>
            </w:r>
          </w:p>
        </w:tc>
        <w:tc>
          <w:tcPr>
            <w:tcW w:w="1600" w:type="dxa"/>
            <w:vAlign w:val="bottom"/>
          </w:tcPr>
          <w:p>
            <w:pPr>
              <w:spacing w:after="0"/>
              <w:rPr>
                <w:sz w:val="14"/>
                <w:szCs w:val="14"/>
                <w:color w:val="auto"/>
              </w:rPr>
            </w:pPr>
          </w:p>
        </w:tc>
      </w:tr>
      <w:tr>
        <w:trPr>
          <w:trHeight w:val="171"/>
        </w:trPr>
        <w:tc>
          <w:tcPr>
            <w:tcW w:w="1700" w:type="dxa"/>
            <w:vAlign w:val="bottom"/>
          </w:tcPr>
          <w:p>
            <w:pPr>
              <w:spacing w:after="0"/>
              <w:rPr>
                <w:sz w:val="20"/>
                <w:szCs w:val="20"/>
                <w:color w:val="auto"/>
              </w:rPr>
            </w:pPr>
            <w:r>
              <w:rPr>
                <w:rFonts w:ascii="Courier New" w:cs="Courier New" w:eastAsia="Courier New" w:hAnsi="Courier New"/>
                <w:sz w:val="15"/>
                <w:szCs w:val="15"/>
                <w:color w:val="auto"/>
              </w:rPr>
              <w:t>Securities to</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Amount to</w:t>
            </w:r>
          </w:p>
        </w:tc>
        <w:tc>
          <w:tcPr>
            <w:tcW w:w="500" w:type="dxa"/>
            <w:vAlign w:val="bottom"/>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Offering Price</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w w:val="99"/>
              </w:rPr>
              <w:t>Offering Price</w:t>
            </w:r>
          </w:p>
        </w:tc>
        <w:tc>
          <w:tcPr>
            <w:tcW w:w="1600" w:type="dxa"/>
            <w:vAlign w:val="bottom"/>
          </w:tcPr>
          <w:p>
            <w:pPr>
              <w:ind w:left="540"/>
              <w:spacing w:after="0"/>
              <w:rPr>
                <w:sz w:val="20"/>
                <w:szCs w:val="20"/>
                <w:color w:val="auto"/>
              </w:rPr>
            </w:pPr>
            <w:r>
              <w:rPr>
                <w:rFonts w:ascii="Courier New" w:cs="Courier New" w:eastAsia="Courier New" w:hAnsi="Courier New"/>
                <w:sz w:val="15"/>
                <w:szCs w:val="15"/>
                <w:color w:val="auto"/>
              </w:rPr>
              <w:t>Amount of</w:t>
            </w:r>
          </w:p>
        </w:tc>
      </w:tr>
      <w:tr>
        <w:trPr>
          <w:trHeight w:val="171"/>
        </w:trPr>
        <w:tc>
          <w:tcPr>
            <w:tcW w:w="1700" w:type="dxa"/>
            <w:vAlign w:val="bottom"/>
          </w:tcPr>
          <w:p>
            <w:pPr>
              <w:spacing w:after="0"/>
              <w:rPr>
                <w:sz w:val="20"/>
                <w:szCs w:val="20"/>
                <w:color w:val="auto"/>
              </w:rPr>
            </w:pPr>
            <w:r>
              <w:rPr>
                <w:rFonts w:ascii="Courier New" w:cs="Courier New" w:eastAsia="Courier New" w:hAnsi="Courier New"/>
                <w:sz w:val="15"/>
                <w:szCs w:val="15"/>
                <w:color w:val="auto"/>
              </w:rPr>
              <w:t>Be Registered</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be Registered</w:t>
            </w:r>
          </w:p>
        </w:tc>
        <w:tc>
          <w:tcPr>
            <w:tcW w:w="5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Per Share (2)</w:t>
            </w:r>
          </w:p>
        </w:tc>
        <w:tc>
          <w:tcPr>
            <w:tcW w:w="1580" w:type="dxa"/>
            <w:vAlign w:val="bottom"/>
          </w:tcPr>
          <w:p>
            <w:pPr>
              <w:jc w:val="center"/>
              <w:ind w:left="6"/>
              <w:spacing w:after="0"/>
              <w:rPr>
                <w:sz w:val="20"/>
                <w:szCs w:val="20"/>
                <w:color w:val="auto"/>
              </w:rPr>
            </w:pPr>
            <w:r>
              <w:rPr>
                <w:rFonts w:ascii="Courier New" w:cs="Courier New" w:eastAsia="Courier New" w:hAnsi="Courier New"/>
                <w:sz w:val="15"/>
                <w:szCs w:val="15"/>
                <w:color w:val="auto"/>
                <w:w w:val="96"/>
              </w:rPr>
              <w:t>(2)</w:t>
            </w:r>
          </w:p>
        </w:tc>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w w:val="97"/>
              </w:rPr>
              <w:t>Registration Fee</w:t>
            </w:r>
          </w:p>
        </w:tc>
      </w:tr>
    </w:tbl>
    <w:p>
      <w:pPr>
        <w:spacing w:after="0" w:line="3" w:lineRule="exact"/>
        <w:rPr>
          <w:sz w:val="24"/>
          <w:szCs w:val="2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2"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180" w:lineRule="exact"/>
        <w:rPr>
          <w:sz w:val="24"/>
          <w:szCs w:val="24"/>
          <w:color w:val="auto"/>
        </w:rPr>
      </w:pPr>
    </w:p>
    <w:tbl>
      <w:tblPr>
        <w:tblLayout w:type="fixed"/>
        <w:tblInd w:w="9" w:type="dxa"/>
        <w:tblCellMar>
          <w:top w:w="0" w:type="dxa"/>
          <w:left w:w="0" w:type="dxa"/>
          <w:bottom w:w="0" w:type="dxa"/>
          <w:right w:w="0" w:type="dxa"/>
        </w:tblCellMar>
      </w:tblPr>
      <w:tr>
        <w:trPr>
          <w:trHeight w:val="170"/>
        </w:trPr>
        <w:tc>
          <w:tcPr>
            <w:tcW w:w="3060" w:type="dxa"/>
            <w:vAlign w:val="bottom"/>
          </w:tcPr>
          <w:p>
            <w:pPr>
              <w:spacing w:after="0"/>
              <w:rPr>
                <w:sz w:val="20"/>
                <w:szCs w:val="20"/>
                <w:color w:val="auto"/>
              </w:rPr>
            </w:pPr>
            <w:r>
              <w:rPr>
                <w:rFonts w:ascii="Courier New" w:cs="Courier New" w:eastAsia="Courier New" w:hAnsi="Courier New"/>
                <w:sz w:val="15"/>
                <w:szCs w:val="15"/>
                <w:color w:val="auto"/>
              </w:rPr>
              <w:t>Common Stock, par value $0.001</w:t>
            </w:r>
          </w:p>
        </w:tc>
        <w:tc>
          <w:tcPr>
            <w:tcW w:w="16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873,000</w:t>
            </w:r>
          </w:p>
        </w:tc>
        <w:tc>
          <w:tcPr>
            <w:tcW w:w="15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$3.13</w:t>
            </w:r>
          </w:p>
        </w:tc>
        <w:tc>
          <w:tcPr>
            <w:tcW w:w="186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$13,161,686</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$1,210.88</w:t>
            </w:r>
          </w:p>
        </w:tc>
      </w:tr>
      <w:tr>
        <w:trPr>
          <w:trHeight w:val="171"/>
        </w:trPr>
        <w:tc>
          <w:tcPr>
            <w:tcW w:w="3060" w:type="dxa"/>
            <w:vAlign w:val="bottom"/>
          </w:tcPr>
          <w:p>
            <w:pPr>
              <w:ind w:left="340"/>
              <w:spacing w:after="0"/>
              <w:rPr>
                <w:sz w:val="20"/>
                <w:szCs w:val="20"/>
                <w:color w:val="auto"/>
              </w:rPr>
            </w:pPr>
            <w:r>
              <w:rPr>
                <w:rFonts w:ascii="Courier New" w:cs="Courier New" w:eastAsia="Courier New" w:hAnsi="Courier New"/>
                <w:sz w:val="15"/>
                <w:szCs w:val="15"/>
                <w:color w:val="auto"/>
              </w:rPr>
              <w:t>per share</w:t>
            </w:r>
          </w:p>
        </w:tc>
        <w:tc>
          <w:tcPr>
            <w:tcW w:w="16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00" w:type="dxa"/>
            <w:vAlign w:val="bottom"/>
          </w:tcPr>
          <w:p>
            <w:pPr>
              <w:spacing w:after="0"/>
              <w:rPr>
                <w:sz w:val="14"/>
                <w:szCs w:val="14"/>
                <w:color w:val="auto"/>
              </w:rPr>
            </w:pPr>
          </w:p>
        </w:tc>
      </w:tr>
    </w:tbl>
    <w:p>
      <w:pPr>
        <w:spacing w:after="0" w:line="1" w:lineRule="exact"/>
        <w:rPr>
          <w:sz w:val="24"/>
          <w:szCs w:val="24"/>
          <w:color w:val="auto"/>
        </w:rPr>
      </w:pPr>
    </w:p>
    <w:p>
      <w:pPr>
        <w:ind w:left="9"/>
        <w:spacing w:after="0"/>
        <w:rPr>
          <w:sz w:val="20"/>
          <w:szCs w:val="20"/>
          <w:color w:val="auto"/>
        </w:rPr>
      </w:pPr>
      <w:r>
        <w:rPr>
          <w:rFonts w:ascii="Courier New" w:cs="Courier New" w:eastAsia="Courier New" w:hAnsi="Courier New"/>
          <w:sz w:val="15"/>
          <w:szCs w:val="15"/>
          <w:color w:val="auto"/>
        </w:rPr>
        <w:t>================================= =================== ================= ================== ==================</w:t>
      </w:r>
    </w:p>
    <w:p>
      <w:pPr>
        <w:spacing w:after="0" w:line="174" w:lineRule="exact"/>
        <w:rPr>
          <w:sz w:val="24"/>
          <w:szCs w:val="24"/>
          <w:color w:val="auto"/>
        </w:rPr>
      </w:pPr>
    </w:p>
    <w:p>
      <w:pPr>
        <w:ind w:left="449" w:right="3299" w:hanging="449"/>
        <w:spacing w:after="0" w:line="239" w:lineRule="auto"/>
        <w:tabs>
          <w:tab w:leader="none" w:pos="4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maximum number of shares of common stock, $0.001 par value per share, of the Registrant issuable in connection with the merger contemplated by the merger agreement.</w:t>
      </w:r>
    </w:p>
    <w:p>
      <w:pPr>
        <w:spacing w:after="0" w:line="4" w:lineRule="exact"/>
        <w:rPr>
          <w:rFonts w:ascii="Courier New" w:cs="Courier New" w:eastAsia="Courier New" w:hAnsi="Courier New"/>
          <w:sz w:val="15"/>
          <w:szCs w:val="15"/>
          <w:color w:val="auto"/>
        </w:rPr>
      </w:pPr>
    </w:p>
    <w:p>
      <w:pPr>
        <w:ind w:left="449" w:right="3119" w:hanging="449"/>
        <w:spacing w:after="0"/>
        <w:tabs>
          <w:tab w:leader="none" w:pos="44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determining the registration fee in accordance with Rule 457(f) and (c) promulgated under the Securities Act. The proposed maximum offering price per share is based on the sum of (A) the product of (i) $3.13 (the average of the high and low prices of common stock, $0.01 par value per share, of E.mergent, Inc. on January 31, 2002 as reported on the Nasdaq SmallCap Market) times (ii) the maximum number of shares of E.mergent common stock to be received by the registrant or canceled pursuant to the merger, minus (B) $7,300,000 (the maximum amount of cash to be paid in exchange for the E.mergent common stock in addition to the shares of Registrant common stock to be issued in the transaction). The proposed maximum offering price per share is based on the proposed maximum aggregate offering price divided by the number of shares to be registered</w:t>
      </w:r>
    </w:p>
    <w:p>
      <w:pPr>
        <w:spacing w:after="0" w:line="180" w:lineRule="exact"/>
        <w:rPr>
          <w:sz w:val="24"/>
          <w:szCs w:val="24"/>
          <w:color w:val="auto"/>
        </w:rPr>
      </w:pPr>
    </w:p>
    <w:p>
      <w:pPr>
        <w:ind w:left="9" w:right="3219"/>
        <w:spacing w:after="0" w:line="264" w:lineRule="auto"/>
        <w:rPr>
          <w:sz w:val="20"/>
          <w:szCs w:val="20"/>
          <w:color w:val="auto"/>
        </w:rPr>
      </w:pPr>
      <w:r>
        <w:rPr>
          <w:rFonts w:ascii="Courier New" w:cs="Courier New" w:eastAsia="Courier New" w:hAnsi="Courier New"/>
          <w:sz w:val="14"/>
          <w:szCs w:val="14"/>
          <w:color w:val="auto"/>
        </w:rPr>
        <w:t>The Registrant hereby amends this Registration Statement on such date or dates as may be necessary to delay its effective date until the Registrant shall file a further amendment which specifically states that this Registration Statement</w:t>
      </w:r>
    </w:p>
    <w:p>
      <w:pPr>
        <w:sectPr>
          <w:pgSz w:w="11900" w:h="16838" w:orient="portrait"/>
          <w:cols w:equalWidth="0" w:num="1">
            <w:col w:w="10228"/>
          </w:cols>
          <w:pgMar w:left="231" w:top="230" w:right="1440" w:bottom="0" w:gutter="0" w:footer="0" w:header="0"/>
        </w:sectPr>
      </w:pPr>
    </w:p>
    <w:bookmarkStart w:id="1" w:name="page2"/>
    <w:bookmarkEnd w:id="1"/>
    <w:p>
      <w:pPr>
        <w:ind w:left="9"/>
        <w:spacing w:after="0"/>
        <w:rPr>
          <w:sz w:val="20"/>
          <w:szCs w:val="20"/>
          <w:color w:val="auto"/>
        </w:rPr>
      </w:pPr>
      <w:r>
        <w:rPr>
          <w:rFonts w:ascii="Courier New" w:cs="Courier New" w:eastAsia="Courier New" w:hAnsi="Courier New"/>
          <w:sz w:val="15"/>
          <w:szCs w:val="15"/>
          <w:color w:val="auto"/>
        </w:rPr>
        <w:t>shall thereafter become effective in accordance with Section 8(a) of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Securities Act of 1933, or until this Registration Statement shall become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effective on such date as the Securities Exchange Commission, acting pursuant to</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said Section 8(a), may determine.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E.MERGENT, INC.</w:t>
      </w:r>
    </w:p>
    <w:p>
      <w:pPr>
        <w:spacing w:after="0" w:line="171" w:lineRule="exact"/>
        <w:rPr>
          <w:sz w:val="20"/>
          <w:szCs w:val="20"/>
          <w:color w:val="auto"/>
        </w:rPr>
      </w:pPr>
    </w:p>
    <w:p>
      <w:pPr>
        <w:ind w:left="1589"/>
        <w:spacing w:after="0"/>
        <w:rPr>
          <w:sz w:val="20"/>
          <w:szCs w:val="20"/>
          <w:color w:val="auto"/>
        </w:rPr>
      </w:pPr>
      <w:r>
        <w:rPr>
          <w:rFonts w:ascii="Courier New" w:cs="Courier New" w:eastAsia="Courier New" w:hAnsi="Courier New"/>
          <w:sz w:val="15"/>
          <w:szCs w:val="15"/>
          <w:color w:val="auto"/>
        </w:rPr>
        <w:t>MERGER PROPOSAL - YOUR VOTE IS VERY IMPORTANT</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Dear Stockholders:</w:t>
      </w:r>
    </w:p>
    <w:p>
      <w:pPr>
        <w:spacing w:after="0" w:line="174" w:lineRule="exact"/>
        <w:rPr>
          <w:sz w:val="20"/>
          <w:szCs w:val="20"/>
          <w:color w:val="auto"/>
        </w:rPr>
      </w:pPr>
    </w:p>
    <w:p>
      <w:pPr>
        <w:ind w:left="9" w:right="3119" w:firstLine="710"/>
        <w:spacing w:after="0"/>
        <w:rPr>
          <w:sz w:val="20"/>
          <w:szCs w:val="20"/>
          <w:color w:val="auto"/>
        </w:rPr>
      </w:pPr>
      <w:r>
        <w:rPr>
          <w:rFonts w:ascii="Courier New" w:cs="Courier New" w:eastAsia="Courier New" w:hAnsi="Courier New"/>
          <w:sz w:val="15"/>
          <w:szCs w:val="15"/>
          <w:color w:val="auto"/>
        </w:rPr>
        <w:t>The board of directors of E.mergent, Inc. has approved a merger in which E.mergent will be purchased by ClearOne Communications, Inc. As a result of the proposed merger, you will become a shareholder of ClearOne. The E.mergent board believes that the complementary product lines and businesses of ClearOne and E.mergent create an overall strategic fit. It also believes that the merger will create synergies and efficiencies that will accelerate product development and technological innovation.</w:t>
      </w:r>
    </w:p>
    <w:p>
      <w:pPr>
        <w:spacing w:after="0" w:line="176"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I cordially invite you to attend our special meeting of shareholders to vote on a proposal to approve the merger and the merger agreement. We cannot complete the merger unless the holders of a majority of the outstanding shares of E.mergent common stock approve it. The date, time, and place of the special meeting are May 31, 2002, 10:00 a.m., local time, E.mergent, Inc., 6110 Golden Hills Drive, Golden Valley, MN 55416.</w:t>
      </w:r>
    </w:p>
    <w:p>
      <w:pPr>
        <w:spacing w:after="0" w:line="175" w:lineRule="exact"/>
        <w:rPr>
          <w:sz w:val="20"/>
          <w:szCs w:val="20"/>
          <w:color w:val="auto"/>
        </w:rPr>
      </w:pPr>
    </w:p>
    <w:p>
      <w:pPr>
        <w:ind w:left="9" w:right="3119" w:firstLine="710"/>
        <w:spacing w:after="0"/>
        <w:rPr>
          <w:sz w:val="20"/>
          <w:szCs w:val="20"/>
          <w:color w:val="auto"/>
        </w:rPr>
      </w:pPr>
      <w:r>
        <w:rPr>
          <w:rFonts w:ascii="Courier New" w:cs="Courier New" w:eastAsia="Courier New" w:hAnsi="Courier New"/>
          <w:sz w:val="15"/>
          <w:szCs w:val="15"/>
          <w:color w:val="auto"/>
        </w:rPr>
        <w:t>Your board of directors has carefully considered the terms and conditions of the merger and has determined that the merger is advisable, in the best interests of our stockholders and on terms that are fair to our stockholders. Accordingly, except for one director who abstained due to a conflict of interest, your board of directors has unanimously approved the merger agreement and the merger and recommends that you vote for adoption and approval of the merger agreement and approval of the merger.</w:t>
      </w:r>
    </w:p>
    <w:p>
      <w:pPr>
        <w:spacing w:after="0" w:line="176" w:lineRule="exact"/>
        <w:rPr>
          <w:sz w:val="20"/>
          <w:szCs w:val="20"/>
          <w:color w:val="auto"/>
        </w:rPr>
      </w:pPr>
    </w:p>
    <w:p>
      <w:pPr>
        <w:ind w:left="9" w:right="3119" w:firstLine="710"/>
        <w:spacing w:after="0" w:line="259" w:lineRule="auto"/>
        <w:rPr>
          <w:sz w:val="20"/>
          <w:szCs w:val="20"/>
          <w:color w:val="auto"/>
        </w:rPr>
      </w:pPr>
      <w:r>
        <w:rPr>
          <w:rFonts w:ascii="Courier New" w:cs="Courier New" w:eastAsia="Courier New" w:hAnsi="Courier New"/>
          <w:sz w:val="14"/>
          <w:szCs w:val="14"/>
          <w:color w:val="auto"/>
        </w:rPr>
        <w:t>If the merger is completed, ClearOne will issue, or reserve for issuance upon the exercise of assumed E.mergent stock options, a total of 873,000 shares of ClearOne common stock and pay a total of $7,300,000 in cash in exchange for all of E.mergent's outstanding common stock shares and stock options. Assuming that E.mergent does not issue any additional shares prior to the merger, for each share of E.mergent common stock you hold, you will receive in the merger between approximately $1.17 to $1.23 in cash and up to approximately 0.145 of a share of ClearOne common stock. The exact amount of cash and stock that you will receive for each E.mergent share depends on the number of E.mergent shares outstanding immediately prior to the completion of the merger, the exercise of E.mergent stock options prior to the merger and other factors. The common stock of ClearOne (which was formerly known as Gentner Communications Corporation) is traded on the Nasdaq National Market System under the symbol "CLRO." On May 3, 2002, the closing price of ClearOne common stock was $17.20 per share.</w:t>
      </w:r>
    </w:p>
    <w:p>
      <w:pPr>
        <w:spacing w:after="0" w:line="164" w:lineRule="exact"/>
        <w:rPr>
          <w:sz w:val="20"/>
          <w:szCs w:val="20"/>
          <w:color w:val="auto"/>
        </w:rPr>
      </w:pPr>
    </w:p>
    <w:p>
      <w:pPr>
        <w:ind w:left="9" w:right="3119" w:firstLine="710"/>
        <w:spacing w:after="0" w:line="259" w:lineRule="auto"/>
        <w:rPr>
          <w:sz w:val="20"/>
          <w:szCs w:val="20"/>
          <w:color w:val="auto"/>
        </w:rPr>
      </w:pPr>
      <w:r>
        <w:rPr>
          <w:rFonts w:ascii="Courier New" w:cs="Courier New" w:eastAsia="Courier New" w:hAnsi="Courier New"/>
          <w:sz w:val="14"/>
          <w:szCs w:val="14"/>
          <w:color w:val="auto"/>
        </w:rPr>
        <w:t>Following this letter you will find a formal notice of the special meeting and a proxy statement/prospectus providing you with detailed information concerning the merger agreement, the merger, E.mergent and ClearOne. In particular, you should carefully consider the discussion in the section entitled "Risk Factors" beginning on page 21 of this document, including those risk factors that are incorporated by reference into this document. It is also accompanied by the most recent annual report on Form 10-KSB for E.mergent, the most recent annual report on Form 10-K for ClearOne, certain other reports previously filed by ClearOne with the Securities and Exchange Commission and certain other relevant documents. You can also obtain information about ClearOne and E.mergent from documents filed with the Securities and Exchange Commission. Please read this entire document carefully.</w:t>
      </w:r>
    </w:p>
    <w:p>
      <w:pPr>
        <w:spacing w:after="0" w:line="336" w:lineRule="exact"/>
        <w:rPr>
          <w:sz w:val="20"/>
          <w:szCs w:val="20"/>
          <w:color w:val="auto"/>
        </w:rPr>
      </w:pPr>
    </w:p>
    <w:p>
      <w:pPr>
        <w:ind w:left="9" w:right="3219" w:firstLine="710"/>
        <w:spacing w:after="0" w:line="239" w:lineRule="auto"/>
        <w:rPr>
          <w:sz w:val="20"/>
          <w:szCs w:val="20"/>
          <w:color w:val="auto"/>
        </w:rPr>
      </w:pPr>
      <w:r>
        <w:rPr>
          <w:rFonts w:ascii="Courier New" w:cs="Courier New" w:eastAsia="Courier New" w:hAnsi="Courier New"/>
          <w:sz w:val="15"/>
          <w:szCs w:val="15"/>
          <w:color w:val="auto"/>
        </w:rPr>
        <w:t>We enthusiastically support the merger and urge you to vote "FOR" the merger and the merger agreement. Thank you, and I look forward to seeing you at the special meeting.</w:t>
      </w:r>
    </w:p>
    <w:p>
      <w:pPr>
        <w:spacing w:after="0" w:line="172"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Sincerely,</w:t>
      </w:r>
    </w:p>
    <w:p>
      <w:pPr>
        <w:spacing w:after="0" w:line="171"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/s/ James W. Hansen</w:t>
      </w:r>
    </w:p>
    <w:p>
      <w:pPr>
        <w:spacing w:after="0" w:line="1" w:lineRule="exact"/>
        <w:rPr>
          <w:sz w:val="20"/>
          <w:szCs w:val="20"/>
          <w:color w:val="auto"/>
        </w:rPr>
      </w:pPr>
    </w:p>
    <w:p>
      <w:pPr>
        <w:ind w:left="3629"/>
        <w:spacing w:after="0"/>
        <w:rPr>
          <w:sz w:val="20"/>
          <w:szCs w:val="20"/>
          <w:color w:val="auto"/>
        </w:rPr>
      </w:pPr>
      <w:r>
        <w:rPr>
          <w:rFonts w:ascii="Courier New" w:cs="Courier New" w:eastAsia="Courier New" w:hAnsi="Courier New"/>
          <w:sz w:val="15"/>
          <w:szCs w:val="15"/>
          <w:color w:val="auto"/>
        </w:rPr>
        <w:t>James W. Hansen</w:t>
      </w:r>
    </w:p>
    <w:p>
      <w:pPr>
        <w:spacing w:after="0" w:line="1" w:lineRule="exact"/>
        <w:rPr>
          <w:sz w:val="20"/>
          <w:szCs w:val="20"/>
          <w:color w:val="auto"/>
        </w:rPr>
      </w:pPr>
    </w:p>
    <w:p>
      <w:pPr>
        <w:jc w:val="center"/>
        <w:ind w:right="-329"/>
        <w:spacing w:after="0"/>
        <w:rPr>
          <w:sz w:val="20"/>
          <w:szCs w:val="20"/>
          <w:color w:val="auto"/>
        </w:rPr>
      </w:pPr>
      <w:r>
        <w:rPr>
          <w:rFonts w:ascii="Courier New" w:cs="Courier New" w:eastAsia="Courier New" w:hAnsi="Courier New"/>
          <w:sz w:val="15"/>
          <w:szCs w:val="15"/>
          <w:color w:val="auto"/>
        </w:rPr>
        <w:t>Chief Executive Officer and President</w:t>
      </w:r>
    </w:p>
    <w:p>
      <w:pPr>
        <w:spacing w:after="0" w:line="174" w:lineRule="exact"/>
        <w:rPr>
          <w:sz w:val="20"/>
          <w:szCs w:val="20"/>
          <w:color w:val="auto"/>
        </w:rPr>
      </w:pP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2" w:lineRule="exact"/>
        <w:rPr>
          <w:rFonts w:ascii="Courier New" w:cs="Courier New" w:eastAsia="Courier New" w:hAnsi="Courier New"/>
          <w:sz w:val="14"/>
          <w:szCs w:val="14"/>
          <w:color w:val="auto"/>
        </w:rPr>
      </w:pPr>
    </w:p>
    <w:p>
      <w:pPr>
        <w:ind w:left="9" w:right="3119"/>
        <w:spacing w:after="0" w:line="258"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SECURITIES AND EXCHANGE COMMISSION NOR ANY STATE SECURITIES COMMISSION HAS APPROVED OR DISAPPROVED OF THE MERGER OR THE SHARES OF CLEARONE'S COMMON STOCK TO BE ISSUED IN THE MERGER, OR DETERMINED IF THIS DOCUMENT IS ACCURATE OR ADEQUATE. ANY REPRESENTATION TO THE CONTRARY IS A CRIMINAL OFFENSE.</w:t>
      </w:r>
    </w:p>
    <w:p>
      <w:pPr>
        <w:ind w:left="169" w:hanging="169"/>
        <w:spacing w:after="0"/>
        <w:tabs>
          <w:tab w:leader="none" w:pos="169"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53" w:lineRule="exact"/>
        <w:rPr>
          <w:sz w:val="20"/>
          <w:szCs w:val="20"/>
          <w:color w:val="auto"/>
        </w:rPr>
      </w:pPr>
    </w:p>
    <w:p>
      <w:pPr>
        <w:ind w:left="9" w:right="4199"/>
        <w:spacing w:after="0" w:line="238" w:lineRule="auto"/>
        <w:rPr>
          <w:sz w:val="20"/>
          <w:szCs w:val="20"/>
          <w:color w:val="auto"/>
        </w:rPr>
      </w:pPr>
      <w:r>
        <w:rPr>
          <w:rFonts w:ascii="Courier New" w:cs="Courier New" w:eastAsia="Courier New" w:hAnsi="Courier New"/>
          <w:sz w:val="15"/>
          <w:szCs w:val="15"/>
          <w:color w:val="auto"/>
        </w:rPr>
        <w:t>This document is dated May 7, 2002 and was first mailed to E.mergent stockholders on or about May 9, 2002.</w:t>
      </w:r>
    </w:p>
    <w:p>
      <w:pPr>
        <w:sectPr>
          <w:pgSz w:w="11900" w:h="16838" w:orient="portrait"/>
          <w:cols w:equalWidth="0" w:num="1">
            <w:col w:w="10228"/>
          </w:cols>
          <w:pgMar w:left="231" w:top="139" w:right="1440" w:bottom="1440" w:gutter="0" w:footer="0" w:header="0"/>
        </w:sectPr>
      </w:pPr>
    </w:p>
    <w:bookmarkStart w:id="2" w:name="page3"/>
    <w:bookmarkEnd w:id="2"/>
    <w:p>
      <w:pPr>
        <w:ind w:left="2929"/>
        <w:spacing w:after="0"/>
        <w:rPr>
          <w:sz w:val="20"/>
          <w:szCs w:val="20"/>
          <w:color w:val="auto"/>
        </w:rPr>
      </w:pPr>
      <w:r>
        <w:rPr>
          <w:rFonts w:ascii="Courier New" w:cs="Courier New" w:eastAsia="Courier New" w:hAnsi="Courier New"/>
          <w:sz w:val="15"/>
          <w:szCs w:val="15"/>
          <w:color w:val="auto"/>
        </w:rPr>
        <w:t>E.MERGENT, INC.</w:t>
      </w:r>
    </w:p>
    <w:p>
      <w:pPr>
        <w:spacing w:after="0" w:line="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6110 Golden Hills Drive</w:t>
      </w:r>
    </w:p>
    <w:p>
      <w:pPr>
        <w:spacing w:after="0" w:line="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Golden Valley, MN 55416</w:t>
      </w:r>
    </w:p>
    <w:p>
      <w:pPr>
        <w:spacing w:after="0" w:line="1"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(763) 542-0061</w:t>
      </w:r>
    </w:p>
    <w:p>
      <w:pPr>
        <w:spacing w:after="0" w:line="171" w:lineRule="exact"/>
        <w:rPr>
          <w:sz w:val="20"/>
          <w:szCs w:val="20"/>
          <w:color w:val="auto"/>
        </w:rPr>
      </w:pPr>
    </w:p>
    <w:p>
      <w:pPr>
        <w:ind w:left="1769"/>
        <w:spacing w:after="0"/>
        <w:rPr>
          <w:sz w:val="20"/>
          <w:szCs w:val="20"/>
          <w:color w:val="auto"/>
        </w:rPr>
      </w:pPr>
      <w:r>
        <w:rPr>
          <w:rFonts w:ascii="Courier New" w:cs="Courier New" w:eastAsia="Courier New" w:hAnsi="Courier New"/>
          <w:sz w:val="15"/>
          <w:szCs w:val="15"/>
          <w:color w:val="auto"/>
        </w:rPr>
        <w:t>NOTICE OF SPECIAL MEETING OF STOCKHOLDERS</w:t>
      </w:r>
    </w:p>
    <w:p>
      <w:pPr>
        <w:spacing w:after="0" w:line="1" w:lineRule="exact"/>
        <w:rPr>
          <w:sz w:val="20"/>
          <w:szCs w:val="20"/>
          <w:color w:val="auto"/>
        </w:rPr>
      </w:pPr>
    </w:p>
    <w:p>
      <w:pPr>
        <w:ind w:left="2389"/>
        <w:spacing w:after="0"/>
        <w:rPr>
          <w:sz w:val="20"/>
          <w:szCs w:val="20"/>
          <w:color w:val="auto"/>
        </w:rPr>
      </w:pPr>
      <w:r>
        <w:rPr>
          <w:rFonts w:ascii="Courier New" w:cs="Courier New" w:eastAsia="Courier New" w:hAnsi="Courier New"/>
          <w:sz w:val="15"/>
          <w:szCs w:val="15"/>
          <w:color w:val="auto"/>
        </w:rPr>
        <w:t>TO BE HELD ON MAY 31, 2002</w:t>
      </w:r>
    </w:p>
    <w:p>
      <w:pPr>
        <w:spacing w:after="0" w:line="17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To the Stockholders of E.mergent, Inc.:</w:t>
      </w:r>
    </w:p>
    <w:p>
      <w:pPr>
        <w:spacing w:after="0" w:line="174" w:lineRule="exact"/>
        <w:rPr>
          <w:sz w:val="20"/>
          <w:szCs w:val="20"/>
          <w:color w:val="auto"/>
        </w:rPr>
      </w:pPr>
    </w:p>
    <w:p>
      <w:pPr>
        <w:ind w:left="9" w:right="3219" w:firstLine="710"/>
        <w:spacing w:after="0" w:line="239" w:lineRule="auto"/>
        <w:rPr>
          <w:sz w:val="20"/>
          <w:szCs w:val="20"/>
          <w:color w:val="auto"/>
        </w:rPr>
      </w:pPr>
      <w:r>
        <w:rPr>
          <w:rFonts w:ascii="Courier New" w:cs="Courier New" w:eastAsia="Courier New" w:hAnsi="Courier New"/>
          <w:sz w:val="15"/>
          <w:szCs w:val="15"/>
          <w:color w:val="auto"/>
        </w:rPr>
        <w:t>A special meeting of the shareholders of E.mergent, Inc., a Delaware corporation, will be held at E.mergent's offices located at 6110 Golden Hills Drive, Golden Valley, MN 55416, on May 31, 2002, at 10:00 a.m., local time, for the following purposes:</w:t>
      </w:r>
    </w:p>
    <w:p>
      <w:pPr>
        <w:spacing w:after="0" w:line="176" w:lineRule="exact"/>
        <w:rPr>
          <w:sz w:val="20"/>
          <w:szCs w:val="20"/>
          <w:color w:val="auto"/>
        </w:rPr>
      </w:pPr>
    </w:p>
    <w:p>
      <w:pPr>
        <w:ind w:left="969" w:right="3119" w:hanging="259"/>
        <w:spacing w:after="0"/>
        <w:tabs>
          <w:tab w:leader="none" w:pos="9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approve an Agreement and Plan of Merger dated as of January 21, 2002, among ClearOne Communications, Inc., a Utah corporation, Tundra Acquisition Corporation, a Delaware corporation and wholly owned subsidiary of ClearOne, and E.mergent, Inc., a Delaware corporation, and the related merger, pursuant to which E.mergent will become a wholly-owned subsidiary of ClearOne and holders of E.mergent common stock will receive a combination of cash and shares of ClearOne common stock based upon the conversion ratio described in the accompanying proxy statement/prospectus.</w:t>
      </w:r>
    </w:p>
    <w:p>
      <w:pPr>
        <w:spacing w:after="0" w:line="178" w:lineRule="exact"/>
        <w:rPr>
          <w:rFonts w:ascii="Courier New" w:cs="Courier New" w:eastAsia="Courier New" w:hAnsi="Courier New"/>
          <w:sz w:val="15"/>
          <w:szCs w:val="15"/>
          <w:color w:val="auto"/>
        </w:rPr>
      </w:pPr>
    </w:p>
    <w:p>
      <w:pPr>
        <w:ind w:left="969" w:right="3659" w:hanging="259"/>
        <w:spacing w:after="0" w:line="238" w:lineRule="auto"/>
        <w:tabs>
          <w:tab w:leader="none" w:pos="96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such other business as may properly come before the special meeting.</w:t>
      </w:r>
    </w:p>
    <w:p>
      <w:pPr>
        <w:spacing w:after="0" w:line="175" w:lineRule="exact"/>
        <w:rPr>
          <w:sz w:val="20"/>
          <w:szCs w:val="20"/>
          <w:color w:val="auto"/>
        </w:rPr>
      </w:pPr>
    </w:p>
    <w:p>
      <w:pPr>
        <w:ind w:left="9" w:right="3299" w:firstLine="710"/>
        <w:spacing w:after="0"/>
        <w:rPr>
          <w:sz w:val="20"/>
          <w:szCs w:val="20"/>
          <w:color w:val="auto"/>
        </w:rPr>
      </w:pPr>
      <w:r>
        <w:rPr>
          <w:rFonts w:ascii="Courier New" w:cs="Courier New" w:eastAsia="Courier New" w:hAnsi="Courier New"/>
          <w:sz w:val="15"/>
          <w:szCs w:val="15"/>
          <w:color w:val="auto"/>
        </w:rPr>
        <w:t>The record date for the special meeting is the close of business on April 5, 2002. Only E.mergent stockholders of record at that time are entitled to notice of and to vote at the special meeting. To approve the merger, the holders of a majority of all the outstanding shares of E.mergent common stock must vote in favor of the merger.</w:t>
      </w:r>
    </w:p>
    <w:p>
      <w:pPr>
        <w:spacing w:after="0" w:line="174" w:lineRule="exact"/>
        <w:rPr>
          <w:sz w:val="20"/>
          <w:szCs w:val="20"/>
          <w:color w:val="auto"/>
        </w:rPr>
      </w:pPr>
    </w:p>
    <w:p>
      <w:pPr>
        <w:ind w:left="9" w:right="3119" w:firstLine="710"/>
        <w:spacing w:after="0"/>
        <w:rPr>
          <w:sz w:val="20"/>
          <w:szCs w:val="20"/>
          <w:color w:val="auto"/>
        </w:rPr>
      </w:pPr>
      <w:r>
        <w:rPr>
          <w:rFonts w:ascii="Courier New" w:cs="Courier New" w:eastAsia="Courier New" w:hAnsi="Courier New"/>
          <w:sz w:val="15"/>
          <w:szCs w:val="15"/>
          <w:color w:val="auto"/>
        </w:rPr>
        <w:t>Under Delaware law, holders of E.mergent common stock who submit a written demand for appraisal of their shares and who comply with the applicable statutory procedures under Delaware law will be entitled to appraisal rights and to receive payment in cash for the fair value of their shares as determined by the Delaware Chancery Court. A summary of the applicable requirements of Delaware law is contained in the accompanying proxy statement/prospectus under the caption "The Merger and Related Transactions--Dissenters Rights of Appraisal." In addition, the text of the applicable provisions of the Delaware General Corporate Law is attached as Annex D.</w:t>
      </w:r>
    </w:p>
    <w:p>
      <w:pPr>
        <w:spacing w:after="0" w:line="177" w:lineRule="exact"/>
        <w:rPr>
          <w:sz w:val="20"/>
          <w:szCs w:val="20"/>
          <w:color w:val="auto"/>
        </w:rPr>
      </w:pPr>
    </w:p>
    <w:p>
      <w:pPr>
        <w:ind w:left="9" w:right="3119" w:firstLine="710"/>
        <w:spacing w:after="0" w:line="258" w:lineRule="auto"/>
        <w:rPr>
          <w:sz w:val="20"/>
          <w:szCs w:val="20"/>
          <w:color w:val="auto"/>
        </w:rPr>
      </w:pPr>
      <w:r>
        <w:rPr>
          <w:rFonts w:ascii="Courier New" w:cs="Courier New" w:eastAsia="Courier New" w:hAnsi="Courier New"/>
          <w:sz w:val="14"/>
          <w:szCs w:val="14"/>
          <w:color w:val="auto"/>
        </w:rPr>
        <w:t>Your vote is important. Even if you expect to attend the meeting, please complete, sign, and date the enclosed proxy and return it promptly in the enclosed postage-paid envelope. If no instructions are indicated on your proxy, your shares will be voted "FOR" the merger. Alternatively, you may vote your proxy via phone or the Internet. You may vote your proxy by phone twenty-four</w:t>
      </w:r>
    </w:p>
    <w:p>
      <w:pPr>
        <w:spacing w:after="0" w:line="1" w:lineRule="exact"/>
        <w:rPr>
          <w:sz w:val="20"/>
          <w:szCs w:val="20"/>
          <w:color w:val="auto"/>
        </w:rPr>
      </w:pPr>
    </w:p>
    <w:p>
      <w:pPr>
        <w:ind w:left="9" w:right="3119" w:hanging="9"/>
        <w:spacing w:after="0" w:line="261" w:lineRule="auto"/>
        <w:tabs>
          <w:tab w:leader="none" w:pos="453"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hours a day, 7 days a week, until 11:00 a.m., Central Time, one business day prior to the meeting by dialing 800-240-6326 and following the instructions. You may vote your proxy via the Internet twenty-four (24) hours a day, 7 days a week, until 11:00 a.m., Central Time, one business day prior to the meeting by going to http://www.eproxy.com/emrt and following the instructions.</w:t>
      </w:r>
    </w:p>
    <w:p>
      <w:pPr>
        <w:spacing w:after="0" w:line="162"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If you do not return your proxy, vote your proxy by phone or Internet, or vote in person, the effect is a vote against the merger. You can revoke your proxy at any time before it is exercised by voting again by phone or Internet, giving written notice to the Secretary of E.mergent, filing another proxy, or attending the special meeting and voting in person.</w:t>
      </w:r>
    </w:p>
    <w:p>
      <w:pPr>
        <w:spacing w:after="0" w:line="174"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If the merger agreement is approved and the merger is consummated, you will be sent a letter of transmittal with instructions for surrendering your certificates representing shares of E.mergent common stock (or certificates representing shares of VideoLabs, Inc. common stock issued prior to E.mergent's name change from VideoLabs). Please do not send your share certificates until you receive these materials.</w:t>
      </w:r>
    </w:p>
    <w:p>
      <w:pPr>
        <w:spacing w:after="0" w:line="172"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The E.mergent board of directors recommends that you vote FOR the</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merger.</w:t>
      </w:r>
    </w:p>
    <w:p>
      <w:pPr>
        <w:spacing w:after="0" w:line="17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BY ORDER OF THE BOARD OF DIRECTORS</w:t>
      </w:r>
    </w:p>
    <w:p>
      <w:pPr>
        <w:spacing w:after="0" w:line="1"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Jill Larson, Secretary</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May 7, 2002</w:t>
      </w:r>
    </w:p>
    <w:p>
      <w:pPr>
        <w:sectPr>
          <w:pgSz w:w="11900" w:h="16838" w:orient="portrait"/>
          <w:cols w:equalWidth="0" w:num="1">
            <w:col w:w="10228"/>
          </w:cols>
          <w:pgMar w:left="231" w:top="799" w:right="1440" w:bottom="1440" w:gutter="0" w:footer="0" w:header="0"/>
        </w:sectPr>
      </w:pPr>
    </w:p>
    <w:bookmarkStart w:id="3" w:name="page4"/>
    <w:bookmarkEnd w:id="3"/>
    <w:p>
      <w:pPr>
        <w:ind w:left="2560"/>
        <w:spacing w:after="0"/>
        <w:rPr>
          <w:sz w:val="20"/>
          <w:szCs w:val="20"/>
          <w:color w:val="auto"/>
        </w:rPr>
      </w:pPr>
      <w:r>
        <w:rPr>
          <w:rFonts w:ascii="Courier New" w:cs="Courier New" w:eastAsia="Courier New" w:hAnsi="Courier New"/>
          <w:sz w:val="15"/>
          <w:szCs w:val="15"/>
          <w:color w:val="auto"/>
        </w:rPr>
        <w:t>ADDITIONAL INFORMATION</w:t>
      </w:r>
    </w:p>
    <w:p>
      <w:pPr>
        <w:spacing w:after="0" w:line="174"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The following documents, which contain important business and financial information about ClearOne and E.mergent, are incorporated into this proxy statement/prospectus and they are being delivered to you with this proxy statement/prospectus, bound under a separate cover:</w:t>
      </w:r>
    </w:p>
    <w:p>
      <w:pPr>
        <w:spacing w:after="0" w:line="174" w:lineRule="exact"/>
        <w:rPr>
          <w:sz w:val="20"/>
          <w:szCs w:val="20"/>
          <w:color w:val="auto"/>
        </w:rPr>
      </w:pPr>
    </w:p>
    <w:tbl>
      <w:tblPr>
        <w:tblLayout w:type="fixed"/>
        <w:tblInd w:w="700" w:type="dxa"/>
        <w:tblCellMar>
          <w:top w:w="0" w:type="dxa"/>
          <w:left w:w="0" w:type="dxa"/>
          <w:bottom w:w="0" w:type="dxa"/>
          <w:right w:w="0" w:type="dxa"/>
        </w:tblCellMar>
      </w:tblPr>
      <w:tr>
        <w:trPr>
          <w:trHeight w:val="170"/>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E.mergent</w:t>
            </w:r>
          </w:p>
        </w:tc>
        <w:tc>
          <w:tcPr>
            <w:tcW w:w="840" w:type="dxa"/>
            <w:vAlign w:val="bottom"/>
          </w:tcPr>
          <w:p>
            <w:pPr>
              <w:ind w:left="140"/>
              <w:spacing w:after="0"/>
              <w:rPr>
                <w:sz w:val="20"/>
                <w:szCs w:val="20"/>
                <w:color w:val="auto"/>
              </w:rPr>
            </w:pPr>
            <w:r>
              <w:rPr>
                <w:rFonts w:ascii="Courier New" w:cs="Courier New" w:eastAsia="Courier New" w:hAnsi="Courier New"/>
                <w:sz w:val="15"/>
                <w:szCs w:val="15"/>
                <w:color w:val="auto"/>
              </w:rPr>
              <w:t>Annual</w:t>
            </w:r>
          </w:p>
        </w:tc>
        <w:tc>
          <w:tcPr>
            <w:tcW w:w="1480" w:type="dxa"/>
            <w:vAlign w:val="bottom"/>
          </w:tcPr>
          <w:p>
            <w:pPr>
              <w:spacing w:after="0"/>
              <w:rPr>
                <w:sz w:val="20"/>
                <w:szCs w:val="20"/>
                <w:color w:val="auto"/>
              </w:rPr>
            </w:pPr>
            <w:r>
              <w:rPr>
                <w:rFonts w:ascii="Courier New" w:cs="Courier New" w:eastAsia="Courier New" w:hAnsi="Courier New"/>
                <w:sz w:val="15"/>
                <w:szCs w:val="15"/>
                <w:color w:val="auto"/>
              </w:rPr>
              <w:t>Report  on Form</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9"/>
              </w:rPr>
              <w:t>10-KSB  for the  fiscal  year  ended</w:t>
            </w:r>
          </w:p>
        </w:tc>
      </w:tr>
      <w:tr>
        <w:trPr>
          <w:trHeight w:val="171"/>
        </w:trPr>
        <w:tc>
          <w:tcPr>
            <w:tcW w:w="1680" w:type="dxa"/>
            <w:vAlign w:val="bottom"/>
            <w:gridSpan w:val="3"/>
          </w:tcPr>
          <w:p>
            <w:pPr>
              <w:spacing w:after="0"/>
              <w:rPr>
                <w:sz w:val="20"/>
                <w:szCs w:val="20"/>
                <w:color w:val="auto"/>
              </w:rPr>
            </w:pPr>
            <w:r>
              <w:rPr>
                <w:rFonts w:ascii="Courier New" w:cs="Courier New" w:eastAsia="Courier New" w:hAnsi="Courier New"/>
                <w:sz w:val="15"/>
                <w:szCs w:val="15"/>
                <w:color w:val="auto"/>
              </w:rPr>
              <w:t>December 31, 2001;</w:t>
            </w:r>
          </w:p>
        </w:tc>
        <w:tc>
          <w:tcPr>
            <w:tcW w:w="148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341"/>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ClearOne</w:t>
            </w:r>
          </w:p>
        </w:tc>
        <w:tc>
          <w:tcPr>
            <w:tcW w:w="556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Annual  Report on Form 10-K for the fiscal year ended June 30,</w:t>
            </w:r>
          </w:p>
        </w:tc>
      </w:tr>
      <w:tr>
        <w:trPr>
          <w:trHeight w:val="171"/>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341"/>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ClearOne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Quarterly</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Report on Form</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9"/>
              </w:rPr>
              <w:t>10-Q for the quarter ended September</w:t>
            </w:r>
          </w:p>
        </w:tc>
      </w:tr>
      <w:tr>
        <w:trPr>
          <w:trHeight w:val="171"/>
        </w:trPr>
        <w:tc>
          <w:tcPr>
            <w:tcW w:w="320" w:type="dxa"/>
            <w:vAlign w:val="bottom"/>
          </w:tcPr>
          <w:p>
            <w:pPr>
              <w:spacing w:after="0"/>
              <w:rPr>
                <w:sz w:val="20"/>
                <w:szCs w:val="20"/>
                <w:color w:val="auto"/>
              </w:rPr>
            </w:pPr>
            <w:r>
              <w:rPr>
                <w:rFonts w:ascii="Courier New" w:cs="Courier New" w:eastAsia="Courier New" w:hAnsi="Courier New"/>
                <w:sz w:val="15"/>
                <w:szCs w:val="15"/>
                <w:color w:val="auto"/>
              </w:rPr>
              <w:t>30,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341"/>
        </w:trPr>
        <w:tc>
          <w:tcPr>
            <w:tcW w:w="840" w:type="dxa"/>
            <w:vAlign w:val="bottom"/>
            <w:gridSpan w:val="2"/>
          </w:tcPr>
          <w:p>
            <w:pPr>
              <w:spacing w:after="0"/>
              <w:rPr>
                <w:sz w:val="20"/>
                <w:szCs w:val="20"/>
                <w:color w:val="auto"/>
              </w:rPr>
            </w:pPr>
            <w:r>
              <w:rPr>
                <w:rFonts w:ascii="Courier New" w:cs="Courier New" w:eastAsia="Courier New" w:hAnsi="Courier New"/>
                <w:sz w:val="15"/>
                <w:szCs w:val="15"/>
                <w:color w:val="auto"/>
              </w:rPr>
              <w:t>ClearOne</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w w:val="96"/>
              </w:rPr>
              <w:t>Quarterly</w:t>
            </w:r>
          </w:p>
        </w:tc>
        <w:tc>
          <w:tcPr>
            <w:tcW w:w="1480" w:type="dxa"/>
            <w:vAlign w:val="bottom"/>
          </w:tcPr>
          <w:p>
            <w:pPr>
              <w:ind w:left="180"/>
              <w:spacing w:after="0"/>
              <w:rPr>
                <w:sz w:val="20"/>
                <w:szCs w:val="20"/>
                <w:color w:val="auto"/>
              </w:rPr>
            </w:pPr>
            <w:r>
              <w:rPr>
                <w:rFonts w:ascii="Courier New" w:cs="Courier New" w:eastAsia="Courier New" w:hAnsi="Courier New"/>
                <w:sz w:val="15"/>
                <w:szCs w:val="15"/>
                <w:color w:val="auto"/>
              </w:rPr>
              <w:t>Report on Form</w:t>
            </w:r>
          </w:p>
        </w:tc>
        <w:tc>
          <w:tcPr>
            <w:tcW w:w="3240" w:type="dxa"/>
            <w:vAlign w:val="bottom"/>
          </w:tcPr>
          <w:p>
            <w:pPr>
              <w:jc w:val="right"/>
              <w:spacing w:after="0"/>
              <w:rPr>
                <w:sz w:val="20"/>
                <w:szCs w:val="20"/>
                <w:color w:val="auto"/>
              </w:rPr>
            </w:pPr>
            <w:r>
              <w:rPr>
                <w:rFonts w:ascii="Courier New" w:cs="Courier New" w:eastAsia="Courier New" w:hAnsi="Courier New"/>
                <w:sz w:val="15"/>
                <w:szCs w:val="15"/>
                <w:color w:val="auto"/>
                <w:w w:val="99"/>
              </w:rPr>
              <w:t>10-Q for the quarter ended  December</w:t>
            </w:r>
          </w:p>
        </w:tc>
      </w:tr>
      <w:tr>
        <w:trPr>
          <w:trHeight w:val="171"/>
        </w:trPr>
        <w:tc>
          <w:tcPr>
            <w:tcW w:w="320" w:type="dxa"/>
            <w:vAlign w:val="bottom"/>
          </w:tcPr>
          <w:p>
            <w:pPr>
              <w:spacing w:after="0"/>
              <w:rPr>
                <w:sz w:val="20"/>
                <w:szCs w:val="20"/>
                <w:color w:val="auto"/>
              </w:rPr>
            </w:pPr>
            <w:r>
              <w:rPr>
                <w:rFonts w:ascii="Courier New" w:cs="Courier New" w:eastAsia="Courier New" w:hAnsi="Courier New"/>
                <w:sz w:val="15"/>
                <w:szCs w:val="15"/>
                <w:color w:val="auto"/>
              </w:rPr>
              <w:t>31,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2001;</w:t>
            </w:r>
          </w:p>
        </w:tc>
        <w:tc>
          <w:tcPr>
            <w:tcW w:w="8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40" w:type="dxa"/>
            <w:vAlign w:val="bottom"/>
          </w:tcPr>
          <w:p>
            <w:pPr>
              <w:spacing w:after="0"/>
              <w:rPr>
                <w:sz w:val="14"/>
                <w:szCs w:val="14"/>
                <w:color w:val="auto"/>
              </w:rPr>
            </w:pPr>
          </w:p>
        </w:tc>
      </w:tr>
    </w:tbl>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ClearOne Current Report on Form 8-K filed October 18, 2001;</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ClearOne Current Report on Form 8-K/A filed November 23, 2001;</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ClearOne Current Report on Form 8-K filed February 1, 2002;</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ClearOne Current Report on Form 8-K filed on February 6, 2002;</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ClearOne Current Report on Form 8-K filed on March 21, 2002;</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ClearOne Current Report on Form 8-K filed on April 10, 2002; and</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ClearOne Current Report on Form 8-K filed April 23, 2002.</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Also, this document will incorporate by reference information about ClearOne from other documents that may be filed with the Securities and Exchange Commission after the date of this document and prior to E.mergent's special shareholder meeting. See the section entitled "Where You Can Find More Information" beginning on page 72 of this document for information about how to obtain copies of such documents and additional information about ClearOne and E.mergent.</w:t>
      </w:r>
    </w:p>
    <w:p>
      <w:pPr>
        <w:sectPr>
          <w:pgSz w:w="11900" w:h="16838" w:orient="portrait"/>
          <w:cols w:equalWidth="0" w:num="1">
            <w:col w:w="10219"/>
          </w:cols>
          <w:pgMar w:left="240" w:top="799"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70"/>
        </w:trPr>
        <w:tc>
          <w:tcPr>
            <w:tcW w:w="6560" w:type="dxa"/>
            <w:vAlign w:val="bottom"/>
          </w:tcPr>
          <w:p>
            <w:pPr>
              <w:jc w:val="right"/>
              <w:ind w:right="2146"/>
              <w:spacing w:after="0"/>
              <w:rPr>
                <w:sz w:val="20"/>
                <w:szCs w:val="20"/>
                <w:color w:val="auto"/>
              </w:rPr>
            </w:pPr>
            <w:r>
              <w:rPr>
                <w:rFonts w:ascii="Courier New" w:cs="Courier New" w:eastAsia="Courier New" w:hAnsi="Courier New"/>
                <w:sz w:val="15"/>
                <w:szCs w:val="15"/>
                <w:color w:val="auto"/>
              </w:rPr>
              <w:t>TABLE OF CONTENTS</w:t>
            </w:r>
          </w:p>
        </w:tc>
        <w:tc>
          <w:tcPr>
            <w:tcW w:w="360" w:type="dxa"/>
            <w:vAlign w:val="bottom"/>
          </w:tcPr>
          <w:p>
            <w:pPr>
              <w:spacing w:after="0"/>
              <w:rPr>
                <w:sz w:val="14"/>
                <w:szCs w:val="14"/>
                <w:color w:val="auto"/>
              </w:rPr>
            </w:pPr>
          </w:p>
        </w:tc>
      </w:tr>
      <w:tr>
        <w:trPr>
          <w:trHeight w:val="341"/>
        </w:trPr>
        <w:tc>
          <w:tcPr>
            <w:tcW w:w="656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171"/>
        </w:trPr>
        <w:tc>
          <w:tcPr>
            <w:tcW w:w="6560" w:type="dxa"/>
            <w:vAlign w:val="bottom"/>
          </w:tcPr>
          <w:p>
            <w:pPr>
              <w:spacing w:after="0"/>
              <w:rPr>
                <w:sz w:val="14"/>
                <w:szCs w:val="1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w:t>
            </w:r>
          </w:p>
        </w:tc>
      </w:tr>
      <w:tr>
        <w:trPr>
          <w:trHeight w:val="34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5"/>
              </w:rPr>
              <w:t>QUESTIONS AND ANSWERS ABOUT THE MERGER......................................</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w:t>
            </w:r>
          </w:p>
        </w:tc>
      </w:tr>
      <w:tr>
        <w:trPr>
          <w:trHeight w:val="34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5"/>
              </w:rPr>
              <w:t>SUMMARY.....................................................................</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The Companies...........................................................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ClearOne Communications, Inc........................................</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E.mergent, Inc......................................................</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ClearOne's and E.mergent's Reasons for the Merger.......................</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Recommendations of the E.mergent Board of Directors.....................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Opinion of E.mergent's Financial Advisor................................</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3</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Shareholder Approval....................................................</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Structure and Effects of the Merger.....................................</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Conflicts of Interest of Directors and Officers.........................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The Merger Agreement....................................................</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Conditions to Completion of the Merger..............................</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Termination of the Merger; Fees Payable.............................</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6</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E.mergent Prohibited from Soliciting Other Offers.......................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Share Ownership of Management...........................................</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w:t>
            </w:r>
          </w:p>
        </w:tc>
      </w:tr>
      <w:tr>
        <w:trPr>
          <w:trHeight w:val="171"/>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Material United States Federal Income Tax Consequences of the</w:t>
            </w:r>
          </w:p>
        </w:tc>
        <w:tc>
          <w:tcPr>
            <w:tcW w:w="360" w:type="dxa"/>
            <w:vAlign w:val="bottom"/>
          </w:tcPr>
          <w:p>
            <w:pPr>
              <w:spacing w:after="0"/>
              <w:rPr>
                <w:sz w:val="14"/>
                <w:szCs w:val="14"/>
                <w:color w:val="auto"/>
              </w:rPr>
            </w:pP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Merger................................................................</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Appraisal Rights........................................................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w:t>
            </w:r>
          </w:p>
        </w:tc>
      </w:tr>
      <w:tr>
        <w:trPr>
          <w:trHeight w:val="171"/>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Restrictions on the Ability to Sell ClearOne Common Stock Received</w:t>
            </w:r>
          </w:p>
        </w:tc>
        <w:tc>
          <w:tcPr>
            <w:tcW w:w="360" w:type="dxa"/>
            <w:vAlign w:val="bottom"/>
          </w:tcPr>
          <w:p>
            <w:pPr>
              <w:spacing w:after="0"/>
              <w:rPr>
                <w:sz w:val="14"/>
                <w:szCs w:val="14"/>
                <w:color w:val="auto"/>
              </w:rPr>
            </w:pP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in the Merger.........................................................</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8</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Risks of the Merger.....................................................</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No Governmental Approvals or Regulatory Requirements....................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Completion of the Merger................................................</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9</w:t>
            </w:r>
          </w:p>
        </w:tc>
      </w:tr>
      <w:tr>
        <w:trPr>
          <w:trHeight w:val="34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6"/>
              </w:rPr>
              <w:t>SELECTED HISTORICAL FINANCIAL DATA.........................................</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E.mergent..............................................................</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ClearOne...............................................................</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w:t>
            </w:r>
          </w:p>
        </w:tc>
      </w:tr>
      <w:tr>
        <w:trPr>
          <w:trHeight w:val="34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6"/>
              </w:rPr>
              <w:t>UNAUDITED PRO FORMA CONDENSED COMBINED FINANCIAL INFORMATION...............</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12</w:t>
            </w:r>
          </w:p>
        </w:tc>
      </w:tr>
      <w:tr>
        <w:trPr>
          <w:trHeight w:val="171"/>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Pro Forma Condensed Combined Balance Sheets as of December</w:t>
            </w:r>
          </w:p>
        </w:tc>
        <w:tc>
          <w:tcPr>
            <w:tcW w:w="360" w:type="dxa"/>
            <w:vAlign w:val="bottom"/>
          </w:tcPr>
          <w:p>
            <w:pPr>
              <w:spacing w:after="0"/>
              <w:rPr>
                <w:sz w:val="14"/>
                <w:szCs w:val="14"/>
                <w:color w:val="auto"/>
              </w:rPr>
            </w:pP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31, 2001.............................................................</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w:t>
            </w:r>
          </w:p>
        </w:tc>
      </w:tr>
      <w:tr>
        <w:trPr>
          <w:trHeight w:val="171"/>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tc>
        <w:tc>
          <w:tcPr>
            <w:tcW w:w="360" w:type="dxa"/>
            <w:vAlign w:val="bottom"/>
          </w:tcPr>
          <w:p>
            <w:pPr>
              <w:spacing w:after="0"/>
              <w:rPr>
                <w:sz w:val="14"/>
                <w:szCs w:val="14"/>
                <w:color w:val="auto"/>
              </w:rPr>
            </w:pP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For the six months ended December 31, 2001...........................</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14</w:t>
            </w:r>
          </w:p>
        </w:tc>
      </w:tr>
      <w:tr>
        <w:trPr>
          <w:trHeight w:val="171"/>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tc>
        <w:tc>
          <w:tcPr>
            <w:tcW w:w="360" w:type="dxa"/>
            <w:vAlign w:val="bottom"/>
          </w:tcPr>
          <w:p>
            <w:pPr>
              <w:spacing w:after="0"/>
              <w:rPr>
                <w:sz w:val="14"/>
                <w:szCs w:val="14"/>
                <w:color w:val="auto"/>
              </w:rPr>
            </w:pP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For the fiscal year ended June 30, 2001..............................</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w:t>
            </w:r>
          </w:p>
        </w:tc>
      </w:tr>
      <w:tr>
        <w:trPr>
          <w:trHeight w:val="171"/>
        </w:trPr>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Notes to Unaudited Pro Forma Condensed Combined Financial</w:t>
            </w:r>
          </w:p>
        </w:tc>
        <w:tc>
          <w:tcPr>
            <w:tcW w:w="360" w:type="dxa"/>
            <w:vAlign w:val="bottom"/>
          </w:tcPr>
          <w:p>
            <w:pPr>
              <w:spacing w:after="0"/>
              <w:rPr>
                <w:sz w:val="14"/>
                <w:szCs w:val="14"/>
                <w:color w:val="auto"/>
              </w:rPr>
            </w:pP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Information..........................................................</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16</w:t>
            </w:r>
          </w:p>
        </w:tc>
      </w:tr>
      <w:tr>
        <w:trPr>
          <w:trHeight w:val="34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6"/>
              </w:rPr>
              <w:t>HISTORICAL AND PRO FORMA COMPARATIVE PER SHARE DATA........................</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19</w:t>
            </w:r>
          </w:p>
        </w:tc>
      </w:tr>
      <w:tr>
        <w:trPr>
          <w:trHeight w:val="34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6"/>
              </w:rPr>
              <w:t>COMPARATIVE PER SHARE MARKET PRICE DATA....................................</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20</w:t>
            </w:r>
          </w:p>
        </w:tc>
      </w:tr>
      <w:tr>
        <w:trPr>
          <w:trHeight w:val="34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6"/>
              </w:rPr>
              <w:t>RISK FACTORS...............................................................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Risks Relating to the Merger...........................................</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21</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Risks Relating to ClearOne's Business..................................</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24</w:t>
            </w:r>
          </w:p>
        </w:tc>
      </w:tr>
      <w:tr>
        <w:trPr>
          <w:trHeight w:val="341"/>
        </w:trPr>
        <w:tc>
          <w:tcPr>
            <w:tcW w:w="6560" w:type="dxa"/>
            <w:vAlign w:val="bottom"/>
          </w:tcPr>
          <w:p>
            <w:pPr>
              <w:jc w:val="right"/>
              <w:ind w:right="646"/>
              <w:spacing w:after="0"/>
              <w:rPr>
                <w:sz w:val="20"/>
                <w:szCs w:val="20"/>
                <w:color w:val="auto"/>
              </w:rPr>
            </w:pPr>
            <w:r>
              <w:rPr>
                <w:rFonts w:ascii="Courier New" w:cs="Courier New" w:eastAsia="Courier New" w:hAnsi="Courier New"/>
                <w:sz w:val="15"/>
                <w:szCs w:val="15"/>
                <w:color w:val="auto"/>
                <w:w w:val="97"/>
              </w:rPr>
              <w:t>CAUTIONARY STATEMENTS REGARDING FORWARD-LOOKING STATEMENTS IN THIS</w:t>
            </w:r>
          </w:p>
        </w:tc>
        <w:tc>
          <w:tcPr>
            <w:tcW w:w="360" w:type="dxa"/>
            <w:vAlign w:val="bottom"/>
          </w:tcPr>
          <w:p>
            <w:pPr>
              <w:spacing w:after="0"/>
              <w:rPr>
                <w:sz w:val="24"/>
                <w:szCs w:val="24"/>
                <w:color w:val="auto"/>
              </w:rPr>
            </w:pP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9"/>
              </w:rPr>
              <w:t>DOCUMENT.................................................................</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28</w:t>
            </w:r>
          </w:p>
        </w:tc>
      </w:tr>
      <w:tr>
        <w:trPr>
          <w:trHeight w:val="34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w w:val="96"/>
              </w:rPr>
              <w:t>THE E.MERGENT SPECIAL MEETING..............................................</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General................................................................</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Date, Place, and Time..................................................</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Purpose of Special Meeting.............................................</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Record Date for the Special Meeting....................................</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w:t>
            </w:r>
          </w:p>
        </w:tc>
      </w:tr>
      <w:tr>
        <w:trPr>
          <w:trHeight w:val="171"/>
        </w:trPr>
        <w:tc>
          <w:tcPr>
            <w:tcW w:w="6560" w:type="dxa"/>
            <w:vAlign w:val="bottom"/>
          </w:tcPr>
          <w:p>
            <w:pPr>
              <w:jc w:val="right"/>
              <w:spacing w:after="0"/>
              <w:rPr>
                <w:sz w:val="20"/>
                <w:szCs w:val="20"/>
                <w:color w:val="auto"/>
              </w:rPr>
            </w:pPr>
            <w:r>
              <w:rPr>
                <w:rFonts w:ascii="Courier New" w:cs="Courier New" w:eastAsia="Courier New" w:hAnsi="Courier New"/>
                <w:sz w:val="15"/>
                <w:szCs w:val="15"/>
                <w:color w:val="auto"/>
              </w:rPr>
              <w:t>Voting Rights; Quorum..................................................</w:t>
            </w:r>
          </w:p>
        </w:tc>
        <w:tc>
          <w:tcPr>
            <w:tcW w:w="3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w:t>
            </w:r>
          </w:p>
        </w:tc>
      </w:tr>
    </w:tbl>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19"/>
          </w:cols>
          <w:pgMar w:left="240" w:top="628" w:right="1440" w:bottom="1440" w:gutter="0" w:footer="0" w:header="0"/>
        </w:sectPr>
      </w:pPr>
    </w:p>
    <w:bookmarkStart w:id="5" w:name="page6"/>
    <w:bookmarkEnd w:id="5"/>
    <w:p>
      <w:pPr>
        <w:ind w:left="340"/>
        <w:spacing w:after="0"/>
        <w:tabs>
          <w:tab w:leader="dot" w:pos="6620" w:val="left"/>
        </w:tabs>
        <w:rPr>
          <w:sz w:val="20"/>
          <w:szCs w:val="20"/>
          <w:color w:val="auto"/>
        </w:rPr>
      </w:pPr>
      <w:r>
        <w:rPr>
          <w:rFonts w:ascii="Courier New" w:cs="Courier New" w:eastAsia="Courier New" w:hAnsi="Courier New"/>
          <w:sz w:val="15"/>
          <w:szCs w:val="15"/>
          <w:color w:val="auto"/>
        </w:rPr>
        <w:t>Required Vote; Abstentions and Broker Non-Votes</w:t>
      </w:r>
      <w:r>
        <w:rPr>
          <w:sz w:val="20"/>
          <w:szCs w:val="20"/>
          <w:color w:val="auto"/>
        </w:rPr>
        <w:tab/>
      </w:r>
      <w:r>
        <w:rPr>
          <w:rFonts w:ascii="Courier New" w:cs="Courier New" w:eastAsia="Courier New" w:hAnsi="Courier New"/>
          <w:sz w:val="15"/>
          <w:szCs w:val="15"/>
          <w:color w:val="auto"/>
        </w:rPr>
        <w:t>29</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Recommendation of the Board of Directors of E.mergent</w:t>
      </w:r>
      <w:r>
        <w:rPr>
          <w:sz w:val="20"/>
          <w:szCs w:val="20"/>
          <w:color w:val="auto"/>
        </w:rPr>
        <w:tab/>
      </w:r>
      <w:r>
        <w:rPr>
          <w:rFonts w:ascii="Courier New" w:cs="Courier New" w:eastAsia="Courier New" w:hAnsi="Courier New"/>
          <w:sz w:val="15"/>
          <w:szCs w:val="15"/>
          <w:color w:val="auto"/>
        </w:rPr>
        <w:t>30</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Dissenters Rights of Appraisal</w:t>
      </w:r>
      <w:r>
        <w:rPr>
          <w:sz w:val="20"/>
          <w:szCs w:val="20"/>
          <w:color w:val="auto"/>
        </w:rPr>
        <w:tab/>
      </w:r>
      <w:r>
        <w:rPr>
          <w:rFonts w:ascii="Courier New" w:cs="Courier New" w:eastAsia="Courier New" w:hAnsi="Courier New"/>
          <w:sz w:val="15"/>
          <w:szCs w:val="15"/>
          <w:color w:val="auto"/>
        </w:rPr>
        <w:t>30</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Proxies; Revocation</w:t>
      </w:r>
      <w:r>
        <w:rPr>
          <w:sz w:val="20"/>
          <w:szCs w:val="20"/>
          <w:color w:val="auto"/>
        </w:rPr>
        <w:tab/>
      </w:r>
      <w:r>
        <w:rPr>
          <w:rFonts w:ascii="Courier New" w:cs="Courier New" w:eastAsia="Courier New" w:hAnsi="Courier New"/>
          <w:sz w:val="15"/>
          <w:szCs w:val="15"/>
          <w:color w:val="auto"/>
        </w:rPr>
        <w:t>30</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Solicitation of Proxies</w:t>
      </w:r>
      <w:r>
        <w:rPr>
          <w:sz w:val="20"/>
          <w:szCs w:val="20"/>
          <w:color w:val="auto"/>
        </w:rPr>
        <w:tab/>
      </w:r>
      <w:r>
        <w:rPr>
          <w:rFonts w:ascii="Courier New" w:cs="Courier New" w:eastAsia="Courier New" w:hAnsi="Courier New"/>
          <w:sz w:val="15"/>
          <w:szCs w:val="15"/>
          <w:color w:val="auto"/>
        </w:rPr>
        <w:t>31</w:t>
      </w:r>
    </w:p>
    <w:p>
      <w:pPr>
        <w:spacing w:after="0" w:line="171"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5"/>
          <w:szCs w:val="15"/>
          <w:color w:val="auto"/>
        </w:rPr>
        <w:t>THE MERGER AND RELATED TRANSACTIONS</w:t>
      </w:r>
      <w:r>
        <w:rPr>
          <w:sz w:val="20"/>
          <w:szCs w:val="20"/>
          <w:color w:val="auto"/>
        </w:rPr>
        <w:tab/>
      </w:r>
      <w:r>
        <w:rPr>
          <w:rFonts w:ascii="Courier New" w:cs="Courier New" w:eastAsia="Courier New" w:hAnsi="Courier New"/>
          <w:sz w:val="15"/>
          <w:szCs w:val="15"/>
          <w:color w:val="auto"/>
        </w:rPr>
        <w:t>32</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Background of the Merger</w:t>
      </w:r>
      <w:r>
        <w:rPr>
          <w:sz w:val="20"/>
          <w:szCs w:val="20"/>
          <w:color w:val="auto"/>
        </w:rPr>
        <w:tab/>
      </w:r>
      <w:r>
        <w:rPr>
          <w:rFonts w:ascii="Courier New" w:cs="Courier New" w:eastAsia="Courier New" w:hAnsi="Courier New"/>
          <w:sz w:val="15"/>
          <w:szCs w:val="15"/>
          <w:color w:val="auto"/>
        </w:rPr>
        <w:t>32</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E.mergent's Reasons for the Merger</w:t>
      </w:r>
      <w:r>
        <w:rPr>
          <w:sz w:val="20"/>
          <w:szCs w:val="20"/>
          <w:color w:val="auto"/>
        </w:rPr>
        <w:tab/>
      </w:r>
      <w:r>
        <w:rPr>
          <w:rFonts w:ascii="Courier New" w:cs="Courier New" w:eastAsia="Courier New" w:hAnsi="Courier New"/>
          <w:sz w:val="15"/>
          <w:szCs w:val="15"/>
          <w:color w:val="auto"/>
        </w:rPr>
        <w:t>34</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Opinion of E.mergent's Financial Advisor</w:t>
      </w:r>
      <w:r>
        <w:rPr>
          <w:sz w:val="20"/>
          <w:szCs w:val="20"/>
          <w:color w:val="auto"/>
        </w:rPr>
        <w:tab/>
      </w:r>
      <w:r>
        <w:rPr>
          <w:rFonts w:ascii="Courier New" w:cs="Courier New" w:eastAsia="Courier New" w:hAnsi="Courier New"/>
          <w:sz w:val="15"/>
          <w:szCs w:val="15"/>
          <w:color w:val="auto"/>
        </w:rPr>
        <w:t>35</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Recommendation of E.mergent's Board of Directors</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Interests of E.mergent's Directors and Executive Officers in the</w:t>
      </w:r>
    </w:p>
    <w:p>
      <w:pPr>
        <w:spacing w:after="0" w:line="1" w:lineRule="exact"/>
        <w:rPr>
          <w:sz w:val="20"/>
          <w:szCs w:val="20"/>
          <w:color w:val="auto"/>
        </w:rPr>
      </w:pPr>
    </w:p>
    <w:p>
      <w:pPr>
        <w:ind w:left="520"/>
        <w:spacing w:after="0"/>
        <w:tabs>
          <w:tab w:leader="dot" w:pos="6620" w:val="left"/>
        </w:tabs>
        <w:rPr>
          <w:sz w:val="20"/>
          <w:szCs w:val="20"/>
          <w:color w:val="auto"/>
        </w:rPr>
      </w:pPr>
      <w:r>
        <w:rPr>
          <w:rFonts w:ascii="Courier New" w:cs="Courier New" w:eastAsia="Courier New" w:hAnsi="Courier New"/>
          <w:sz w:val="15"/>
          <w:szCs w:val="15"/>
          <w:color w:val="auto"/>
        </w:rPr>
        <w:t>Merger</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jc w:val="right"/>
        <w:ind w:right="3399"/>
        <w:spacing w:after="0"/>
        <w:tabs>
          <w:tab w:leader="dot" w:pos="160" w:val="left"/>
        </w:tabs>
        <w:rPr>
          <w:sz w:val="20"/>
          <w:szCs w:val="20"/>
          <w:color w:val="auto"/>
        </w:rPr>
      </w:pPr>
      <w:r>
        <w:rPr>
          <w:rFonts w:ascii="Courier New" w:cs="Courier New" w:eastAsia="Courier New" w:hAnsi="Courier New"/>
          <w:sz w:val="15"/>
          <w:szCs w:val="15"/>
          <w:color w:val="auto"/>
        </w:rPr>
        <w:t>Options, Accelerated Vesting of Options and Bonus Shares</w:t>
      </w:r>
      <w:r>
        <w:rPr>
          <w:sz w:val="20"/>
          <w:szCs w:val="20"/>
          <w:color w:val="auto"/>
        </w:rPr>
        <w:tab/>
      </w:r>
      <w:r>
        <w:rPr>
          <w:rFonts w:ascii="Courier New" w:cs="Courier New" w:eastAsia="Courier New" w:hAnsi="Courier New"/>
          <w:sz w:val="15"/>
          <w:szCs w:val="15"/>
          <w:color w:val="auto"/>
        </w:rPr>
        <w:t>39</w:t>
      </w:r>
    </w:p>
    <w:p>
      <w:pPr>
        <w:spacing w:after="0" w:line="1" w:lineRule="exact"/>
        <w:rPr>
          <w:sz w:val="20"/>
          <w:szCs w:val="20"/>
          <w:color w:val="auto"/>
        </w:rPr>
      </w:pPr>
    </w:p>
    <w:p>
      <w:pPr>
        <w:jc w:val="right"/>
        <w:ind w:right="3399"/>
        <w:spacing w:after="0"/>
        <w:tabs>
          <w:tab w:leader="dot" w:pos="160" w:val="left"/>
        </w:tabs>
        <w:rPr>
          <w:sz w:val="20"/>
          <w:szCs w:val="20"/>
          <w:color w:val="auto"/>
        </w:rPr>
      </w:pPr>
      <w:r>
        <w:rPr>
          <w:rFonts w:ascii="Courier New" w:cs="Courier New" w:eastAsia="Courier New" w:hAnsi="Courier New"/>
          <w:sz w:val="15"/>
          <w:szCs w:val="15"/>
          <w:color w:val="auto"/>
        </w:rPr>
        <w:t>Executive Employment Agreements</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jc w:val="right"/>
        <w:ind w:right="3399"/>
        <w:spacing w:after="0"/>
        <w:tabs>
          <w:tab w:leader="dot" w:pos="160" w:val="left"/>
        </w:tabs>
        <w:rPr>
          <w:sz w:val="20"/>
          <w:szCs w:val="20"/>
          <w:color w:val="auto"/>
        </w:rPr>
      </w:pPr>
      <w:r>
        <w:rPr>
          <w:rFonts w:ascii="Courier New" w:cs="Courier New" w:eastAsia="Courier New" w:hAnsi="Courier New"/>
          <w:sz w:val="15"/>
          <w:szCs w:val="15"/>
          <w:color w:val="auto"/>
        </w:rPr>
        <w:t>Indemnification and Directors and Officers Insurance</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Consideration of the Merger by ClearOne's Board of Directors and</w:t>
      </w:r>
    </w:p>
    <w:p>
      <w:pPr>
        <w:spacing w:after="0" w:line="1" w:lineRule="exact"/>
        <w:rPr>
          <w:sz w:val="20"/>
          <w:szCs w:val="20"/>
          <w:color w:val="auto"/>
        </w:rPr>
      </w:pPr>
    </w:p>
    <w:p>
      <w:pPr>
        <w:ind w:left="520"/>
        <w:spacing w:after="0"/>
        <w:tabs>
          <w:tab w:leader="dot" w:pos="6620" w:val="left"/>
        </w:tabs>
        <w:rPr>
          <w:sz w:val="20"/>
          <w:szCs w:val="20"/>
          <w:color w:val="auto"/>
        </w:rPr>
      </w:pPr>
      <w:r>
        <w:rPr>
          <w:rFonts w:ascii="Courier New" w:cs="Courier New" w:eastAsia="Courier New" w:hAnsi="Courier New"/>
          <w:sz w:val="15"/>
          <w:szCs w:val="15"/>
          <w:color w:val="auto"/>
        </w:rPr>
        <w:t>Reasons for the Merger</w:t>
      </w:r>
      <w:r>
        <w:rPr>
          <w:sz w:val="20"/>
          <w:szCs w:val="20"/>
          <w:color w:val="auto"/>
        </w:rPr>
        <w:tab/>
      </w:r>
      <w:r>
        <w:rPr>
          <w:rFonts w:ascii="Courier New" w:cs="Courier New" w:eastAsia="Courier New" w:hAnsi="Courier New"/>
          <w:sz w:val="15"/>
          <w:szCs w:val="15"/>
          <w:color w:val="auto"/>
        </w:rPr>
        <w:t>40</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Other Prior Contacts Between ClearOne and E.mergent</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Restrictions on Resale of ClearOne Common Stock</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Accounting Treatment of the Merger</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Material U.S. Federal Income Tax Consequences</w:t>
      </w:r>
      <w:r>
        <w:rPr>
          <w:sz w:val="20"/>
          <w:szCs w:val="20"/>
          <w:color w:val="auto"/>
        </w:rPr>
        <w:tab/>
      </w:r>
      <w:r>
        <w:rPr>
          <w:rFonts w:ascii="Courier New" w:cs="Courier New" w:eastAsia="Courier New" w:hAnsi="Courier New"/>
          <w:sz w:val="15"/>
          <w:szCs w:val="15"/>
          <w:color w:val="auto"/>
        </w:rPr>
        <w:t>42</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Governmental Approvals and Regulatory Requirements</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Dissenters' Rights of Appraisal</w:t>
      </w:r>
      <w:r>
        <w:rPr>
          <w:sz w:val="20"/>
          <w:szCs w:val="20"/>
          <w:color w:val="auto"/>
        </w:rPr>
        <w:tab/>
      </w:r>
      <w:r>
        <w:rPr>
          <w:rFonts w:ascii="Courier New" w:cs="Courier New" w:eastAsia="Courier New" w:hAnsi="Courier New"/>
          <w:sz w:val="15"/>
          <w:szCs w:val="15"/>
          <w:color w:val="auto"/>
        </w:rPr>
        <w:t>44</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Description of ClearOne Capital Stock</w:t>
      </w:r>
      <w:r>
        <w:rPr>
          <w:sz w:val="20"/>
          <w:szCs w:val="20"/>
          <w:color w:val="auto"/>
        </w:rPr>
        <w:tab/>
      </w:r>
      <w:r>
        <w:rPr>
          <w:rFonts w:ascii="Courier New" w:cs="Courier New" w:eastAsia="Courier New" w:hAnsi="Courier New"/>
          <w:sz w:val="15"/>
          <w:szCs w:val="15"/>
          <w:color w:val="auto"/>
        </w:rPr>
        <w:t>45</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Listing with Nasdaq the ClearOne Common Stock to be Issued in</w:t>
      </w:r>
    </w:p>
    <w:p>
      <w:pPr>
        <w:spacing w:after="0" w:line="1" w:lineRule="exact"/>
        <w:rPr>
          <w:sz w:val="20"/>
          <w:szCs w:val="20"/>
          <w:color w:val="auto"/>
        </w:rPr>
      </w:pPr>
    </w:p>
    <w:p>
      <w:pPr>
        <w:ind w:left="520"/>
        <w:spacing w:after="0"/>
        <w:tabs>
          <w:tab w:leader="dot" w:pos="662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Delisting and Deregistration of E.mergent Common Stock After</w:t>
      </w:r>
    </w:p>
    <w:p>
      <w:pPr>
        <w:spacing w:after="0" w:line="1" w:lineRule="exact"/>
        <w:rPr>
          <w:sz w:val="20"/>
          <w:szCs w:val="20"/>
          <w:color w:val="auto"/>
        </w:rPr>
      </w:pPr>
    </w:p>
    <w:p>
      <w:pPr>
        <w:ind w:left="520"/>
        <w:spacing w:after="0"/>
        <w:tabs>
          <w:tab w:leader="dot" w:pos="6620" w:val="left"/>
        </w:tabs>
        <w:rPr>
          <w:sz w:val="20"/>
          <w:szCs w:val="20"/>
          <w:color w:val="auto"/>
        </w:rPr>
      </w:pPr>
      <w:r>
        <w:rPr>
          <w:rFonts w:ascii="Courier New" w:cs="Courier New" w:eastAsia="Courier New" w:hAnsi="Courier New"/>
          <w:sz w:val="15"/>
          <w:szCs w:val="15"/>
          <w:color w:val="auto"/>
        </w:rPr>
        <w:t>the Merger</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Operations After the Merger</w:t>
      </w:r>
      <w:r>
        <w:rPr>
          <w:sz w:val="20"/>
          <w:szCs w:val="20"/>
          <w:color w:val="auto"/>
        </w:rPr>
        <w:tab/>
      </w:r>
      <w:r>
        <w:rPr>
          <w:rFonts w:ascii="Courier New" w:cs="Courier New" w:eastAsia="Courier New" w:hAnsi="Courier New"/>
          <w:sz w:val="15"/>
          <w:szCs w:val="15"/>
          <w:color w:val="auto"/>
        </w:rPr>
        <w:t>46</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Exchange of E.mergent Stock Certificates for ClearOne Stock</w:t>
      </w:r>
    </w:p>
    <w:p>
      <w:pPr>
        <w:spacing w:after="0" w:line="1" w:lineRule="exact"/>
        <w:rPr>
          <w:sz w:val="20"/>
          <w:szCs w:val="20"/>
          <w:color w:val="auto"/>
        </w:rPr>
      </w:pPr>
    </w:p>
    <w:p>
      <w:pPr>
        <w:ind w:left="520"/>
        <w:spacing w:after="0"/>
        <w:tabs>
          <w:tab w:leader="dot" w:pos="6620" w:val="left"/>
        </w:tabs>
        <w:rPr>
          <w:sz w:val="20"/>
          <w:szCs w:val="20"/>
          <w:color w:val="auto"/>
        </w:rPr>
      </w:pPr>
      <w:r>
        <w:rPr>
          <w:rFonts w:ascii="Courier New" w:cs="Courier New" w:eastAsia="Courier New" w:hAnsi="Courier New"/>
          <w:sz w:val="15"/>
          <w:szCs w:val="15"/>
          <w:color w:val="auto"/>
        </w:rPr>
        <w:t>Certificates</w:t>
      </w:r>
      <w:r>
        <w:rPr>
          <w:sz w:val="20"/>
          <w:szCs w:val="20"/>
          <w:color w:val="auto"/>
        </w:rPr>
        <w:tab/>
      </w:r>
      <w:r>
        <w:rPr>
          <w:rFonts w:ascii="Courier New" w:cs="Courier New" w:eastAsia="Courier New" w:hAnsi="Courier New"/>
          <w:sz w:val="15"/>
          <w:szCs w:val="15"/>
          <w:color w:val="auto"/>
        </w:rPr>
        <w:t>46</w:t>
      </w:r>
    </w:p>
    <w:p>
      <w:pPr>
        <w:spacing w:after="0" w:line="171"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5"/>
          <w:szCs w:val="15"/>
          <w:color w:val="auto"/>
        </w:rPr>
        <w:t>AGREEMENT AND PLAN OF MERGER</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Structure of the Merger</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Completion and Effectiveness of the Merger</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Conversion of E.mergent Common Stock</w:t>
      </w:r>
      <w:r>
        <w:rPr>
          <w:sz w:val="20"/>
          <w:szCs w:val="20"/>
          <w:color w:val="auto"/>
        </w:rPr>
        <w:tab/>
      </w:r>
      <w:r>
        <w:rPr>
          <w:rFonts w:ascii="Courier New" w:cs="Courier New" w:eastAsia="Courier New" w:hAnsi="Courier New"/>
          <w:sz w:val="15"/>
          <w:szCs w:val="15"/>
          <w:color w:val="auto"/>
        </w:rPr>
        <w:t>47</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Fractional Shares</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Stock Options</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Certificate Exchange Procedures</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E.mergent's Representations and Warranties</w:t>
      </w:r>
      <w:r>
        <w:rPr>
          <w:sz w:val="20"/>
          <w:szCs w:val="20"/>
          <w:color w:val="auto"/>
        </w:rPr>
        <w:tab/>
      </w:r>
      <w:r>
        <w:rPr>
          <w:rFonts w:ascii="Courier New" w:cs="Courier New" w:eastAsia="Courier New" w:hAnsi="Courier New"/>
          <w:sz w:val="15"/>
          <w:szCs w:val="15"/>
          <w:color w:val="auto"/>
        </w:rPr>
        <w:t>49</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ClearOne's Representations and Warranties</w:t>
      </w:r>
      <w:r>
        <w:rPr>
          <w:sz w:val="20"/>
          <w:szCs w:val="20"/>
          <w:color w:val="auto"/>
        </w:rPr>
        <w:tab/>
      </w:r>
      <w:r>
        <w:rPr>
          <w:rFonts w:ascii="Courier New" w:cs="Courier New" w:eastAsia="Courier New" w:hAnsi="Courier New"/>
          <w:sz w:val="15"/>
          <w:szCs w:val="15"/>
          <w:color w:val="auto"/>
        </w:rPr>
        <w:t>50</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E.mergent's Conduct of Business Before Completion of the Merger</w:t>
      </w:r>
      <w:r>
        <w:rPr>
          <w:sz w:val="20"/>
          <w:szCs w:val="20"/>
          <w:color w:val="auto"/>
        </w:rPr>
        <w:tab/>
      </w:r>
      <w:r>
        <w:rPr>
          <w:rFonts w:ascii="Courier New" w:cs="Courier New" w:eastAsia="Courier New" w:hAnsi="Courier New"/>
          <w:sz w:val="15"/>
          <w:szCs w:val="15"/>
          <w:color w:val="auto"/>
        </w:rPr>
        <w:t>51</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ClearOne's Conduct of Business Before Completion of the Merger</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Material Covenants</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jc w:val="right"/>
        <w:ind w:right="3399"/>
        <w:spacing w:after="0"/>
        <w:tabs>
          <w:tab w:leader="dot" w:pos="160" w:val="left"/>
        </w:tabs>
        <w:rPr>
          <w:sz w:val="20"/>
          <w:szCs w:val="20"/>
          <w:color w:val="auto"/>
        </w:rPr>
      </w:pPr>
      <w:r>
        <w:rPr>
          <w:rFonts w:ascii="Courier New" w:cs="Courier New" w:eastAsia="Courier New" w:hAnsi="Courier New"/>
          <w:sz w:val="15"/>
          <w:szCs w:val="15"/>
          <w:color w:val="auto"/>
        </w:rPr>
        <w:t>Recommendation by E.mergent Board of Directors</w:t>
      </w:r>
      <w:r>
        <w:rPr>
          <w:sz w:val="20"/>
          <w:szCs w:val="20"/>
          <w:color w:val="auto"/>
        </w:rPr>
        <w:tab/>
      </w:r>
      <w:r>
        <w:rPr>
          <w:rFonts w:ascii="Courier New" w:cs="Courier New" w:eastAsia="Courier New" w:hAnsi="Courier New"/>
          <w:sz w:val="15"/>
          <w:szCs w:val="15"/>
          <w:color w:val="auto"/>
        </w:rPr>
        <w:t>52</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Solicitations by E.mergent; Withdrawal of Recommendation by</w:t>
      </w:r>
    </w:p>
    <w:p>
      <w:pPr>
        <w:spacing w:after="0" w:line="1" w:lineRule="exact"/>
        <w:rPr>
          <w:sz w:val="20"/>
          <w:szCs w:val="20"/>
          <w:color w:val="auto"/>
        </w:rPr>
      </w:pPr>
    </w:p>
    <w:p>
      <w:pPr>
        <w:jc w:val="right"/>
        <w:ind w:right="3399"/>
        <w:spacing w:after="0"/>
        <w:tabs>
          <w:tab w:leader="dot" w:pos="160" w:val="left"/>
        </w:tabs>
        <w:rPr>
          <w:sz w:val="20"/>
          <w:szCs w:val="20"/>
          <w:color w:val="auto"/>
        </w:rPr>
      </w:pPr>
      <w:r>
        <w:rPr>
          <w:rFonts w:ascii="Courier New" w:cs="Courier New" w:eastAsia="Courier New" w:hAnsi="Courier New"/>
          <w:sz w:val="15"/>
          <w:szCs w:val="15"/>
          <w:color w:val="auto"/>
        </w:rPr>
        <w:t>E.mergent Board of Directors</w:t>
      </w:r>
      <w:r>
        <w:rPr>
          <w:sz w:val="20"/>
          <w:szCs w:val="20"/>
          <w:color w:val="auto"/>
        </w:rPr>
        <w:tab/>
      </w:r>
      <w:r>
        <w:rPr>
          <w:rFonts w:ascii="Courier New" w:cs="Courier New" w:eastAsia="Courier New" w:hAnsi="Courier New"/>
          <w:sz w:val="15"/>
          <w:szCs w:val="15"/>
          <w:color w:val="auto"/>
        </w:rPr>
        <w:t>53</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Other Covenants</w:t>
      </w:r>
      <w:r>
        <w:rPr>
          <w:sz w:val="20"/>
          <w:szCs w:val="20"/>
          <w:color w:val="auto"/>
        </w:rPr>
        <w:tab/>
      </w:r>
      <w:r>
        <w:rPr>
          <w:rFonts w:ascii="Courier New" w:cs="Courier New" w:eastAsia="Courier New" w:hAnsi="Courier New"/>
          <w:sz w:val="15"/>
          <w:szCs w:val="15"/>
          <w:color w:val="auto"/>
        </w:rPr>
        <w:t>55</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Conditions to Completion of the Merger</w:t>
      </w:r>
      <w:r>
        <w:rPr>
          <w:sz w:val="20"/>
          <w:szCs w:val="20"/>
          <w:color w:val="auto"/>
        </w:rPr>
        <w:tab/>
      </w:r>
      <w:r>
        <w:rPr>
          <w:rFonts w:ascii="Courier New" w:cs="Courier New" w:eastAsia="Courier New" w:hAnsi="Courier New"/>
          <w:sz w:val="15"/>
          <w:szCs w:val="15"/>
          <w:color w:val="auto"/>
        </w:rPr>
        <w:t>56</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Termination of the Merger Agreement</w:t>
      </w:r>
      <w:r>
        <w:rPr>
          <w:sz w:val="20"/>
          <w:szCs w:val="20"/>
          <w:color w:val="auto"/>
        </w:rPr>
        <w:tab/>
      </w:r>
      <w:r>
        <w:rPr>
          <w:rFonts w:ascii="Courier New" w:cs="Courier New" w:eastAsia="Courier New" w:hAnsi="Courier New"/>
          <w:sz w:val="15"/>
          <w:szCs w:val="15"/>
          <w:color w:val="auto"/>
        </w:rPr>
        <w:t>57</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Payment of the Termination Fee</w:t>
      </w:r>
      <w:r>
        <w:rPr>
          <w:sz w:val="20"/>
          <w:szCs w:val="20"/>
          <w:color w:val="auto"/>
        </w:rPr>
        <w:tab/>
      </w:r>
      <w:r>
        <w:rPr>
          <w:rFonts w:ascii="Courier New" w:cs="Courier New" w:eastAsia="Courier New" w:hAnsi="Courier New"/>
          <w:sz w:val="15"/>
          <w:szCs w:val="15"/>
          <w:color w:val="auto"/>
        </w:rPr>
        <w:t>59</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Effect of Termination</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Extension, Waiver and Amendment of the Merger Agreement</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Definition of Material Adverse Effect</w:t>
      </w:r>
      <w:r>
        <w:rPr>
          <w:sz w:val="20"/>
          <w:szCs w:val="20"/>
          <w:color w:val="auto"/>
        </w:rPr>
        <w:tab/>
      </w:r>
      <w:r>
        <w:rPr>
          <w:rFonts w:ascii="Courier New" w:cs="Courier New" w:eastAsia="Courier New" w:hAnsi="Courier New"/>
          <w:sz w:val="15"/>
          <w:szCs w:val="15"/>
          <w:color w:val="auto"/>
        </w:rPr>
        <w:t>60</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Amendment of Merger Agreement</w:t>
      </w:r>
      <w:r>
        <w:rPr>
          <w:sz w:val="20"/>
          <w:szCs w:val="20"/>
          <w:color w:val="auto"/>
        </w:rPr>
        <w:tab/>
      </w:r>
      <w:r>
        <w:rPr>
          <w:rFonts w:ascii="Courier New" w:cs="Courier New" w:eastAsia="Courier New" w:hAnsi="Courier New"/>
          <w:sz w:val="15"/>
          <w:szCs w:val="15"/>
          <w:color w:val="auto"/>
        </w:rPr>
        <w:t>60</w:t>
      </w:r>
    </w:p>
    <w:p>
      <w:pPr>
        <w:spacing w:after="0" w:line="171"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5"/>
          <w:szCs w:val="15"/>
          <w:color w:val="auto"/>
        </w:rPr>
        <w:t>ANCILLARY AGREEMENTS</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Voting Agreement</w:t>
      </w:r>
      <w:r>
        <w:rPr>
          <w:sz w:val="20"/>
          <w:szCs w:val="20"/>
          <w:color w:val="auto"/>
        </w:rPr>
        <w:tab/>
      </w:r>
      <w:r>
        <w:rPr>
          <w:rFonts w:ascii="Courier New" w:cs="Courier New" w:eastAsia="Courier New" w:hAnsi="Courier New"/>
          <w:sz w:val="15"/>
          <w:szCs w:val="15"/>
          <w:color w:val="auto"/>
        </w:rPr>
        <w:t>61</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Affiliate Agreements</w:t>
      </w:r>
      <w:r>
        <w:rPr>
          <w:sz w:val="20"/>
          <w:szCs w:val="20"/>
          <w:color w:val="auto"/>
        </w:rPr>
        <w:tab/>
      </w:r>
      <w:r>
        <w:rPr>
          <w:rFonts w:ascii="Courier New" w:cs="Courier New" w:eastAsia="Courier New" w:hAnsi="Courier New"/>
          <w:sz w:val="15"/>
          <w:szCs w:val="15"/>
          <w:color w:val="auto"/>
        </w:rPr>
        <w:t>62</w:t>
      </w:r>
    </w:p>
    <w:p>
      <w:pPr>
        <w:spacing w:after="0" w:line="171"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5"/>
          <w:szCs w:val="15"/>
          <w:color w:val="auto"/>
        </w:rPr>
        <w:t>INFORMATION ABOUT E.MERGENT</w:t>
      </w:r>
      <w:r>
        <w:rPr>
          <w:sz w:val="20"/>
          <w:szCs w:val="20"/>
          <w:color w:val="auto"/>
        </w:rPr>
        <w:tab/>
      </w:r>
      <w:r>
        <w:rPr>
          <w:rFonts w:ascii="Courier New" w:cs="Courier New" w:eastAsia="Courier New" w:hAnsi="Courier New"/>
          <w:sz w:val="15"/>
          <w:szCs w:val="15"/>
          <w:color w:val="auto"/>
        </w:rPr>
        <w:t>63</w:t>
      </w:r>
    </w:p>
    <w:p>
      <w:pPr>
        <w:spacing w:after="0" w:line="17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19"/>
          </w:cols>
          <w:pgMar w:left="240" w:top="628" w:right="1440" w:bottom="1440" w:gutter="0" w:footer="0" w:header="0"/>
        </w:sectPr>
      </w:pPr>
    </w:p>
    <w:bookmarkStart w:id="6" w:name="page7"/>
    <w:bookmarkEnd w:id="6"/>
    <w:p>
      <w:pPr>
        <w:spacing w:after="0"/>
        <w:tabs>
          <w:tab w:leader="dot" w:pos="6620" w:val="left"/>
        </w:tabs>
        <w:rPr>
          <w:sz w:val="20"/>
          <w:szCs w:val="20"/>
          <w:color w:val="auto"/>
        </w:rPr>
      </w:pPr>
      <w:r>
        <w:rPr>
          <w:rFonts w:ascii="Courier New" w:cs="Courier New" w:eastAsia="Courier New" w:hAnsi="Courier New"/>
          <w:sz w:val="15"/>
          <w:szCs w:val="15"/>
          <w:color w:val="auto"/>
        </w:rPr>
        <w:t>INFORMATION ABOUT CLEARONE</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Amendment of Agreement Regarding Acquisition of Ivron Systems</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64</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Marketing</w:t>
      </w:r>
      <w:r>
        <w:rPr>
          <w:sz w:val="20"/>
          <w:szCs w:val="20"/>
          <w:color w:val="auto"/>
        </w:rPr>
        <w:tab/>
      </w:r>
      <w:r>
        <w:rPr>
          <w:rFonts w:ascii="Courier New" w:cs="Courier New" w:eastAsia="Courier New" w:hAnsi="Courier New"/>
          <w:sz w:val="15"/>
          <w:szCs w:val="15"/>
          <w:color w:val="auto"/>
        </w:rPr>
        <w:t>65</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Recent Financial Developments</w:t>
      </w:r>
      <w:r>
        <w:rPr>
          <w:sz w:val="20"/>
          <w:szCs w:val="20"/>
          <w:color w:val="auto"/>
        </w:rPr>
        <w:tab/>
      </w:r>
      <w:r>
        <w:rPr>
          <w:rFonts w:ascii="Courier New" w:cs="Courier New" w:eastAsia="Courier New" w:hAnsi="Courier New"/>
          <w:sz w:val="15"/>
          <w:szCs w:val="15"/>
          <w:color w:val="auto"/>
        </w:rPr>
        <w:t>65</w:t>
      </w:r>
    </w:p>
    <w:p>
      <w:pPr>
        <w:spacing w:after="0" w:line="171"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5"/>
          <w:szCs w:val="15"/>
          <w:color w:val="auto"/>
        </w:rPr>
        <w:t>COMPARISON OF STOCKHOLDER RIGHTS</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Authorized Shares of Capital Stock</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Directors</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ind w:left="700"/>
        <w:spacing w:after="0"/>
        <w:tabs>
          <w:tab w:leader="dot" w:pos="66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ind w:left="700"/>
        <w:spacing w:after="0"/>
        <w:tabs>
          <w:tab w:leader="dot" w:pos="6620" w:val="left"/>
        </w:tabs>
        <w:rPr>
          <w:sz w:val="20"/>
          <w:szCs w:val="20"/>
          <w:color w:val="auto"/>
        </w:rPr>
      </w:pPr>
      <w:r>
        <w:rPr>
          <w:rFonts w:ascii="Courier New" w:cs="Courier New" w:eastAsia="Courier New" w:hAnsi="Courier New"/>
          <w:sz w:val="15"/>
          <w:szCs w:val="15"/>
          <w:color w:val="auto"/>
        </w:rPr>
        <w:t>Special Meetings</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ind w:left="700"/>
        <w:spacing w:after="0"/>
        <w:tabs>
          <w:tab w:leader="dot" w:pos="6620" w:val="left"/>
        </w:tabs>
        <w:rPr>
          <w:sz w:val="20"/>
          <w:szCs w:val="20"/>
          <w:color w:val="auto"/>
        </w:rPr>
      </w:pPr>
      <w:r>
        <w:rPr>
          <w:rFonts w:ascii="Courier New" w:cs="Courier New" w:eastAsia="Courier New" w:hAnsi="Courier New"/>
          <w:sz w:val="15"/>
          <w:szCs w:val="15"/>
          <w:color w:val="auto"/>
        </w:rPr>
        <w:t>Removal</w:t>
      </w:r>
      <w:r>
        <w:rPr>
          <w:sz w:val="20"/>
          <w:szCs w:val="20"/>
          <w:color w:val="auto"/>
        </w:rPr>
        <w:tab/>
      </w:r>
      <w:r>
        <w:rPr>
          <w:rFonts w:ascii="Courier New" w:cs="Courier New" w:eastAsia="Courier New" w:hAnsi="Courier New"/>
          <w:sz w:val="15"/>
          <w:szCs w:val="15"/>
          <w:color w:val="auto"/>
        </w:rPr>
        <w:t>67</w:t>
      </w:r>
    </w:p>
    <w:p>
      <w:pPr>
        <w:spacing w:after="0" w:line="1" w:lineRule="exact"/>
        <w:rPr>
          <w:sz w:val="20"/>
          <w:szCs w:val="20"/>
          <w:color w:val="auto"/>
        </w:rPr>
      </w:pPr>
    </w:p>
    <w:p>
      <w:pPr>
        <w:ind w:left="700"/>
        <w:spacing w:after="0"/>
        <w:tabs>
          <w:tab w:leader="dot" w:pos="6620" w:val="left"/>
        </w:tabs>
        <w:rPr>
          <w:sz w:val="20"/>
          <w:szCs w:val="20"/>
          <w:color w:val="auto"/>
        </w:rPr>
      </w:pPr>
      <w:r>
        <w:rPr>
          <w:rFonts w:ascii="Courier New" w:cs="Courier New" w:eastAsia="Courier New" w:hAnsi="Courier New"/>
          <w:sz w:val="15"/>
          <w:szCs w:val="15"/>
          <w:color w:val="auto"/>
        </w:rPr>
        <w:t>Election</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Stockholder Action by Written Consent</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Ability to Call Special Meetings of Stockholders</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Amendments To Charter</w:t>
      </w:r>
      <w:r>
        <w:rPr>
          <w:sz w:val="20"/>
          <w:szCs w:val="20"/>
          <w:color w:val="auto"/>
        </w:rPr>
        <w:tab/>
      </w:r>
      <w:r>
        <w:rPr>
          <w:rFonts w:ascii="Courier New" w:cs="Courier New" w:eastAsia="Courier New" w:hAnsi="Courier New"/>
          <w:sz w:val="15"/>
          <w:szCs w:val="15"/>
          <w:color w:val="auto"/>
        </w:rPr>
        <w:t>68</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Amendments To By-laws</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Limitation of Liability of Directors</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Indemnification of Directors and Officers</w:t>
      </w:r>
      <w:r>
        <w:rPr>
          <w:sz w:val="20"/>
          <w:szCs w:val="20"/>
          <w:color w:val="auto"/>
        </w:rPr>
        <w:tab/>
      </w:r>
      <w:r>
        <w:rPr>
          <w:rFonts w:ascii="Courier New" w:cs="Courier New" w:eastAsia="Courier New" w:hAnsi="Courier New"/>
          <w:sz w:val="15"/>
          <w:szCs w:val="15"/>
          <w:color w:val="auto"/>
        </w:rPr>
        <w:t>69</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Dissenters' Rights</w:t>
      </w:r>
      <w:r>
        <w:rPr>
          <w:sz w:val="20"/>
          <w:szCs w:val="20"/>
          <w:color w:val="auto"/>
        </w:rPr>
        <w:tab/>
      </w:r>
      <w:r>
        <w:rPr>
          <w:rFonts w:ascii="Courier New" w:cs="Courier New" w:eastAsia="Courier New" w:hAnsi="Courier New"/>
          <w:sz w:val="15"/>
          <w:szCs w:val="15"/>
          <w:color w:val="auto"/>
        </w:rPr>
        <w:t>70</w:t>
      </w:r>
    </w:p>
    <w:p>
      <w:pPr>
        <w:spacing w:after="0" w:line="1" w:lineRule="exact"/>
        <w:rPr>
          <w:sz w:val="20"/>
          <w:szCs w:val="20"/>
          <w:color w:val="auto"/>
        </w:rPr>
      </w:pPr>
    </w:p>
    <w:p>
      <w:pPr>
        <w:ind w:left="340"/>
        <w:spacing w:after="0"/>
        <w:tabs>
          <w:tab w:leader="dot" w:pos="6620" w:val="left"/>
        </w:tabs>
        <w:rPr>
          <w:sz w:val="20"/>
          <w:szCs w:val="20"/>
          <w:color w:val="auto"/>
        </w:rPr>
      </w:pPr>
      <w:r>
        <w:rPr>
          <w:rFonts w:ascii="Courier New" w:cs="Courier New" w:eastAsia="Courier New" w:hAnsi="Courier New"/>
          <w:sz w:val="15"/>
          <w:szCs w:val="15"/>
          <w:color w:val="auto"/>
        </w:rPr>
        <w:t>Anti-Takeover Statutes</w:t>
      </w:r>
      <w:r>
        <w:rPr>
          <w:sz w:val="20"/>
          <w:szCs w:val="20"/>
          <w:color w:val="auto"/>
        </w:rPr>
        <w:tab/>
      </w:r>
      <w:r>
        <w:rPr>
          <w:rFonts w:ascii="Courier New" w:cs="Courier New" w:eastAsia="Courier New" w:hAnsi="Courier New"/>
          <w:sz w:val="15"/>
          <w:szCs w:val="15"/>
          <w:color w:val="auto"/>
        </w:rPr>
        <w:t>70</w:t>
      </w:r>
    </w:p>
    <w:p>
      <w:pPr>
        <w:spacing w:after="0" w:line="171"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5"/>
          <w:szCs w:val="15"/>
          <w:color w:val="auto"/>
        </w:rPr>
        <w:t>WHERE YOU CAN FIND MORE INFORMATION</w:t>
      </w:r>
      <w:r>
        <w:rPr>
          <w:sz w:val="20"/>
          <w:szCs w:val="20"/>
          <w:color w:val="auto"/>
        </w:rPr>
        <w:tab/>
      </w:r>
      <w:r>
        <w:rPr>
          <w:rFonts w:ascii="Courier New" w:cs="Courier New" w:eastAsia="Courier New" w:hAnsi="Courier New"/>
          <w:sz w:val="15"/>
          <w:szCs w:val="15"/>
          <w:color w:val="auto"/>
        </w:rPr>
        <w:t>72</w:t>
      </w:r>
    </w:p>
    <w:p>
      <w:pPr>
        <w:spacing w:after="0" w:line="171"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5"/>
          <w:szCs w:val="15"/>
          <w:color w:val="auto"/>
        </w:rPr>
        <w:t>LEGAL AND TAX MATTERS</w:t>
      </w:r>
      <w:r>
        <w:rPr>
          <w:sz w:val="20"/>
          <w:szCs w:val="20"/>
          <w:color w:val="auto"/>
        </w:rPr>
        <w:tab/>
      </w:r>
      <w:r>
        <w:rPr>
          <w:rFonts w:ascii="Courier New" w:cs="Courier New" w:eastAsia="Courier New" w:hAnsi="Courier New"/>
          <w:sz w:val="15"/>
          <w:szCs w:val="15"/>
          <w:color w:val="auto"/>
        </w:rPr>
        <w:t>74</w:t>
      </w:r>
    </w:p>
    <w:p>
      <w:pPr>
        <w:spacing w:after="0" w:line="171"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74</w:t>
      </w:r>
    </w:p>
    <w:p>
      <w:pPr>
        <w:spacing w:after="0" w:line="171" w:lineRule="exact"/>
        <w:rPr>
          <w:sz w:val="20"/>
          <w:szCs w:val="20"/>
          <w:color w:val="auto"/>
        </w:rPr>
      </w:pPr>
    </w:p>
    <w:p>
      <w:pPr>
        <w:spacing w:after="0"/>
        <w:tabs>
          <w:tab w:leader="dot" w:pos="6620" w:val="left"/>
        </w:tabs>
        <w:rPr>
          <w:sz w:val="20"/>
          <w:szCs w:val="20"/>
          <w:color w:val="auto"/>
        </w:rPr>
      </w:pPr>
      <w:r>
        <w:rPr>
          <w:rFonts w:ascii="Courier New" w:cs="Courier New" w:eastAsia="Courier New" w:hAnsi="Courier New"/>
          <w:sz w:val="15"/>
          <w:szCs w:val="15"/>
          <w:color w:val="auto"/>
        </w:rPr>
        <w:t>LIST OF ANNEXES</w:t>
      </w:r>
      <w:r>
        <w:rPr>
          <w:sz w:val="20"/>
          <w:szCs w:val="20"/>
          <w:color w:val="auto"/>
        </w:rPr>
        <w:tab/>
      </w:r>
      <w:r>
        <w:rPr>
          <w:rFonts w:ascii="Courier New" w:cs="Courier New" w:eastAsia="Courier New" w:hAnsi="Courier New"/>
          <w:sz w:val="15"/>
          <w:szCs w:val="15"/>
          <w:color w:val="auto"/>
        </w:rPr>
        <w:t>75</w:t>
      </w:r>
    </w:p>
    <w:p>
      <w:pPr>
        <w:spacing w:after="0" w:line="1" w:lineRule="exact"/>
        <w:rPr>
          <w:sz w:val="20"/>
          <w:szCs w:val="20"/>
          <w:color w:val="auto"/>
        </w:rPr>
      </w:pPr>
    </w:p>
    <w:p>
      <w:pPr>
        <w:ind w:left="340"/>
        <w:spacing w:after="0"/>
        <w:tabs>
          <w:tab w:leader="none" w:pos="1480" w:val="left"/>
          <w:tab w:leader="dot" w:pos="6620" w:val="left"/>
        </w:tabs>
        <w:rPr>
          <w:sz w:val="20"/>
          <w:szCs w:val="20"/>
          <w:color w:val="auto"/>
        </w:rPr>
      </w:pPr>
      <w:r>
        <w:rPr>
          <w:rFonts w:ascii="Courier New" w:cs="Courier New" w:eastAsia="Courier New" w:hAnsi="Courier New"/>
          <w:sz w:val="15"/>
          <w:szCs w:val="15"/>
          <w:color w:val="auto"/>
        </w:rPr>
        <w:t>ANNEX A</w:t>
      </w:r>
      <w:r>
        <w:rPr>
          <w:sz w:val="20"/>
          <w:szCs w:val="20"/>
          <w:color w:val="auto"/>
        </w:rPr>
        <w:tab/>
      </w:r>
      <w:r>
        <w:rPr>
          <w:rFonts w:ascii="Courier New" w:cs="Courier New" w:eastAsia="Courier New" w:hAnsi="Courier New"/>
          <w:sz w:val="15"/>
          <w:szCs w:val="15"/>
          <w:color w:val="auto"/>
        </w:rPr>
        <w:t>Agreement and Plan of Merger</w:t>
      </w:r>
      <w:r>
        <w:rPr>
          <w:sz w:val="20"/>
          <w:szCs w:val="20"/>
          <w:color w:val="auto"/>
        </w:rPr>
        <w:tab/>
      </w:r>
      <w:r>
        <w:rPr>
          <w:rFonts w:ascii="Courier New" w:cs="Courier New" w:eastAsia="Courier New" w:hAnsi="Courier New"/>
          <w:sz w:val="15"/>
          <w:szCs w:val="15"/>
          <w:color w:val="auto"/>
        </w:rPr>
        <w:t>A-1</w:t>
      </w:r>
    </w:p>
    <w:p>
      <w:pPr>
        <w:spacing w:after="0" w:line="1" w:lineRule="exact"/>
        <w:rPr>
          <w:sz w:val="20"/>
          <w:szCs w:val="20"/>
          <w:color w:val="auto"/>
        </w:rPr>
      </w:pPr>
    </w:p>
    <w:p>
      <w:pPr>
        <w:ind w:left="340"/>
        <w:spacing w:after="0"/>
        <w:tabs>
          <w:tab w:leader="none" w:pos="1480" w:val="left"/>
          <w:tab w:leader="dot" w:pos="6620" w:val="left"/>
        </w:tabs>
        <w:rPr>
          <w:sz w:val="20"/>
          <w:szCs w:val="20"/>
          <w:color w:val="auto"/>
        </w:rPr>
      </w:pPr>
      <w:r>
        <w:rPr>
          <w:rFonts w:ascii="Courier New" w:cs="Courier New" w:eastAsia="Courier New" w:hAnsi="Courier New"/>
          <w:sz w:val="15"/>
          <w:szCs w:val="15"/>
          <w:color w:val="auto"/>
        </w:rPr>
        <w:t>ANNEX A-1</w:t>
      </w:r>
      <w:r>
        <w:rPr>
          <w:sz w:val="20"/>
          <w:szCs w:val="20"/>
          <w:color w:val="auto"/>
        </w:rPr>
        <w:tab/>
      </w:r>
      <w:r>
        <w:rPr>
          <w:rFonts w:ascii="Courier New" w:cs="Courier New" w:eastAsia="Courier New" w:hAnsi="Courier New"/>
          <w:sz w:val="15"/>
          <w:szCs w:val="15"/>
          <w:color w:val="auto"/>
        </w:rPr>
        <w:t>Amendment No. 1 to Agreement and Plan of Merger</w:t>
      </w:r>
      <w:r>
        <w:rPr>
          <w:sz w:val="20"/>
          <w:szCs w:val="20"/>
          <w:color w:val="auto"/>
        </w:rPr>
        <w:tab/>
      </w:r>
      <w:r>
        <w:rPr>
          <w:rFonts w:ascii="Courier New" w:cs="Courier New" w:eastAsia="Courier New" w:hAnsi="Courier New"/>
          <w:sz w:val="15"/>
          <w:szCs w:val="15"/>
          <w:color w:val="auto"/>
        </w:rPr>
        <w:t>A-1-1</w:t>
      </w:r>
    </w:p>
    <w:p>
      <w:pPr>
        <w:spacing w:after="0" w:line="1" w:lineRule="exact"/>
        <w:rPr>
          <w:sz w:val="20"/>
          <w:szCs w:val="20"/>
          <w:color w:val="auto"/>
        </w:rPr>
      </w:pPr>
    </w:p>
    <w:p>
      <w:pPr>
        <w:ind w:left="340"/>
        <w:spacing w:after="0"/>
        <w:tabs>
          <w:tab w:leader="none" w:pos="1480" w:val="left"/>
          <w:tab w:leader="dot" w:pos="6620" w:val="left"/>
        </w:tabs>
        <w:rPr>
          <w:sz w:val="20"/>
          <w:szCs w:val="20"/>
          <w:color w:val="auto"/>
        </w:rPr>
      </w:pPr>
      <w:r>
        <w:rPr>
          <w:rFonts w:ascii="Courier New" w:cs="Courier New" w:eastAsia="Courier New" w:hAnsi="Courier New"/>
          <w:sz w:val="15"/>
          <w:szCs w:val="15"/>
          <w:color w:val="auto"/>
        </w:rPr>
        <w:t>Annex B</w:t>
      </w:r>
      <w:r>
        <w:rPr>
          <w:sz w:val="20"/>
          <w:szCs w:val="20"/>
          <w:color w:val="auto"/>
        </w:rPr>
        <w:tab/>
      </w:r>
      <w:r>
        <w:rPr>
          <w:rFonts w:ascii="Courier New" w:cs="Courier New" w:eastAsia="Courier New" w:hAnsi="Courier New"/>
          <w:sz w:val="15"/>
          <w:szCs w:val="15"/>
          <w:color w:val="auto"/>
        </w:rPr>
        <w:t>Form of Voting Agreement</w:t>
      </w:r>
      <w:r>
        <w:rPr>
          <w:sz w:val="20"/>
          <w:szCs w:val="20"/>
          <w:color w:val="auto"/>
        </w:rPr>
        <w:tab/>
      </w:r>
      <w:r>
        <w:rPr>
          <w:rFonts w:ascii="Courier New" w:cs="Courier New" w:eastAsia="Courier New" w:hAnsi="Courier New"/>
          <w:sz w:val="15"/>
          <w:szCs w:val="15"/>
          <w:color w:val="auto"/>
        </w:rPr>
        <w:t>B-1</w:t>
      </w:r>
    </w:p>
    <w:p>
      <w:pPr>
        <w:spacing w:after="0" w:line="1" w:lineRule="exact"/>
        <w:rPr>
          <w:sz w:val="20"/>
          <w:szCs w:val="20"/>
          <w:color w:val="auto"/>
        </w:rPr>
      </w:pPr>
    </w:p>
    <w:p>
      <w:pPr>
        <w:ind w:left="340"/>
        <w:spacing w:after="0"/>
        <w:tabs>
          <w:tab w:leader="none" w:pos="1480" w:val="left"/>
          <w:tab w:leader="dot" w:pos="6620" w:val="left"/>
        </w:tabs>
        <w:rPr>
          <w:sz w:val="20"/>
          <w:szCs w:val="20"/>
          <w:color w:val="auto"/>
        </w:rPr>
      </w:pPr>
      <w:r>
        <w:rPr>
          <w:rFonts w:ascii="Courier New" w:cs="Courier New" w:eastAsia="Courier New" w:hAnsi="Courier New"/>
          <w:sz w:val="15"/>
          <w:szCs w:val="15"/>
          <w:color w:val="auto"/>
        </w:rPr>
        <w:t>ANNEX C</w:t>
      </w:r>
      <w:r>
        <w:rPr>
          <w:sz w:val="20"/>
          <w:szCs w:val="20"/>
          <w:color w:val="auto"/>
        </w:rPr>
        <w:tab/>
      </w:r>
      <w:r>
        <w:rPr>
          <w:rFonts w:ascii="Courier New" w:cs="Courier New" w:eastAsia="Courier New" w:hAnsi="Courier New"/>
          <w:sz w:val="15"/>
          <w:szCs w:val="15"/>
          <w:color w:val="auto"/>
        </w:rPr>
        <w:t>Opinion of Goldsmith, Agio, Helms Securities, Inc</w:t>
      </w:r>
      <w:r>
        <w:rPr>
          <w:sz w:val="20"/>
          <w:szCs w:val="20"/>
          <w:color w:val="auto"/>
        </w:rPr>
        <w:tab/>
      </w:r>
      <w:r>
        <w:rPr>
          <w:rFonts w:ascii="Courier New" w:cs="Courier New" w:eastAsia="Courier New" w:hAnsi="Courier New"/>
          <w:sz w:val="15"/>
          <w:szCs w:val="15"/>
          <w:color w:val="auto"/>
        </w:rPr>
        <w:t>C-1</w:t>
      </w:r>
    </w:p>
    <w:p>
      <w:pPr>
        <w:spacing w:after="0" w:line="1" w:lineRule="exact"/>
        <w:rPr>
          <w:sz w:val="20"/>
          <w:szCs w:val="20"/>
          <w:color w:val="auto"/>
        </w:rPr>
      </w:pPr>
    </w:p>
    <w:p>
      <w:pPr>
        <w:ind w:left="340"/>
        <w:spacing w:after="0"/>
        <w:tabs>
          <w:tab w:leader="none" w:pos="1480" w:val="left"/>
          <w:tab w:leader="dot" w:pos="6620" w:val="left"/>
        </w:tabs>
        <w:rPr>
          <w:sz w:val="20"/>
          <w:szCs w:val="20"/>
          <w:color w:val="auto"/>
        </w:rPr>
      </w:pPr>
      <w:r>
        <w:rPr>
          <w:rFonts w:ascii="Courier New" w:cs="Courier New" w:eastAsia="Courier New" w:hAnsi="Courier New"/>
          <w:sz w:val="15"/>
          <w:szCs w:val="15"/>
          <w:color w:val="auto"/>
        </w:rPr>
        <w:t>ANNEX D</w:t>
      </w:r>
      <w:r>
        <w:rPr>
          <w:sz w:val="20"/>
          <w:szCs w:val="20"/>
          <w:color w:val="auto"/>
        </w:rPr>
        <w:tab/>
      </w:r>
      <w:r>
        <w:rPr>
          <w:rFonts w:ascii="Courier New" w:cs="Courier New" w:eastAsia="Courier New" w:hAnsi="Courier New"/>
          <w:sz w:val="15"/>
          <w:szCs w:val="15"/>
          <w:color w:val="auto"/>
        </w:rPr>
        <w:t>Section 262 of the Delaware General Corporate Law</w:t>
      </w:r>
      <w:r>
        <w:rPr>
          <w:sz w:val="20"/>
          <w:szCs w:val="20"/>
          <w:color w:val="auto"/>
        </w:rPr>
        <w:tab/>
      </w:r>
      <w:r>
        <w:rPr>
          <w:rFonts w:ascii="Courier New" w:cs="Courier New" w:eastAsia="Courier New" w:hAnsi="Courier New"/>
          <w:sz w:val="15"/>
          <w:szCs w:val="15"/>
          <w:color w:val="auto"/>
        </w:rPr>
        <w:t>D-1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19"/>
          </w:cols>
          <w:pgMar w:left="240" w:top="628" w:right="1440" w:bottom="1440" w:gutter="0" w:footer="0" w:header="0"/>
        </w:sectPr>
      </w:pPr>
    </w:p>
    <w:bookmarkStart w:id="7" w:name="page8"/>
    <w:bookmarkEnd w:id="7"/>
    <w:p>
      <w:pPr>
        <w:jc w:val="center"/>
        <w:ind w:right="3110"/>
        <w:spacing w:after="0"/>
        <w:rPr>
          <w:sz w:val="20"/>
          <w:szCs w:val="20"/>
          <w:color w:val="auto"/>
        </w:rPr>
      </w:pPr>
      <w:r>
        <w:rPr>
          <w:rFonts w:ascii="Courier New" w:cs="Courier New" w:eastAsia="Courier New" w:hAnsi="Courier New"/>
          <w:sz w:val="15"/>
          <w:szCs w:val="15"/>
          <w:color w:val="auto"/>
        </w:rPr>
        <w:t>QUESTIONS AND ANSWERS ABOUT THE MERGER</w:t>
      </w:r>
    </w:p>
    <w:p>
      <w:pPr>
        <w:spacing w:after="0" w:line="174" w:lineRule="exact"/>
        <w:rPr>
          <w:sz w:val="20"/>
          <w:szCs w:val="20"/>
          <w:color w:val="auto"/>
        </w:rPr>
      </w:pPr>
    </w:p>
    <w:p>
      <w:pPr>
        <w:ind w:left="9" w:right="3119" w:firstLine="355"/>
        <w:spacing w:after="0"/>
        <w:rPr>
          <w:sz w:val="20"/>
          <w:szCs w:val="20"/>
          <w:color w:val="auto"/>
        </w:rPr>
      </w:pPr>
      <w:r>
        <w:rPr>
          <w:rFonts w:ascii="Courier New" w:cs="Courier New" w:eastAsia="Courier New" w:hAnsi="Courier New"/>
          <w:sz w:val="15"/>
          <w:szCs w:val="15"/>
          <w:color w:val="auto"/>
        </w:rPr>
        <w:t>The following are some questions that you, as a stockholder of E.mergent, may have and answers to those questions. After this questions and answers section is a summary of the other information included in the proxy statement/prospectus. These questions and answers and the following summary section may not address all of the information that may be important to you as a stockholder of E.mergent. E.mergent and ClearOne urge you to read carefully the remainder of this proxy statement/prospectus because the information in these sections is not complete and additional important information is contained in the remainder of this proxy statement/prospectus, the annexes to this proxy statement/prospectus and the documents referred to or incorporated by reference in this proxy statement/prospectus.</w:t>
      </w:r>
    </w:p>
    <w:p>
      <w:pPr>
        <w:spacing w:after="0" w:line="176" w:lineRule="exact"/>
        <w:rPr>
          <w:sz w:val="20"/>
          <w:szCs w:val="20"/>
          <w:color w:val="auto"/>
        </w:rPr>
      </w:pPr>
    </w:p>
    <w:p>
      <w:pPr>
        <w:ind w:left="349" w:hanging="349"/>
        <w:spacing w:after="0"/>
        <w:tabs>
          <w:tab w:leader="none" w:pos="34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am I receiving this document and proxy card?</w:t>
      </w:r>
    </w:p>
    <w:p>
      <w:pPr>
        <w:spacing w:after="0" w:line="174" w:lineRule="exact"/>
        <w:rPr>
          <w:sz w:val="20"/>
          <w:szCs w:val="20"/>
          <w:color w:val="auto"/>
        </w:rPr>
      </w:pPr>
    </w:p>
    <w:p>
      <w:pPr>
        <w:ind w:left="349" w:right="3119" w:hanging="349"/>
        <w:spacing w:after="0"/>
        <w:tabs>
          <w:tab w:leader="none" w:pos="3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are receiving this document and proxy card because you own shares of E.mergent common stock. E.mergent and ClearOne are proposing to combine the two companies through a merger of E.mergent into a subsidiary of ClearOne. This document describes a proposal that the E.mergent stockholders adopt the merger agreement between the parties and approve the merger at a special shareholders meeting. This document also gives you information about E.mergent and ClearOne and other background information so that you can make an informed investment decision, as ClearOne is offering its shares of common stock as part of the merger consideration that you will receive in the merger in exchange for your E.mergent common stock.</w:t>
      </w:r>
    </w:p>
    <w:p>
      <w:pPr>
        <w:spacing w:after="0" w:line="175" w:lineRule="exact"/>
        <w:rPr>
          <w:sz w:val="20"/>
          <w:szCs w:val="20"/>
          <w:color w:val="auto"/>
        </w:rPr>
      </w:pPr>
    </w:p>
    <w:p>
      <w:pPr>
        <w:ind w:left="349" w:hanging="349"/>
        <w:spacing w:after="0"/>
        <w:tabs>
          <w:tab w:leader="none" w:pos="3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and where is the special shareholders meeting?</w:t>
      </w:r>
    </w:p>
    <w:p>
      <w:pPr>
        <w:spacing w:after="0" w:line="174" w:lineRule="exact"/>
        <w:rPr>
          <w:sz w:val="20"/>
          <w:szCs w:val="20"/>
          <w:color w:val="auto"/>
        </w:rPr>
      </w:pPr>
    </w:p>
    <w:p>
      <w:pPr>
        <w:ind w:left="349" w:right="3479" w:hanging="349"/>
        <w:spacing w:after="0" w:line="264" w:lineRule="auto"/>
        <w:tabs>
          <w:tab w:leader="none" w:pos="349" w:val="left"/>
        </w:tabs>
        <w:numPr>
          <w:ilvl w:val="0"/>
          <w:numId w:val="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E.mergent special shareholders meeting to consider and vote upon the merger will be held at E.mergent's offices at 6110 Golden Hills Drive, Golden Valley, MN 55416 on May 31, 2002 at 10:00 a.m., local time.</w:t>
      </w:r>
    </w:p>
    <w:p>
      <w:pPr>
        <w:spacing w:after="0" w:line="157" w:lineRule="exact"/>
        <w:rPr>
          <w:sz w:val="20"/>
          <w:szCs w:val="20"/>
          <w:color w:val="auto"/>
        </w:rPr>
      </w:pPr>
    </w:p>
    <w:p>
      <w:pPr>
        <w:ind w:left="349" w:hanging="349"/>
        <w:spacing w:after="0"/>
        <w:tabs>
          <w:tab w:leader="none" w:pos="349"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do I vote on the merger? (see page 30)</w:t>
      </w:r>
    </w:p>
    <w:p>
      <w:pPr>
        <w:spacing w:after="0" w:line="174" w:lineRule="exact"/>
        <w:rPr>
          <w:sz w:val="20"/>
          <w:szCs w:val="20"/>
          <w:color w:val="auto"/>
        </w:rPr>
      </w:pPr>
    </w:p>
    <w:p>
      <w:pPr>
        <w:ind w:left="349" w:right="3119" w:hanging="349"/>
        <w:spacing w:after="0"/>
        <w:tabs>
          <w:tab w:leader="none" w:pos="34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are entitled to receive this notice and vote at the meeting if you were a shareholder of E.mergent on April 5, 2002, the record date for the meeting. To vote, first, please review the information contained or incorporated by reference in this document, including the annexes. It contains important information about E.mergent and ClearOne. It also contains important information about what the boards of directors of E.mergent and ClearOne considered in evaluating the merger. Next, complete and sign the enclosed proxy card, indicating how you wish to vote. Then, mail the proxy card in the enclosed return envelope as soon as possible so that your shares can be voted at the special meeting of E.mergent stockholders at which the merger agreement and the merger will be presented and voted upon. Alternatively, you may vote your proxy via phone or the Internet. You may vote your proxy by phone twenty-four (24) hours a day, 7 days a week, until 11:00 a.m., Central Time, one business day prior to the meeting by dialing 800-240-6326 and following the instructions. You may vote your proxy via the Internet twenty-four (24) hours a day, 7 days a week, until 11:00 a.m., Central Time, one business day prior to the meeting by going to http://www.eproxy.com/emrt and following the instructions. You may also attend the special meeting in person and vote at the special meeting instead of submitting a proxy.</w:t>
      </w:r>
    </w:p>
    <w:p>
      <w:pPr>
        <w:spacing w:after="0" w:line="186" w:lineRule="exact"/>
        <w:rPr>
          <w:sz w:val="20"/>
          <w:szCs w:val="20"/>
          <w:color w:val="auto"/>
        </w:rPr>
      </w:pPr>
    </w:p>
    <w:p>
      <w:pPr>
        <w:ind w:left="349" w:right="3119" w:hanging="349"/>
        <w:spacing w:after="0" w:line="238" w:lineRule="auto"/>
        <w:tabs>
          <w:tab w:leader="none" w:pos="349"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my shares are held in "street name" by a broker, will my broker vote my shares for me?</w:t>
      </w:r>
    </w:p>
    <w:p>
      <w:pPr>
        <w:spacing w:after="0" w:line="175" w:lineRule="exact"/>
        <w:rPr>
          <w:sz w:val="20"/>
          <w:szCs w:val="20"/>
          <w:color w:val="auto"/>
        </w:rPr>
      </w:pPr>
    </w:p>
    <w:p>
      <w:pPr>
        <w:ind w:left="349" w:right="3119" w:hanging="349"/>
        <w:spacing w:after="0"/>
        <w:tabs>
          <w:tab w:leader="none" w:pos="349"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Your broker will not be able to vote your shares without instructions from you. If you hold your shares in street name, you should receive with this proxy statement/prospectus a form for instructing you how to vote your shares through your broker. If you do not provide your broker with voting instructions, your shares may be considered present at the special meeting for purposes of determining a quorum, but will not be considered to have been voted in favor of adoption and approval of the merger agreement or approval of the merger and, therefore, such action will have the effect of a vote against the merger agreement and the merger. If you have instructed a broker to vote your shares and wish to change your vote, you must follow directions received from your broker to change those instructions. Please note, however, that if the holder of record of your shares is your broker, bank or other nominee and you wish to vote at the special meeting, you must bring a letter from the broker, bank or other nominee confirming that you are the beneficial owner of the shares.</w:t>
      </w:r>
    </w:p>
    <w:p>
      <w:pPr>
        <w:spacing w:after="0" w:line="35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28"/>
          </w:cols>
          <w:pgMar w:left="231" w:top="628" w:right="1440" w:bottom="1440" w:gutter="0" w:footer="0" w:header="0"/>
        </w:sectPr>
      </w:pPr>
    </w:p>
    <w:bookmarkStart w:id="8" w:name="page9"/>
    <w:bookmarkEnd w:id="8"/>
    <w:p>
      <w:pPr>
        <w:ind w:left="349" w:right="3119" w:hanging="349"/>
        <w:spacing w:after="0" w:line="238" w:lineRule="auto"/>
        <w:tabs>
          <w:tab w:leader="none" w:pos="34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if I do not indicate how to vote my proxy or indicate I abstain from the vote? (see page 29)</w:t>
      </w:r>
    </w:p>
    <w:p>
      <w:pPr>
        <w:spacing w:after="0" w:line="175" w:lineRule="exact"/>
        <w:rPr>
          <w:sz w:val="20"/>
          <w:szCs w:val="20"/>
          <w:color w:val="auto"/>
        </w:rPr>
      </w:pPr>
    </w:p>
    <w:p>
      <w:pPr>
        <w:ind w:left="349" w:right="3119" w:hanging="349"/>
        <w:spacing w:after="0"/>
        <w:tabs>
          <w:tab w:leader="none" w:pos="34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properly sign and return your proxy but do not indicate how you want to vote, your proxy will be counted as a vote in favor of the merger agreement and the merger. If, however, you return your proxy and indicate that you are abstaining from voting, your proxy will have the same effect as a vote against the merger agreement and merger.</w:t>
      </w:r>
    </w:p>
    <w:p>
      <w:pPr>
        <w:spacing w:after="0" w:line="172" w:lineRule="exact"/>
        <w:rPr>
          <w:sz w:val="20"/>
          <w:szCs w:val="20"/>
          <w:color w:val="auto"/>
        </w:rPr>
      </w:pPr>
    </w:p>
    <w:p>
      <w:pPr>
        <w:ind w:left="349" w:hanging="349"/>
        <w:spacing w:after="0"/>
        <w:tabs>
          <w:tab w:leader="none" w:pos="349"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if I don't return my proxy vote? (see page 29)</w:t>
      </w:r>
    </w:p>
    <w:p>
      <w:pPr>
        <w:spacing w:after="0" w:line="174" w:lineRule="exact"/>
        <w:rPr>
          <w:sz w:val="20"/>
          <w:szCs w:val="20"/>
          <w:color w:val="auto"/>
        </w:rPr>
      </w:pPr>
    </w:p>
    <w:p>
      <w:pPr>
        <w:ind w:left="349" w:right="3119" w:hanging="349"/>
        <w:spacing w:after="0" w:line="238" w:lineRule="auto"/>
        <w:tabs>
          <w:tab w:leader="none" w:pos="349"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fail to return your proxy, it will have the same effect as a vote against the merger agreement and the merger.</w:t>
      </w:r>
    </w:p>
    <w:p>
      <w:pPr>
        <w:spacing w:after="0" w:line="175" w:lineRule="exact"/>
        <w:rPr>
          <w:sz w:val="20"/>
          <w:szCs w:val="20"/>
          <w:color w:val="auto"/>
        </w:rPr>
      </w:pPr>
    </w:p>
    <w:p>
      <w:pPr>
        <w:ind w:left="349" w:right="3119" w:hanging="349"/>
        <w:spacing w:after="0" w:line="238" w:lineRule="auto"/>
        <w:tabs>
          <w:tab w:leader="none" w:pos="349"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 I change my vote after I have delivered my proxy or voted by phone or Internet? (see page 30)</w:t>
      </w:r>
    </w:p>
    <w:p>
      <w:pPr>
        <w:spacing w:after="0" w:line="175" w:lineRule="exact"/>
        <w:rPr>
          <w:sz w:val="20"/>
          <w:szCs w:val="20"/>
          <w:color w:val="auto"/>
        </w:rPr>
      </w:pPr>
    </w:p>
    <w:p>
      <w:pPr>
        <w:jc w:val="both"/>
        <w:ind w:left="349" w:right="3119" w:hanging="349"/>
        <w:spacing w:after="0" w:line="239" w:lineRule="auto"/>
        <w:tabs>
          <w:tab w:leader="none" w:pos="349"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Yes. You can change your vote at any time before your proxy is voted at the special meeting of E.mergent stockholders at which the merger agreement and merger will be presented and voted upon. You can do this in one of four ways:</w:t>
      </w:r>
    </w:p>
    <w:p>
      <w:pPr>
        <w:spacing w:after="0" w:line="176" w:lineRule="exact"/>
        <w:rPr>
          <w:sz w:val="20"/>
          <w:szCs w:val="20"/>
          <w:color w:val="auto"/>
        </w:rPr>
      </w:pPr>
    </w:p>
    <w:p>
      <w:pPr>
        <w:jc w:val="both"/>
        <w:ind w:left="1069" w:right="3119" w:hanging="359"/>
        <w:spacing w:after="0" w:line="239" w:lineRule="auto"/>
        <w:tabs>
          <w:tab w:leader="none" w:pos="1069"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sending a written notice to the Secretary of E.mergent, if you are an E.mergent stockholder, before the meeting stating that you would like to revoke your proxy;</w:t>
      </w:r>
    </w:p>
    <w:p>
      <w:pPr>
        <w:spacing w:after="0" w:line="175" w:lineRule="exact"/>
        <w:rPr>
          <w:rFonts w:ascii="Courier New" w:cs="Courier New" w:eastAsia="Courier New" w:hAnsi="Courier New"/>
          <w:sz w:val="15"/>
          <w:szCs w:val="15"/>
          <w:color w:val="auto"/>
        </w:rPr>
      </w:pPr>
    </w:p>
    <w:p>
      <w:pPr>
        <w:ind w:left="1069" w:right="3119" w:hanging="359"/>
        <w:spacing w:after="0" w:line="238" w:lineRule="auto"/>
        <w:tabs>
          <w:tab w:leader="none" w:pos="1069"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signing a later-dated proxy card and returning it by mail in time to be received before the meeting;</w:t>
      </w:r>
    </w:p>
    <w:p>
      <w:pPr>
        <w:spacing w:after="0" w:line="174" w:lineRule="exact"/>
        <w:rPr>
          <w:rFonts w:ascii="Courier New" w:cs="Courier New" w:eastAsia="Courier New" w:hAnsi="Courier New"/>
          <w:sz w:val="15"/>
          <w:szCs w:val="15"/>
          <w:color w:val="auto"/>
        </w:rPr>
      </w:pPr>
    </w:p>
    <w:p>
      <w:pPr>
        <w:ind w:left="1069" w:right="3119" w:hanging="359"/>
        <w:spacing w:after="0" w:line="238" w:lineRule="auto"/>
        <w:tabs>
          <w:tab w:leader="none" w:pos="1069"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 again by phone or Internet prior to 11:00 a.m., Central Time, on May 30, 2002 ; or</w:t>
      </w:r>
    </w:p>
    <w:p>
      <w:pPr>
        <w:spacing w:after="0" w:line="174" w:lineRule="exact"/>
        <w:rPr>
          <w:rFonts w:ascii="Courier New" w:cs="Courier New" w:eastAsia="Courier New" w:hAnsi="Courier New"/>
          <w:sz w:val="15"/>
          <w:szCs w:val="15"/>
          <w:color w:val="auto"/>
        </w:rPr>
      </w:pPr>
    </w:p>
    <w:p>
      <w:pPr>
        <w:jc w:val="both"/>
        <w:ind w:left="1069" w:right="3119" w:hanging="359"/>
        <w:spacing w:after="0" w:line="239" w:lineRule="auto"/>
        <w:tabs>
          <w:tab w:leader="none" w:pos="1069" w:val="left"/>
        </w:tabs>
        <w:numPr>
          <w:ilvl w:val="1"/>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can attend the special meeting and vote in person. Your attendance at the special meeting alone will not revoke your proxy. You must also vote at the special meeting in order to revoke your previously submitted proxy.</w:t>
      </w:r>
    </w:p>
    <w:p>
      <w:pPr>
        <w:spacing w:after="0" w:line="173"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Should I send in my stock certificates now?</w:t>
      </w:r>
    </w:p>
    <w:p>
      <w:pPr>
        <w:spacing w:after="0" w:line="174" w:lineRule="exact"/>
        <w:rPr>
          <w:sz w:val="20"/>
          <w:szCs w:val="20"/>
          <w:color w:val="auto"/>
        </w:rPr>
      </w:pPr>
    </w:p>
    <w:p>
      <w:pPr>
        <w:jc w:val="both"/>
        <w:ind w:left="349" w:right="3119" w:hanging="349"/>
        <w:spacing w:after="0"/>
        <w:tabs>
          <w:tab w:leader="none" w:pos="349"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If the merger is completed, we will send to you written instructions for exchanging your E.mergent stock certificates (or VideoLabs, Inc. stock certificates issued before E.mergent's name change) for ClearOne stock certificates. In the meantime, you should retain your stock certificates as the E.mergent stock certificates are still valid. Please do not send in your stock certificates with your proxy.</w:t>
      </w:r>
    </w:p>
    <w:p>
      <w:pPr>
        <w:spacing w:after="0" w:line="172" w:lineRule="exact"/>
        <w:rPr>
          <w:sz w:val="20"/>
          <w:szCs w:val="20"/>
          <w:color w:val="auto"/>
        </w:rPr>
      </w:pPr>
    </w:p>
    <w:p>
      <w:pPr>
        <w:ind w:left="349" w:hanging="349"/>
        <w:spacing w:after="0"/>
        <w:tabs>
          <w:tab w:leader="none" w:pos="349"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Who can help answer my questions? (see page 72)</w:t>
      </w:r>
    </w:p>
    <w:p>
      <w:pPr>
        <w:spacing w:after="0" w:line="174" w:lineRule="exact"/>
        <w:rPr>
          <w:sz w:val="20"/>
          <w:szCs w:val="20"/>
          <w:color w:val="auto"/>
        </w:rPr>
      </w:pPr>
    </w:p>
    <w:p>
      <w:pPr>
        <w:jc w:val="both"/>
        <w:ind w:left="349" w:right="3299" w:hanging="349"/>
        <w:spacing w:after="0" w:line="239" w:lineRule="auto"/>
        <w:tabs>
          <w:tab w:leader="none" w:pos="34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you have any questions about the merger or how to submit your proxy, or if you need additional copies of this document or the enclosed proxy card, you should contact:</w:t>
      </w:r>
    </w:p>
    <w:p>
      <w:pPr>
        <w:spacing w:after="0" w:line="172" w:lineRule="exact"/>
        <w:rPr>
          <w:sz w:val="20"/>
          <w:szCs w:val="20"/>
          <w:color w:val="auto"/>
        </w:rPr>
      </w:pPr>
    </w:p>
    <w:p>
      <w:pPr>
        <w:ind w:left="2929"/>
        <w:spacing w:after="0"/>
        <w:rPr>
          <w:sz w:val="20"/>
          <w:szCs w:val="20"/>
          <w:color w:val="auto"/>
        </w:rPr>
      </w:pPr>
      <w:r>
        <w:rPr>
          <w:rFonts w:ascii="Courier New" w:cs="Courier New" w:eastAsia="Courier New" w:hAnsi="Courier New"/>
          <w:sz w:val="15"/>
          <w:szCs w:val="15"/>
          <w:color w:val="auto"/>
        </w:rPr>
        <w:t>E.mergent, Inc.</w:t>
      </w:r>
    </w:p>
    <w:p>
      <w:pPr>
        <w:spacing w:after="0" w:line="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6110 Golden Hills Drive</w:t>
      </w:r>
    </w:p>
    <w:p>
      <w:pPr>
        <w:spacing w:after="0" w:line="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Golden Valley, MN 55416</w:t>
      </w:r>
    </w:p>
    <w:p>
      <w:pPr>
        <w:spacing w:after="0" w:line="1" w:lineRule="exact"/>
        <w:rPr>
          <w:sz w:val="20"/>
          <w:szCs w:val="20"/>
          <w:color w:val="auto"/>
        </w:rPr>
      </w:pPr>
    </w:p>
    <w:p>
      <w:pPr>
        <w:ind w:left="2489"/>
        <w:spacing w:after="0"/>
        <w:rPr>
          <w:sz w:val="20"/>
          <w:szCs w:val="20"/>
          <w:color w:val="auto"/>
        </w:rPr>
      </w:pPr>
      <w:r>
        <w:rPr>
          <w:rFonts w:ascii="Courier New" w:cs="Courier New" w:eastAsia="Courier New" w:hAnsi="Courier New"/>
          <w:sz w:val="15"/>
          <w:szCs w:val="15"/>
          <w:color w:val="auto"/>
        </w:rPr>
        <w:t>Telephone (763) 542-0061</w:t>
      </w:r>
    </w:p>
    <w:p>
      <w:pPr>
        <w:spacing w:after="0" w:line="1" w:lineRule="exact"/>
        <w:rPr>
          <w:sz w:val="20"/>
          <w:szCs w:val="20"/>
          <w:color w:val="auto"/>
        </w:rPr>
      </w:pPr>
    </w:p>
    <w:p>
      <w:pPr>
        <w:ind w:left="2569"/>
        <w:spacing w:after="0"/>
        <w:rPr>
          <w:sz w:val="20"/>
          <w:szCs w:val="20"/>
          <w:color w:val="auto"/>
        </w:rPr>
      </w:pPr>
      <w:r>
        <w:rPr>
          <w:rFonts w:ascii="Courier New" w:cs="Courier New" w:eastAsia="Courier New" w:hAnsi="Courier New"/>
          <w:sz w:val="15"/>
          <w:szCs w:val="15"/>
          <w:color w:val="auto"/>
        </w:rPr>
        <w:t>Attention: Jill Larson</w:t>
      </w:r>
    </w:p>
    <w:p>
      <w:pPr>
        <w:spacing w:after="0" w:line="1"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Email: proxy@emergentincorporated.com</w:t>
      </w:r>
    </w:p>
    <w:p>
      <w:pPr>
        <w:spacing w:after="0" w:line="345" w:lineRule="exact"/>
        <w:rPr>
          <w:sz w:val="20"/>
          <w:szCs w:val="20"/>
          <w:color w:val="auto"/>
        </w:rPr>
      </w:pPr>
    </w:p>
    <w:p>
      <w:pPr>
        <w:ind w:left="9" w:right="3219"/>
        <w:spacing w:after="0" w:line="238" w:lineRule="auto"/>
        <w:rPr>
          <w:sz w:val="20"/>
          <w:szCs w:val="20"/>
          <w:color w:val="auto"/>
        </w:rPr>
      </w:pPr>
      <w:r>
        <w:rPr>
          <w:rFonts w:ascii="Courier New" w:cs="Courier New" w:eastAsia="Courier New" w:hAnsi="Courier New"/>
          <w:sz w:val="15"/>
          <w:szCs w:val="15"/>
          <w:color w:val="auto"/>
        </w:rPr>
        <w:t>THIS PROXY STATEMENT/PROSPECTUS CONTAINS TRADEMARKS, TRADENAMES, SERVICE MARKS, AND SERVICE NAMES OF CLEARONE, E.MERGENT AND OTHER COMPANIES.</w:t>
      </w:r>
    </w:p>
    <w:p>
      <w:pPr>
        <w:spacing w:after="0" w:line="200" w:lineRule="exact"/>
        <w:rPr>
          <w:sz w:val="20"/>
          <w:szCs w:val="20"/>
          <w:color w:val="auto"/>
        </w:rPr>
      </w:pPr>
    </w:p>
    <w:p>
      <w:pPr>
        <w:spacing w:after="0" w:line="314"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8"/>
          </w:cols>
          <w:pgMar w:left="231" w:top="631" w:right="1440" w:bottom="1440" w:gutter="0" w:footer="0" w:header="0"/>
        </w:sectPr>
      </w:pPr>
    </w:p>
    <w:bookmarkStart w:id="9" w:name="page10"/>
    <w:bookmarkEnd w:id="9"/>
    <w:p>
      <w:pPr>
        <w:ind w:left="3280"/>
        <w:spacing w:after="0"/>
        <w:rPr>
          <w:sz w:val="20"/>
          <w:szCs w:val="20"/>
          <w:color w:val="auto"/>
        </w:rPr>
      </w:pPr>
      <w:r>
        <w:rPr>
          <w:rFonts w:ascii="Courier New" w:cs="Courier New" w:eastAsia="Courier New" w:hAnsi="Courier New"/>
          <w:sz w:val="15"/>
          <w:szCs w:val="15"/>
          <w:color w:val="auto"/>
        </w:rPr>
        <w:t>SUMMARY</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 Communications, Inc. (see pages 64 and 72)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1825 Research Way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Salt Lake City, Utah 84119</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(801) 975-7200</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ClearOne (formerly known as Gentner Communications Corporation) primarily develops, manufactures, markets and distributes products and services for the conferencing equipment, conferencing services, and broadcast markets. Until 1991, ClearOne's primary business was the sale of studio and transmitter-related equipment to broadcast facilities. Since then, ClearOne has applied its core digital audio technology to the development of products for audio and video conferencing, sound reinforcement, and assistive listening applications. In addition, ClearOne offers conferencing services, including conference calling, Webconferencing, audio and video streaming, and customer training and education.</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 Inc. (see pages 63 and 72)</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6110 Golden Hills Drive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Golden Valley, MN 55416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(763) 542-0061</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E.mergent sells its products and services through a global network of resellers and Original Equipment Manufacturers ("OEM"). E.mergent classifies its business into two segments: Products Division ("VideoLabs"), which designs, manufactures and markets a complete line of peripherals that support core technologies in the videoconferencing, audio visual, identification, education and medical markets and its Services Division ("ACS"), which is a full-service communications integration provider, specializing in the design, installation and support of meeting room technologies. E.mergent is headquartered in Golden Valley, Minnesota with locations in Plymouth, Minnesota; Maple Grove, Minnesota; Chicago, Illinois; and Des Moines, Iowa.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ClearOne's and E.mergent's Reasons for the Merger (see pages 34 and 40)</w:t>
      </w:r>
    </w:p>
    <w:p>
      <w:pPr>
        <w:spacing w:after="0" w:line="174" w:lineRule="exact"/>
        <w:rPr>
          <w:sz w:val="20"/>
          <w:szCs w:val="20"/>
          <w:color w:val="auto"/>
        </w:rPr>
      </w:pPr>
    </w:p>
    <w:p>
      <w:pPr>
        <w:ind w:right="3119" w:firstLine="710"/>
        <w:spacing w:after="0" w:line="260" w:lineRule="auto"/>
        <w:rPr>
          <w:sz w:val="20"/>
          <w:szCs w:val="20"/>
          <w:color w:val="auto"/>
        </w:rPr>
      </w:pPr>
      <w:r>
        <w:rPr>
          <w:rFonts w:ascii="Courier New" w:cs="Courier New" w:eastAsia="Courier New" w:hAnsi="Courier New"/>
          <w:sz w:val="14"/>
          <w:szCs w:val="14"/>
          <w:color w:val="auto"/>
        </w:rPr>
        <w:t>ClearOne and E.mergent are proposing to merge because they believe, for a variety of reasons, that each company will benefit from the combination of the two companies and the merger will result in a combined company that is better positioned to succeed in the audio and video conferencing markets than they would be separately. A complete discussion of the companies' respective reasons for proposing the merger is contained under the captions "E.mergent's Reasons for the Merger" beginning on page 33 and "Consideration of the Merger by ClearOne's Board of Directors and Reasons for the Merger" beginning on page 39.</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Recommendations of the E.mergent Board of Directors (see page 30)</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After careful consideration, E.mergent's board of directors determined that the merger is advisable, in the best interests of E.mergent stockholders and on terms that are fair to the stockholders of E.mergent. Accordingly, except for one director who abstained, E.mergent's board of directors unanimously approved the merger agreement and the merger and recommends that you vote "FOR" adoption and approval of the merger agreement and approval of the merger. The director who abstained chose to do so because he was previously employed by E.mergent's financial advisor, who rendered an opinion on the fairness of the merger as described below.</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E.mergent's Financial Advisor (see page 35)</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In deciding to approve the merger, the E.mergent board of directors considered an opinion from its financial advisor, Goldsmith, Agio, Helms. On January 18, 2002, Goldsmith, Agio, Helms delivered its oral opinion, subsequently confirmed in writing, to the board of directors of E.mergent that, as of the date of such opinion, the consideration to be received by E.mergent stockholders as set forth in the merger agreement was fair, from a financial point of view, to the holders of E.mergent common stock.</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628" w:right="1440" w:bottom="1440" w:gutter="0" w:footer="0" w:header="0"/>
        </w:sectPr>
      </w:pPr>
    </w:p>
    <w:bookmarkStart w:id="10" w:name="page11"/>
    <w:bookmarkEnd w:id="10"/>
    <w:p>
      <w:pPr>
        <w:ind w:right="3119" w:firstLine="710"/>
        <w:spacing w:after="0"/>
        <w:rPr>
          <w:sz w:val="20"/>
          <w:szCs w:val="20"/>
          <w:color w:val="auto"/>
        </w:rPr>
      </w:pPr>
      <w:r>
        <w:rPr>
          <w:rFonts w:ascii="Courier New" w:cs="Courier New" w:eastAsia="Courier New" w:hAnsi="Courier New"/>
          <w:sz w:val="15"/>
          <w:szCs w:val="15"/>
          <w:color w:val="auto"/>
        </w:rPr>
        <w:t>The full text of the Goldsmith, Agio, Helms' written opinion is attached to this document as Annex C. We encourage you to read the opinion carefully. The opinion of Goldsmith, Agio, Helms does not constitute a recommendation as to how any holder of E.mergent common stock should vote with respect to the merger agreement and the merger.</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Approval (see page 29)</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affirmative vote of the holders of a majority of the outstanding shares of E.mergent common stock is required to approve the merger agreement and merger. Each share of E.mergent common stock will be entitled to one vote per share. As a result, you will be entitled to cast one vote per share of E.mergent common stock that you owned as of April 5, 2002, the record date for the E.mergent special meeting. As of May 3, 2002, there were 5,931,280 shares of E.mergent common stock outstanding. Holders of approximately 40% of the outstanding shares of E.mergent common stock have already agreed to vote in favor of approving the merger agreement and the merger. ClearOne stockholders are not required to vote on the merger agreement or the merger.</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Structure and Effects of the Merger (see page 47)</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At the effective time of the merger, E.mergent will be merged into a wholly owned subsidiary of ClearOne, with the subsidiary continuing as the surviving entity. As part of the process, the stockholders of E.mergent will become stockholders of ClearOne, and their rights as stockholders will be governed by the ClearOne articles of incorporation and bylaws, as currently in effect, and the laws of the State of Utah. Following the merger, ClearOne intends to maintain E.mergent's operations as a wholly-owned subsidiary of ClearOne for some period of time. The membership of ClearOne's board of directors will remain unchanged as a result of the merger. ClearOne and E.mergent anticipate that following the merger Robin Sheeley, E.mergent's current Chief Technical Officer will become the Chief Technology Officer of ClearOne, while James Hansen will resign as E.mergent's Chairman, Chief Executive Officer, President and Treasurer and Jill Larson will resign as E.mergent's Vice President-Administration and Corporate Secretary.</w:t>
      </w:r>
    </w:p>
    <w:p>
      <w:pPr>
        <w:spacing w:after="0" w:line="181"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If the merger is completed, ClearOne will issue, or reserve for issuance upon the exercise of assumed E.mergent stock options, a total of 873,000 shares of ClearOne common stock and pay a total of $7,300,000 in cash in exchange for all of E.mergent's outstanding common stock shares and stock options. As a result, each outstanding share of E.mergent common stock will be converted into the right to receive cash and a fraction of a share of ClearOne common stock. For each of your shares of E.mergent common stock you will receive a payment of cash between approximately $1.17 and $1.23 and up to approximately 0.145 of a share of ClearOne common stock. The exact amount to be paid per E.mergent share depends on a number of factors, including the average closing price of ClearOne common stock and the number of E.mergent stock options outstanding, both of which are determined immediately prior to the merger. As a result, we cannot tell you at this time the exact amount of cash and stock that you will receive for your E.mergent common stock. The chart below, however, gives examples of the approximate amount of cash and stock that you would receive based on a range of closing prices for ClearOne common stock (including the actual closing sales price of $17.20 on May 3, 2002) and assumptions about options outstanding at the time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631"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0" w:type="dxa"/>
            <w:vAlign w:val="bottom"/>
            <w:gridSpan w:val="5"/>
          </w:tcPr>
          <w:p>
            <w:pPr>
              <w:spacing w:after="0"/>
              <w:rPr>
                <w:sz w:val="20"/>
                <w:szCs w:val="20"/>
                <w:color w:val="auto"/>
              </w:rPr>
            </w:pPr>
            <w:r>
              <w:rPr>
                <w:rFonts w:ascii="Courier New" w:cs="Courier New" w:eastAsia="Courier New" w:hAnsi="Courier New"/>
                <w:sz w:val="15"/>
                <w:szCs w:val="15"/>
                <w:color w:val="auto"/>
              </w:rPr>
              <w:t>E.mergent Stock Options Exercised (Cashless Exercise)</w:t>
            </w:r>
          </w:p>
        </w:tc>
        <w:tc>
          <w:tcPr>
            <w:tcW w:w="8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683"/>
        </w:trPr>
        <w:tc>
          <w:tcPr>
            <w:tcW w:w="1240" w:type="dxa"/>
            <w:vAlign w:val="bottom"/>
          </w:tcPr>
          <w:p>
            <w:pPr>
              <w:spacing w:after="0"/>
              <w:rPr>
                <w:sz w:val="24"/>
                <w:szCs w:val="24"/>
                <w:color w:val="auto"/>
              </w:rPr>
            </w:pPr>
          </w:p>
        </w:tc>
        <w:tc>
          <w:tcPr>
            <w:tcW w:w="8340" w:type="dxa"/>
            <w:vAlign w:val="bottom"/>
            <w:gridSpan w:val="9"/>
          </w:tcPr>
          <w:p>
            <w:pPr>
              <w:spacing w:after="0"/>
              <w:rPr>
                <w:sz w:val="20"/>
                <w:szCs w:val="20"/>
                <w:color w:val="auto"/>
              </w:rPr>
            </w:pPr>
            <w:r>
              <w:rPr>
                <w:rFonts w:ascii="Courier New" w:cs="Courier New" w:eastAsia="Courier New" w:hAnsi="Courier New"/>
                <w:sz w:val="15"/>
                <w:szCs w:val="15"/>
                <w:color w:val="auto"/>
              </w:rPr>
              <w:t>--------------------------------------------------------------------------------------------</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ClearOne</w:t>
            </w:r>
          </w:p>
        </w:tc>
        <w:tc>
          <w:tcPr>
            <w:tcW w:w="800" w:type="dxa"/>
            <w:vAlign w:val="bottom"/>
          </w:tcPr>
          <w:p>
            <w:pPr>
              <w:spacing w:after="0"/>
              <w:rPr>
                <w:sz w:val="14"/>
                <w:szCs w:val="14"/>
                <w:color w:val="auto"/>
              </w:rPr>
            </w:pP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None</w:t>
            </w:r>
          </w:p>
        </w:tc>
        <w:tc>
          <w:tcPr>
            <w:tcW w:w="1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50%</w:t>
            </w:r>
          </w:p>
        </w:tc>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w:t>
            </w:r>
          </w:p>
        </w:tc>
        <w:tc>
          <w:tcPr>
            <w:tcW w:w="1160" w:type="dxa"/>
            <w:vAlign w:val="bottom"/>
          </w:tcPr>
          <w:p>
            <w:pPr>
              <w:spacing w:after="0"/>
              <w:rPr>
                <w:sz w:val="14"/>
                <w:szCs w:val="14"/>
                <w:color w:val="auto"/>
              </w:rPr>
            </w:pP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Average</w:t>
            </w:r>
          </w:p>
        </w:tc>
        <w:tc>
          <w:tcPr>
            <w:tcW w:w="1500" w:type="dxa"/>
            <w:vAlign w:val="bottom"/>
            <w:gridSpan w:val="2"/>
          </w:tcPr>
          <w:p>
            <w:pPr>
              <w:spacing w:after="0"/>
              <w:rPr>
                <w:sz w:val="20"/>
                <w:szCs w:val="20"/>
                <w:color w:val="auto"/>
              </w:rPr>
            </w:pPr>
            <w:r>
              <w:rPr>
                <w:rFonts w:ascii="Courier New" w:cs="Courier New" w:eastAsia="Courier New" w:hAnsi="Courier New"/>
                <w:sz w:val="11"/>
                <w:szCs w:val="11"/>
                <w:color w:val="auto"/>
                <w:w w:val="74"/>
              </w:rPr>
              <w:t>------------------------------</w:t>
            </w:r>
          </w:p>
        </w:tc>
        <w:tc>
          <w:tcPr>
            <w:tcW w:w="1340" w:type="dxa"/>
            <w:vAlign w:val="bottom"/>
          </w:tcPr>
          <w:p>
            <w:pPr>
              <w:spacing w:after="0"/>
              <w:rPr>
                <w:sz w:val="14"/>
                <w:szCs w:val="14"/>
                <w:color w:val="auto"/>
              </w:rPr>
            </w:pPr>
          </w:p>
        </w:tc>
        <w:tc>
          <w:tcPr>
            <w:tcW w:w="278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c>
          <w:tcPr>
            <w:tcW w:w="27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Market</w:t>
            </w:r>
          </w:p>
        </w:tc>
        <w:tc>
          <w:tcPr>
            <w:tcW w:w="8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ClearOne</w:t>
            </w:r>
          </w:p>
        </w:tc>
        <w:tc>
          <w:tcPr>
            <w:tcW w:w="13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Combined</w:t>
            </w:r>
          </w:p>
        </w:tc>
        <w:tc>
          <w:tcPr>
            <w:tcW w:w="6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7"/>
              </w:rPr>
              <w:t>ClearOne</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Combined</w:t>
            </w:r>
          </w:p>
        </w:tc>
        <w:tc>
          <w:tcPr>
            <w:tcW w:w="6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ClearOne</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Combined</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Price</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Cash</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Shares</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Value</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Cash</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Shares</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Value</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Cash</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Value</w:t>
            </w:r>
          </w:p>
        </w:tc>
      </w:tr>
      <w:tr>
        <w:trPr>
          <w:trHeight w:val="171"/>
        </w:trPr>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w w:val="96"/>
              </w:rPr>
              <w:t>- ------------</w:t>
            </w: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278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w:t>
            </w:r>
          </w:p>
        </w:tc>
        <w:tc>
          <w:tcPr>
            <w:tcW w:w="2720" w:type="dxa"/>
            <w:vAlign w:val="bottom"/>
            <w:gridSpan w:val="3"/>
          </w:tcPr>
          <w:p>
            <w:pPr>
              <w:ind w:left="240"/>
              <w:spacing w:after="0"/>
              <w:rPr>
                <w:sz w:val="20"/>
                <w:szCs w:val="20"/>
                <w:color w:val="auto"/>
              </w:rPr>
            </w:pPr>
            <w:r>
              <w:rPr>
                <w:rFonts w:ascii="Courier New" w:cs="Courier New" w:eastAsia="Courier New" w:hAnsi="Courier New"/>
                <w:sz w:val="15"/>
                <w:szCs w:val="15"/>
                <w:color w:val="auto"/>
                <w:w w:val="97"/>
              </w:rPr>
              <w:t>----------------------------</w:t>
            </w:r>
          </w:p>
        </w:tc>
      </w:tr>
      <w:tr>
        <w:trPr>
          <w:trHeight w:val="512"/>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$12.00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0.1240</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$2.719</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0.1318</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$2.779</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$2.842</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$13.00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0.1248</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$2.853</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0.1321</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$2.916</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$2.981</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$14.00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0.1254</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$2.986</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0.1324</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$3.052</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$3.121</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$15.00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0.1259</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$3.120</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0.1327</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$3.189</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$3.260</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$16.00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0.1264</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$3.253</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0.1329</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$3.325</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$3.400</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$17.00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0.1268</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$3.387</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0.1331</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$3.461</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$3.539</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$17.20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0.1269</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$3.414</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0.1331</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$3.489</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$3.567</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$18.00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0.1272</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$3.520</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0.1333</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$3.598</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$3.679</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0.1275</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$3.654</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0.1335</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$3.734</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$3.819</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0.1278</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$3.787</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0.1336</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$3.871</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$3.958</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$21.00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0.1281</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$3.921</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0.1338</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$4.007</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$4.098</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$22.00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0.1284</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$4.055</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0.1339</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$4.144</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$4.237</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$23.00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70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0.1286</w:t>
            </w:r>
          </w:p>
        </w:tc>
        <w:tc>
          <w:tcPr>
            <w:tcW w:w="13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$4.188</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0.1340</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$4.280</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$4.377</w:t>
            </w:r>
          </w:p>
        </w:tc>
      </w:tr>
      <w:tr>
        <w:trPr>
          <w:trHeight w:val="171"/>
        </w:trPr>
        <w:tc>
          <w:tcPr>
            <w:tcW w:w="1240" w:type="dxa"/>
            <w:vAlign w:val="bottom"/>
          </w:tcPr>
          <w:p>
            <w:pPr>
              <w:spacing w:after="0"/>
              <w:rPr>
                <w:sz w:val="14"/>
                <w:szCs w:val="14"/>
                <w:color w:val="auto"/>
              </w:rPr>
            </w:pPr>
          </w:p>
        </w:tc>
        <w:tc>
          <w:tcPr>
            <w:tcW w:w="1500" w:type="dxa"/>
            <w:vAlign w:val="bottom"/>
            <w:gridSpan w:val="2"/>
          </w:tcPr>
          <w:p>
            <w:pPr>
              <w:spacing w:after="0"/>
              <w:rPr>
                <w:sz w:val="20"/>
                <w:szCs w:val="20"/>
                <w:color w:val="auto"/>
              </w:rPr>
            </w:pPr>
            <w:r>
              <w:rPr>
                <w:rFonts w:ascii="Courier New" w:cs="Courier New" w:eastAsia="Courier New" w:hAnsi="Courier New"/>
                <w:sz w:val="11"/>
                <w:szCs w:val="11"/>
                <w:color w:val="auto"/>
                <w:w w:val="74"/>
              </w:rPr>
              <w:t>------------------------------</w:t>
            </w:r>
          </w:p>
        </w:tc>
        <w:tc>
          <w:tcPr>
            <w:tcW w:w="1340" w:type="dxa"/>
            <w:vAlign w:val="bottom"/>
          </w:tcPr>
          <w:p>
            <w:pPr>
              <w:spacing w:after="0"/>
              <w:rPr>
                <w:sz w:val="14"/>
                <w:szCs w:val="14"/>
                <w:color w:val="auto"/>
              </w:rPr>
            </w:pPr>
          </w:p>
        </w:tc>
        <w:tc>
          <w:tcPr>
            <w:tcW w:w="278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c>
          <w:tcPr>
            <w:tcW w:w="27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5" w:lineRule="exact"/>
        <w:rPr>
          <w:sz w:val="20"/>
          <w:szCs w:val="20"/>
          <w:color w:val="auto"/>
        </w:rPr>
      </w:pPr>
    </w:p>
    <w:p>
      <w:pPr>
        <w:ind w:left="80" w:right="3219"/>
        <w:spacing w:after="0"/>
        <w:rPr>
          <w:sz w:val="20"/>
          <w:szCs w:val="20"/>
          <w:color w:val="auto"/>
        </w:rPr>
      </w:pPr>
      <w:r>
        <w:rPr>
          <w:rFonts w:ascii="Courier New" w:cs="Courier New" w:eastAsia="Courier New" w:hAnsi="Courier New"/>
          <w:sz w:val="15"/>
          <w:szCs w:val="15"/>
          <w:color w:val="auto"/>
        </w:rPr>
        <w:t>See page 48 for a description of the assumptions underlying this table. Please note that the above table contains examples based on such assumptions. The actual amounts you will receive in the merger may differ from such examples. For a discussion of the actual calculation of the amounts to be exchanged in the merger, please see the discussion entitled "Conversion of E.mergent Common Stock" beginning on page 47.</w:t>
      </w:r>
    </w:p>
    <w:p>
      <w:pPr>
        <w:spacing w:after="0" w:line="175"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Additionally, ClearOne will not issue fractional shares. If the total number of shares of ClearOne common stock that you are entitled to receive includes a fraction of a share, you will instead receive cash, without interest, rather than that fractional share.</w:t>
      </w:r>
    </w:p>
    <w:p>
      <w:pPr>
        <w:spacing w:after="0" w:line="176"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Changes in the trading price of ClearOne common stock prior to the merger will not change the total amount of cash or total number of shares being paid by ClearOne in the merger. Of course, changes in the trading price of ClearOne common stock will affect the actual value of the ClearOne common stock that you will receive in the merger. However, either ClearOne or E.mergent may terminate the merger agreement if the weighted average closing price of ClearOne common stock as quoted on the Nasdaq National Market for the fifteen (15) trading days ending one day prior to the date of the scheduled completion of the merger is greater than $23 or less than $14.</w:t>
      </w:r>
    </w:p>
    <w:p>
      <w:pPr>
        <w:spacing w:after="0" w:line="177"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Options to purchase shares of E.mergent common stock outstanding immediately prior to completion of the merger will be converted into options to purchase shares of ClearOne common stock after the merger. The number of ClearOne shares issuable upon the exercise of these options, and their applicable exercise prices, will be adjusted based on the value of the ClearOne common stock and cash each share of E.mergent stock received in the merger. The formula for determining the exchange ratio for assuming the E.mergent stock options is described beginning on page 47 in this proxy statement/prospectus.</w:t>
      </w:r>
    </w:p>
    <w:p>
      <w:pPr>
        <w:spacing w:after="0" w:line="161" w:lineRule="exact"/>
        <w:rPr>
          <w:sz w:val="20"/>
          <w:szCs w:val="20"/>
          <w:color w:val="auto"/>
        </w:rPr>
      </w:pPr>
    </w:p>
    <w:p>
      <w:pPr>
        <w:ind w:right="3119" w:firstLine="710"/>
        <w:spacing w:after="0" w:line="260" w:lineRule="auto"/>
        <w:rPr>
          <w:sz w:val="20"/>
          <w:szCs w:val="20"/>
          <w:color w:val="auto"/>
        </w:rPr>
      </w:pPr>
      <w:r>
        <w:rPr>
          <w:rFonts w:ascii="Courier New" w:cs="Courier New" w:eastAsia="Courier New" w:hAnsi="Courier New"/>
          <w:sz w:val="14"/>
          <w:szCs w:val="14"/>
          <w:color w:val="auto"/>
        </w:rPr>
        <w:t>Each share of E.mergent common stock held by E.mergent, ClearOne, or any direct or indirect wholly-owned subsidiary of ClearOne immediately prior to the effective time of the merger will be canceled and extinguished. Fifty thousand three hundred and seventeen (50,317) shares of E.mergent common stock currently held by E.mergent as treasury shares will be issued to E.mergent employees as part of an anticipated bonus prior to completion of the merger and will be</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628" w:right="1440" w:bottom="1440" w:gutter="0" w:footer="0" w:header="0"/>
        </w:sectPr>
      </w:pPr>
    </w:p>
    <w:bookmarkStart w:id="12" w:name="page13"/>
    <w:bookmarkEnd w:id="12"/>
    <w:p>
      <w:pPr>
        <w:ind w:right="3219"/>
        <w:spacing w:after="0" w:line="239" w:lineRule="auto"/>
        <w:rPr>
          <w:sz w:val="20"/>
          <w:szCs w:val="20"/>
          <w:color w:val="auto"/>
        </w:rPr>
      </w:pPr>
      <w:r>
        <w:rPr>
          <w:rFonts w:ascii="Courier New" w:cs="Courier New" w:eastAsia="Courier New" w:hAnsi="Courier New"/>
          <w:sz w:val="15"/>
          <w:szCs w:val="15"/>
          <w:color w:val="auto"/>
        </w:rPr>
        <w:t>treated as issued and outstanding shares at the effective time of the merger. The 50,317 shares will be allocated equally among all employees, for a bonus of approximately 689 shares each.</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Conflicts of Interest of Directors and Officers (see page 39)</w:t>
      </w:r>
    </w:p>
    <w:p>
      <w:pPr>
        <w:spacing w:after="0" w:line="174"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Some of E.mergent's directors and executive officers have interests in the merger that are different from, or in addition to, those of E.mergent stockholders generally. These include interests of James Hansen, E.mergent's Chief Executive Officer and Chairman, Robin Sheeley, the Chief Technical Officer and a director, and Jill Larson, the Vice President-Administration and Corporate Secretary. In the event that the employment of these executive officers is terminated immediately after the merger (as is currently anticipated for Mr. Hansen and Ms. Larson but not for Mr. Sheeley), it is estimated that the severance payments payable under their employment agreements, plus the value of the related benefits, would be approximately $189,000 to Mr. Hansen, $120,000 to Ms. Larson, and $160,000 to Mr. Sheeley. Also, Mr. Hansen has an option to buy 10,000 E.mergent common shares at $3.37 per share and Ms. Larson has an option to buy 3,333 E.mergent common shares at $1.47, which options will become vested immediately prior to the closing of the merger. Ms. Larson and Messrs. Hanson and Sheeley will also each receive approximately 689 shares of E.mergent common stock when the treasury shares of E.mergent common stock are issued to employees as a bonus prior to completion of the merger.</w:t>
      </w:r>
    </w:p>
    <w:p>
      <w:pPr>
        <w:spacing w:after="0" w:line="334"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E.mergent's board of directors was aware of these interests and considered them, among other matters, when it approved the merger agreement and the merger. All disinterested directors voted in favor of the merger.</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Merger Agreement (see page 47)</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We have attached the merger agreement as Annex A to this proxy statement/prospectus. We urge you to read the merger agreement carefully. In addition to the features summarized below, in the merger agreement each company has made certain representations, warranties and agreements regarding the merger.</w:t>
      </w:r>
    </w:p>
    <w:p>
      <w:pPr>
        <w:spacing w:after="0" w:line="174"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Conditions to Completion of the Merger. ClearOne's and E.mergent's obligations to complete the merger are subject to the satisfaction of conditions specified in the merger agreement, including the following:</w:t>
      </w:r>
    </w:p>
    <w:p>
      <w:pPr>
        <w:spacing w:after="0" w:line="175" w:lineRule="exact"/>
        <w:rPr>
          <w:sz w:val="20"/>
          <w:szCs w:val="20"/>
          <w:color w:val="auto"/>
        </w:rPr>
      </w:pPr>
    </w:p>
    <w:p>
      <w:pPr>
        <w:jc w:val="both"/>
        <w:ind w:left="1060" w:right="3119" w:hanging="359"/>
        <w:spacing w:after="0" w:line="239" w:lineRule="auto"/>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and approval of the merger agreement and approval of the merger by the requisite holders of the outstanding E.mergent common stock;</w:t>
      </w:r>
    </w:p>
    <w:p>
      <w:pPr>
        <w:spacing w:after="0" w:line="175"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any law, injunction or order preventing the completion of the merger;</w:t>
      </w:r>
    </w:p>
    <w:p>
      <w:pPr>
        <w:spacing w:after="0" w:line="174" w:lineRule="exact"/>
        <w:rPr>
          <w:rFonts w:ascii="Courier New" w:cs="Courier New" w:eastAsia="Courier New" w:hAnsi="Courier New"/>
          <w:sz w:val="15"/>
          <w:szCs w:val="15"/>
          <w:color w:val="auto"/>
        </w:rPr>
      </w:pPr>
    </w:p>
    <w:p>
      <w:pPr>
        <w:jc w:val="both"/>
        <w:ind w:left="1060" w:right="3119" w:hanging="359"/>
        <w:spacing w:after="0"/>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regard to ClearOne's registration statement on Form S-4 of which this document forms a part, no stop order suspending its effectiveness may be in effect and no proceedings for suspension of its effectiveness may be pending before or threatened in writing by the Securities and Exchange Commission; and</w:t>
      </w:r>
    </w:p>
    <w:p>
      <w:pPr>
        <w:spacing w:after="0" w:line="174"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continuing accuracy of the representations and warranties of ClearOne and E.mergent contained in the merger agreement, subject to certain exceptions.</w:t>
      </w:r>
    </w:p>
    <w:p>
      <w:pPr>
        <w:spacing w:after="0" w:line="175" w:lineRule="exact"/>
        <w:rPr>
          <w:sz w:val="20"/>
          <w:szCs w:val="20"/>
          <w:color w:val="auto"/>
        </w:rPr>
      </w:pPr>
    </w:p>
    <w:p>
      <w:pPr>
        <w:ind w:right="3119" w:firstLine="710"/>
        <w:spacing w:after="0" w:line="260" w:lineRule="auto"/>
        <w:rPr>
          <w:sz w:val="20"/>
          <w:szCs w:val="20"/>
          <w:color w:val="auto"/>
        </w:rPr>
      </w:pPr>
      <w:r>
        <w:rPr>
          <w:rFonts w:ascii="Courier New" w:cs="Courier New" w:eastAsia="Courier New" w:hAnsi="Courier New"/>
          <w:sz w:val="14"/>
          <w:szCs w:val="14"/>
          <w:color w:val="auto"/>
        </w:rPr>
        <w:t>Except for the conditions that are required to be met by law, such as the first three items above, the conditions to completion of the merger may be waived by the company entitled to assert the condition. However, in the event that either E.mergent or ClearOne elect to waive a condition to closing that it's board of directors considers material, they intend to resolicit shareholder approval of the merger following appropriate disclosure of such waiver.</w:t>
      </w:r>
    </w:p>
    <w:p>
      <w:pPr>
        <w:spacing w:after="0" w:line="164"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Termination of the Merger; Fees Payable. ClearOne and E.mergent may mutually agree to terminate the merger agreement without completing the merger. In addition, either ClearOne or E.mergent may terminate the merger agreement under certain circumstances, including any of the following:</w:t>
      </w:r>
    </w:p>
    <w:p>
      <w:pPr>
        <w:spacing w:after="0" w:line="176" w:lineRule="exact"/>
        <w:rPr>
          <w:sz w:val="20"/>
          <w:szCs w:val="20"/>
          <w:color w:val="auto"/>
        </w:rPr>
      </w:pPr>
    </w:p>
    <w:p>
      <w:pPr>
        <w:ind w:left="1060" w:right="3119" w:hanging="359"/>
        <w:spacing w:after="0" w:line="238" w:lineRule="auto"/>
        <w:tabs>
          <w:tab w:leader="none" w:pos="10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ClearOne and E.mergent do not complete the merger by May 31, 2002;</w:t>
      </w:r>
    </w:p>
    <w:p>
      <w:pPr>
        <w:spacing w:after="0" w:line="174"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E.mergent stockholders do not adopt and approve the merger agreement and approve the merger, provided such failure is not the result of a breach by E.mergent; or</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19"/>
          </w:cols>
          <w:pgMar w:left="240" w:top="631" w:right="1440" w:bottom="1440" w:gutter="0" w:footer="0" w:header="0"/>
        </w:sectPr>
      </w:pPr>
    </w:p>
    <w:bookmarkStart w:id="13" w:name="page14"/>
    <w:bookmarkEnd w:id="13"/>
    <w:p>
      <w:pPr>
        <w:jc w:val="both"/>
        <w:ind w:left="1060" w:right="3119" w:hanging="359"/>
        <w:spacing w:after="0" w:line="258" w:lineRule="auto"/>
        <w:tabs>
          <w:tab w:leader="none" w:pos="1060"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the weighted average closing price of ClearOne common stock as quoted on the Nasdaq National Market for the fifteen</w:t>
      </w:r>
    </w:p>
    <w:p>
      <w:pPr>
        <w:ind w:left="1060" w:right="3119" w:hanging="4"/>
        <w:spacing w:after="0" w:line="238" w:lineRule="auto"/>
        <w:tabs>
          <w:tab w:leader="none" w:pos="1504"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trading days ending one day prior to the date of the scheduled completion of the merger is greater than $23 or less than $14.</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E.mergent may also terminate the merger agreement if it elects to enter into certain types of extraordinary transactions with a third party, such as a merger, business combination or sale of a material amount of assets or capital stock; it pays ClearOne the termination fees described below; and, otherwise complies with all of the restrictions in the merger agreement applicable to E.mergent's involvement with such an alternative proposal.</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ClearOne may also terminate the merger agreement if E.mergent stockholders holding 15% or more of the issued and outstanding shares of E.mergent elect to pursue dissenters' rights, whether such holders have perfected such rights or not. Additionally, ClearOne may terminate the merger under the following circumstances, in which case E.mergent must pay ClearOne the termination fees described below:</w:t>
      </w:r>
    </w:p>
    <w:p>
      <w:pPr>
        <w:spacing w:after="0" w:line="175" w:lineRule="exact"/>
        <w:rPr>
          <w:sz w:val="20"/>
          <w:szCs w:val="20"/>
          <w:color w:val="auto"/>
        </w:rPr>
      </w:pPr>
    </w:p>
    <w:p>
      <w:pPr>
        <w:jc w:val="both"/>
        <w:ind w:left="1060" w:right="3119" w:hanging="359"/>
        <w:spacing w:after="0"/>
        <w:tabs>
          <w:tab w:leader="none" w:pos="10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board of directors undertakes certain action, or fails to take certain action, unfavorable to the proposed merger, when addressing certain types of extraordinary transactions with a third party, such as a merger, exchange offer, business combination or sale of a material amount of assets or capital stock; or</w:t>
      </w:r>
    </w:p>
    <w:p>
      <w:pPr>
        <w:spacing w:after="0" w:line="174"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board of directors withdraws, amends or modifies in a manner adverse to ClearOne the unanimous recommendation of its non-interested directors in favor of the adoption and approval of the merger agreement or the approval of the merger.</w:t>
      </w:r>
    </w:p>
    <w:p>
      <w:pPr>
        <w:spacing w:after="0" w:line="176"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If the merger is terminated under the circumstances described above as requiring the payment of termination fees E.mergent must pay ClearOne a fee of $1,000,000 in cash and reimburse ClearOne for up to $500,000 in actual legal, accounting and advisory fees and costs incurred by ClearOne.</w:t>
      </w:r>
    </w:p>
    <w:p>
      <w:pPr>
        <w:spacing w:after="0" w:line="176"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Alternatively, if ClearOne terminates the merger agreement for a material breach of any agreement on the part of E.mergent, or if any of E.mergent's representations or warranties are or become untrue in certain ways, then E.mergent must pay up to $500,000 of ClearOne's actual legal, advisory and accounting fees incurred in connection with the merger. Conversely, if E.mergent terminates the merger agreement for a material breach of any agreement on the part of ClearOne, or if any of ClearOne's representations or warranties are or become untrue in certain ways, then ClearOne must pay up to $500,000 of E.mergent's actual legal, advisory and accounting fees incurred in connection with the merger.</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 Prohibited from Soliciting Other Offers (see page 53)</w:t>
      </w:r>
    </w:p>
    <w:p>
      <w:pPr>
        <w:spacing w:after="0" w:line="174" w:lineRule="exact"/>
        <w:rPr>
          <w:sz w:val="20"/>
          <w:szCs w:val="20"/>
          <w:color w:val="auto"/>
        </w:rPr>
      </w:pPr>
    </w:p>
    <w:p>
      <w:pPr>
        <w:ind w:right="3399" w:firstLine="710"/>
        <w:spacing w:after="0" w:line="262" w:lineRule="auto"/>
        <w:rPr>
          <w:sz w:val="20"/>
          <w:szCs w:val="20"/>
          <w:color w:val="auto"/>
        </w:rPr>
      </w:pPr>
      <w:r>
        <w:rPr>
          <w:rFonts w:ascii="Courier New" w:cs="Courier New" w:eastAsia="Courier New" w:hAnsi="Courier New"/>
          <w:sz w:val="14"/>
          <w:szCs w:val="14"/>
          <w:color w:val="auto"/>
        </w:rPr>
        <w:t>E.mergent has agreed that, while the merger is pending, it will not initiate or, subject to some exceptions, engage in discussions with third parties regarding some types of extraordinary transactions, such as a merger, business combination or sale of a material amount of assets or capital stock.</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Ownership of Management</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As of the close of business on the record date for the special meeting of E.mergent stockholders at which the merger agreement and the merger will be presented and voted upon, directors and executive officers of E.mergent (and their respective affiliates) collectively owned approximately 41% of the outstanding shares of E.mergent common stock. This does not include 342,000 shares of E.mergent common stock issuable upon the exercise of presently exercisable options which these directors and officers beneficially own. If all of these stock options had been exercised prior to the record date for the special meeting, the directors and executive officers of E.mergent (and their respective affiliates) would collectively own approximately 44% of the outstanding shares of E.mergent common stock entitled to vote at the special meeting.</w:t>
      </w:r>
    </w:p>
    <w:p>
      <w:pPr>
        <w:spacing w:after="0" w:line="350"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Material United States Federal Income Tax Consequences of the Merger (see page 42)</w:t>
      </w:r>
    </w:p>
    <w:p>
      <w:pPr>
        <w:spacing w:after="0" w:line="175" w:lineRule="exact"/>
        <w:rPr>
          <w:sz w:val="20"/>
          <w:szCs w:val="20"/>
          <w:color w:val="auto"/>
        </w:rPr>
      </w:pPr>
    </w:p>
    <w:p>
      <w:pPr>
        <w:ind w:right="3119" w:firstLine="710"/>
        <w:spacing w:after="0" w:line="262" w:lineRule="auto"/>
        <w:rPr>
          <w:sz w:val="20"/>
          <w:szCs w:val="20"/>
          <w:color w:val="auto"/>
        </w:rPr>
      </w:pPr>
      <w:r>
        <w:rPr>
          <w:rFonts w:ascii="Courier New" w:cs="Courier New" w:eastAsia="Courier New" w:hAnsi="Courier New"/>
          <w:sz w:val="14"/>
          <w:szCs w:val="14"/>
          <w:color w:val="auto"/>
        </w:rPr>
        <w:t>Fredrikson &amp; Byron, P.A., counsel to E.mergent, and Jones, Waldo, Holbrook &amp; McDonough, P.C., counsel to ClearOne, have provided tax opinions regarding the material U. S. federal income tax consequences of the merger. In summary, the opinions provide that, assuming that the ClearOne common stock that</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19"/>
          </w:cols>
          <w:pgMar w:left="240" w:top="631" w:right="1440" w:bottom="1440" w:gutter="0" w:footer="0" w:header="0"/>
        </w:sectPr>
      </w:pPr>
    </w:p>
    <w:bookmarkStart w:id="14" w:name="page15"/>
    <w:bookmarkEnd w:id="14"/>
    <w:p>
      <w:pPr>
        <w:ind w:right="3119"/>
        <w:spacing w:after="0"/>
        <w:rPr>
          <w:sz w:val="20"/>
          <w:szCs w:val="20"/>
          <w:color w:val="auto"/>
        </w:rPr>
      </w:pPr>
      <w:r>
        <w:rPr>
          <w:rFonts w:ascii="Courier New" w:cs="Courier New" w:eastAsia="Courier New" w:hAnsi="Courier New"/>
          <w:sz w:val="15"/>
          <w:szCs w:val="15"/>
          <w:color w:val="auto"/>
        </w:rPr>
        <w:t>E.mergent shareholders receive in the merger has a value above approximately $10.25 per share, so that the value of the stock is greater than the value of the cash that they receive in the merger, the merger will qualify as a "reorganization" under section 368(a) of the Internal Revenue Code. In that case, E.mergent's stockholders will only recognize gain, if any, for federal income tax purposes, to the extent they receive cash in the merger. In addition, E.mergent stockholders will recognize gain or loss, as the case may be, to the extent they receive cash in lieu of the receipt of a fractional share of ClearOne's common stock. However, if the merger is completed at a time when the ClearOne common stock is below approximately $10.25 per share, so that the stock has a value less than the cash that the E.mergent stockholders receive in the merger, the merger may not so qualify as a "reorganization." In such event, E.mergent stockholders will recognize gain, if any, for federal income tax purposes, based on both the cash and the value of the ClearOne stock received in the merger.</w:t>
      </w:r>
    </w:p>
    <w:p>
      <w:pPr>
        <w:spacing w:after="0" w:line="182"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Under the merger agreement, ClearOne and E.mergent may choose to complete the merger even though the value of the ClearOne common stock declines below $10.25 and the merger does not qualify as a reorganization under Section 368(a) of the Internal Revenue Code. However, in the event that prior to closing, ClearOne and E.mergent determine, due a decline in the value of ClearOne common stock, the gain based on both the cash and ClearOne stock would be taxable because the merger did not qualify as a "reorganization," and neither E.mergent nor ClearOne terminates the merger due to such a decline as allowed under the merger agreement, ClearOne and E.mergent intend to advise E.mergent's shareholders of such circumstances and resolicit their approval of the merger.</w:t>
      </w:r>
    </w:p>
    <w:p>
      <w:pPr>
        <w:spacing w:after="0" w:line="166"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Tax matters are complicated, and the tax consequences of the merger to you will depend on the facts of your own situation. We urge you to contact your own tax advisor to understand fully how the merger will affect you, including how any state, local, or foreign tax laws may apply to you.</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Appraisal Rights (see page 44)</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You are entitled to appraisal rights in connection with the merger under Section 262 of the Delaware General Corporate Law. If appraisal rights are available, the merger is completed, and you (1) file written notice with E.mergent of an intention to exercise appraisal rights prior to the time the vote is taken at the special meeting, (2) do not vote in favor of the merger agreement or merger and (3) follow the other procedures set forth in Section 262, you generally will be entitled to be paid the fair value of the shares of E.mergent common stock in cash for which appraisal rights have been perfected.</w:t>
      </w:r>
    </w:p>
    <w:p>
      <w:pPr>
        <w:spacing w:after="0" w:line="177" w:lineRule="exact"/>
        <w:rPr>
          <w:sz w:val="20"/>
          <w:szCs w:val="20"/>
          <w:color w:val="auto"/>
        </w:rPr>
      </w:pPr>
    </w:p>
    <w:p>
      <w:pPr>
        <w:ind w:right="3119" w:firstLine="710"/>
        <w:spacing w:after="0" w:line="261" w:lineRule="auto"/>
        <w:rPr>
          <w:sz w:val="20"/>
          <w:szCs w:val="20"/>
          <w:color w:val="auto"/>
        </w:rPr>
      </w:pPr>
      <w:r>
        <w:rPr>
          <w:rFonts w:ascii="Courier New" w:cs="Courier New" w:eastAsia="Courier New" w:hAnsi="Courier New"/>
          <w:sz w:val="14"/>
          <w:szCs w:val="14"/>
          <w:color w:val="auto"/>
        </w:rPr>
        <w:t>You should carefully read the disclosure beginning on page 44 and included in Annex D. The exercise of appraisal rights is a complicated legal act and you should not rely solely on the disclosure in this document to inform you how to perfect your rights. Your failure to comply with the procedures described in Annex D will result in the loss of your appraisal rights.</w:t>
      </w:r>
    </w:p>
    <w:p>
      <w:pPr>
        <w:spacing w:after="0" w:line="332"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Restrictions on the Ability to Sell ClearOne Common Stock Received in the Merger (see page 62)</w:t>
      </w:r>
    </w:p>
    <w:p>
      <w:pPr>
        <w:spacing w:after="0" w:line="175"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Generally, the shares of ClearOne common stock that you receive in connection with the merger will be freely transferable unless you are deemed to be an affiliate of E.mergent or ClearOne prior to the completion of the merger under the Securities Act of 1933. Shares of ClearOne common stock received by E.mergent's or ClearOne's affiliates in the merger may only be sold in compliance with Rule 145 under the Securities Act of 1933. The ClearOne common stock is listed on the Nasdaq National Market under the symbol "CLRO."</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19"/>
          </w:cols>
          <w:pgMar w:left="240" w:top="631"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5"/>
          <w:szCs w:val="15"/>
          <w:color w:val="auto"/>
        </w:rPr>
        <w:t>Risks of the Merger (see page 21)</w:t>
      </w:r>
    </w:p>
    <w:p>
      <w:pPr>
        <w:spacing w:after="0" w:line="34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By voting to approve the merger, you will be choosing to invest in ClearOne common stock. An investment in ClearOne common stock involves a high degree of risk. In deciding whether to vote for the merger, you should carefully consider the risks that are discussed in detail in this proxy statement/prospectus under the caption "Risk Factors."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Governmental Approvals or Regulatory Requirements</w:t>
      </w:r>
    </w:p>
    <w:p>
      <w:pPr>
        <w:spacing w:after="0" w:line="174" w:lineRule="exact"/>
        <w:rPr>
          <w:sz w:val="20"/>
          <w:szCs w:val="20"/>
          <w:color w:val="auto"/>
        </w:rPr>
      </w:pPr>
    </w:p>
    <w:p>
      <w:pPr>
        <w:ind w:right="3399" w:firstLine="710"/>
        <w:spacing w:after="0" w:line="239" w:lineRule="auto"/>
        <w:rPr>
          <w:sz w:val="20"/>
          <w:szCs w:val="20"/>
          <w:color w:val="auto"/>
        </w:rPr>
      </w:pPr>
      <w:r>
        <w:rPr>
          <w:rFonts w:ascii="Courier New" w:cs="Courier New" w:eastAsia="Courier New" w:hAnsi="Courier New"/>
          <w:sz w:val="15"/>
          <w:szCs w:val="15"/>
          <w:color w:val="auto"/>
        </w:rPr>
        <w:t>We are not aware of any material federal or state regulatory requirements or approvals required for completion of the merger, other than filing a certificate of merger in Delaware at or before the effective time of the merger.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of the Merger</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We will complete the merger when all of the conditions to completion of the merger contained in the merger agreement have been satisfied or waived. We currently expect that to occur promptly after the meeting of the E.mergent stockholders to vote on the merger. However, because the merger is subject to such conditions, some of which are beyond our control, we cannot predict the exact timing.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628" w:right="1440" w:bottom="1440" w:gutter="0" w:footer="0" w:header="0"/>
        </w:sectPr>
      </w:pPr>
    </w:p>
    <w:bookmarkStart w:id="16" w:name="page17"/>
    <w:bookmarkEnd w:id="16"/>
    <w:p>
      <w:pPr>
        <w:ind w:left="2040"/>
        <w:spacing w:after="0"/>
        <w:rPr>
          <w:sz w:val="20"/>
          <w:szCs w:val="20"/>
          <w:color w:val="auto"/>
        </w:rPr>
      </w:pPr>
      <w:r>
        <w:rPr>
          <w:rFonts w:ascii="Courier New" w:cs="Courier New" w:eastAsia="Courier New" w:hAnsi="Courier New"/>
          <w:sz w:val="15"/>
          <w:szCs w:val="15"/>
          <w:color w:val="auto"/>
        </w:rPr>
        <w:t>Selected Historical Financial Data</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w:t>
      </w:r>
    </w:p>
    <w:p>
      <w:pPr>
        <w:spacing w:after="0" w:line="174" w:lineRule="exact"/>
        <w:rPr>
          <w:sz w:val="20"/>
          <w:szCs w:val="20"/>
          <w:color w:val="auto"/>
        </w:rPr>
      </w:pPr>
    </w:p>
    <w:p>
      <w:pPr>
        <w:ind w:right="3119" w:firstLine="710"/>
        <w:spacing w:after="0" w:line="261" w:lineRule="auto"/>
        <w:rPr>
          <w:sz w:val="20"/>
          <w:szCs w:val="20"/>
          <w:color w:val="auto"/>
        </w:rPr>
      </w:pPr>
      <w:r>
        <w:rPr>
          <w:rFonts w:ascii="Courier New" w:cs="Courier New" w:eastAsia="Courier New" w:hAnsi="Courier New"/>
          <w:sz w:val="14"/>
          <w:szCs w:val="14"/>
          <w:color w:val="auto"/>
        </w:rPr>
        <w:t>The following selected historical financial data for the most recent five fiscal years ended December 31, 2001 are derived from the audited financial statements of E.mergent. The historical data is only a summary and should be read in conjunction with the historical financial statements, related notes, and other financial information incorporated by reference herein.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340" w:type="dxa"/>
        <w:tblCellMar>
          <w:top w:w="0" w:type="dxa"/>
          <w:left w:w="0" w:type="dxa"/>
          <w:bottom w:w="0" w:type="dxa"/>
          <w:right w:w="0" w:type="dxa"/>
        </w:tblCellMar>
      </w:tblPr>
      <w:tr>
        <w:trPr>
          <w:trHeight w:val="170"/>
        </w:trPr>
        <w:tc>
          <w:tcPr>
            <w:tcW w:w="2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8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660" w:type="dxa"/>
            <w:vAlign w:val="bottom"/>
          </w:tcPr>
          <w:p>
            <w:pPr>
              <w:spacing w:after="0"/>
              <w:rPr>
                <w:sz w:val="14"/>
                <w:szCs w:val="14"/>
                <w:color w:val="auto"/>
              </w:rPr>
            </w:pPr>
          </w:p>
        </w:tc>
        <w:tc>
          <w:tcPr>
            <w:tcW w:w="6660" w:type="dxa"/>
            <w:vAlign w:val="bottom"/>
            <w:gridSpan w:val="10"/>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2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2000</w:t>
            </w:r>
          </w:p>
        </w:tc>
        <w:tc>
          <w:tcPr>
            <w:tcW w:w="280" w:type="dxa"/>
            <w:vAlign w:val="bottom"/>
          </w:tcPr>
          <w:p>
            <w:pPr>
              <w:spacing w:after="0"/>
              <w:rPr>
                <w:sz w:val="14"/>
                <w:szCs w:val="14"/>
                <w:color w:val="auto"/>
              </w:rPr>
            </w:pP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1999</w:t>
            </w:r>
          </w:p>
        </w:tc>
        <w:tc>
          <w:tcPr>
            <w:tcW w:w="100" w:type="dxa"/>
            <w:vAlign w:val="bottom"/>
          </w:tcPr>
          <w:p>
            <w:pPr>
              <w:spacing w:after="0"/>
              <w:rPr>
                <w:sz w:val="14"/>
                <w:szCs w:val="14"/>
                <w:color w:val="auto"/>
              </w:rPr>
            </w:pP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2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2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Operating Results</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7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$22,417,149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21,830,372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12,538,462</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6,162,986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6,949,652</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w w:val="97"/>
              </w:rPr>
              <w:t>Cost of goods sold ...........</w:t>
            </w:r>
          </w:p>
        </w:tc>
        <w:tc>
          <w:tcPr>
            <w:tcW w:w="620" w:type="dxa"/>
            <w:vAlign w:val="bottom"/>
          </w:tcPr>
          <w:p>
            <w:pPr>
              <w:spacing w:after="0"/>
              <w:rPr>
                <w:sz w:val="24"/>
                <w:szCs w:val="2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14,322,420</w:t>
            </w:r>
          </w:p>
        </w:tc>
        <w:tc>
          <w:tcPr>
            <w:tcW w:w="220" w:type="dxa"/>
            <w:vAlign w:val="bottom"/>
          </w:tcPr>
          <w:p>
            <w:pPr>
              <w:spacing w:after="0"/>
              <w:rPr>
                <w:sz w:val="24"/>
                <w:szCs w:val="2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13,767,699</w:t>
            </w:r>
          </w:p>
        </w:tc>
        <w:tc>
          <w:tcPr>
            <w:tcW w:w="280" w:type="dxa"/>
            <w:vAlign w:val="bottom"/>
          </w:tcPr>
          <w:p>
            <w:pPr>
              <w:spacing w:after="0"/>
              <w:rPr>
                <w:sz w:val="24"/>
                <w:szCs w:val="2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7,188,236</w:t>
            </w:r>
          </w:p>
        </w:tc>
        <w:tc>
          <w:tcPr>
            <w:tcW w:w="100" w:type="dxa"/>
            <w:vAlign w:val="bottom"/>
          </w:tcPr>
          <w:p>
            <w:pPr>
              <w:spacing w:after="0"/>
              <w:rPr>
                <w:sz w:val="24"/>
                <w:szCs w:val="2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3,624,603</w:t>
            </w:r>
          </w:p>
        </w:tc>
        <w:tc>
          <w:tcPr>
            <w:tcW w:w="22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4,024,841</w:t>
            </w:r>
          </w:p>
        </w:tc>
      </w:tr>
      <w:tr>
        <w:trPr>
          <w:trHeight w:val="171"/>
        </w:trPr>
        <w:tc>
          <w:tcPr>
            <w:tcW w:w="2660" w:type="dxa"/>
            <w:vAlign w:val="bottom"/>
          </w:tcPr>
          <w:p>
            <w:pPr>
              <w:spacing w:after="0"/>
              <w:rPr>
                <w:sz w:val="14"/>
                <w:szCs w:val="14"/>
                <w:color w:val="auto"/>
              </w:rPr>
            </w:pPr>
          </w:p>
        </w:tc>
        <w:tc>
          <w:tcPr>
            <w:tcW w:w="17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w w:val="97"/>
              </w:rPr>
              <w:t>Gross profit .................</w:t>
            </w:r>
          </w:p>
        </w:tc>
        <w:tc>
          <w:tcPr>
            <w:tcW w:w="6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8,094,729</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8,062,673</w:t>
            </w:r>
          </w:p>
        </w:tc>
        <w:tc>
          <w:tcPr>
            <w:tcW w:w="2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5,350,226</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2,538,383</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2,924,811</w:t>
            </w:r>
          </w:p>
        </w:tc>
      </w:tr>
      <w:tr>
        <w:trPr>
          <w:trHeight w:val="341"/>
        </w:trPr>
        <w:tc>
          <w:tcPr>
            <w:tcW w:w="2660" w:type="dxa"/>
            <w:vAlign w:val="bottom"/>
          </w:tcPr>
          <w:p>
            <w:pPr>
              <w:ind w:left="440"/>
              <w:spacing w:after="0"/>
              <w:rPr>
                <w:sz w:val="20"/>
                <w:szCs w:val="20"/>
                <w:color w:val="auto"/>
              </w:rPr>
            </w:pPr>
            <w:r>
              <w:rPr>
                <w:rFonts w:ascii="Courier New" w:cs="Courier New" w:eastAsia="Courier New" w:hAnsi="Courier New"/>
                <w:sz w:val="15"/>
                <w:szCs w:val="15"/>
                <w:color w:val="auto"/>
                <w:w w:val="97"/>
              </w:rPr>
              <w:t>Marketing and selling ...</w:t>
            </w:r>
          </w:p>
        </w:tc>
        <w:tc>
          <w:tcPr>
            <w:tcW w:w="620" w:type="dxa"/>
            <w:vAlign w:val="bottom"/>
          </w:tcPr>
          <w:p>
            <w:pPr>
              <w:spacing w:after="0"/>
              <w:rPr>
                <w:sz w:val="24"/>
                <w:szCs w:val="2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3,446,311</w:t>
            </w:r>
          </w:p>
        </w:tc>
        <w:tc>
          <w:tcPr>
            <w:tcW w:w="220" w:type="dxa"/>
            <w:vAlign w:val="bottom"/>
          </w:tcPr>
          <w:p>
            <w:pPr>
              <w:spacing w:after="0"/>
              <w:rPr>
                <w:sz w:val="24"/>
                <w:szCs w:val="2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3,023,696</w:t>
            </w:r>
          </w:p>
        </w:tc>
        <w:tc>
          <w:tcPr>
            <w:tcW w:w="280" w:type="dxa"/>
            <w:vAlign w:val="bottom"/>
          </w:tcPr>
          <w:p>
            <w:pPr>
              <w:spacing w:after="0"/>
              <w:rPr>
                <w:sz w:val="24"/>
                <w:szCs w:val="2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1,373,275</w:t>
            </w:r>
          </w:p>
        </w:tc>
        <w:tc>
          <w:tcPr>
            <w:tcW w:w="100" w:type="dxa"/>
            <w:vAlign w:val="bottom"/>
          </w:tcPr>
          <w:p>
            <w:pPr>
              <w:spacing w:after="0"/>
              <w:rPr>
                <w:sz w:val="24"/>
                <w:szCs w:val="2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1,058,180</w:t>
            </w:r>
          </w:p>
        </w:tc>
        <w:tc>
          <w:tcPr>
            <w:tcW w:w="22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765,737</w:t>
            </w:r>
          </w:p>
        </w:tc>
      </w:tr>
      <w:tr>
        <w:trPr>
          <w:trHeight w:val="341"/>
        </w:trPr>
        <w:tc>
          <w:tcPr>
            <w:tcW w:w="2660" w:type="dxa"/>
            <w:vAlign w:val="bottom"/>
          </w:tcPr>
          <w:p>
            <w:pPr>
              <w:ind w:left="440"/>
              <w:spacing w:after="0"/>
              <w:rPr>
                <w:sz w:val="20"/>
                <w:szCs w:val="20"/>
                <w:color w:val="auto"/>
              </w:rPr>
            </w:pPr>
            <w:r>
              <w:rPr>
                <w:rFonts w:ascii="Courier New" w:cs="Courier New" w:eastAsia="Courier New" w:hAnsi="Courier New"/>
                <w:sz w:val="15"/>
                <w:szCs w:val="15"/>
                <w:color w:val="auto"/>
              </w:rPr>
              <w:t>General and</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administrative .........</w:t>
            </w:r>
          </w:p>
        </w:tc>
        <w:tc>
          <w:tcPr>
            <w:tcW w:w="6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3,104,752</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3,128,010</w:t>
            </w:r>
          </w:p>
        </w:tc>
        <w:tc>
          <w:tcPr>
            <w:tcW w:w="2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2,267,163</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1,147,245</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1,230,980</w:t>
            </w:r>
          </w:p>
        </w:tc>
      </w:tr>
      <w:tr>
        <w:trPr>
          <w:trHeight w:val="341"/>
        </w:trPr>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Research and development.</w:t>
            </w:r>
          </w:p>
        </w:tc>
        <w:tc>
          <w:tcPr>
            <w:tcW w:w="620" w:type="dxa"/>
            <w:vAlign w:val="bottom"/>
          </w:tcPr>
          <w:p>
            <w:pPr>
              <w:spacing w:after="0"/>
              <w:rPr>
                <w:sz w:val="24"/>
                <w:szCs w:val="2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662,719</w:t>
            </w:r>
          </w:p>
        </w:tc>
        <w:tc>
          <w:tcPr>
            <w:tcW w:w="220" w:type="dxa"/>
            <w:vAlign w:val="bottom"/>
          </w:tcPr>
          <w:p>
            <w:pPr>
              <w:spacing w:after="0"/>
              <w:rPr>
                <w:sz w:val="24"/>
                <w:szCs w:val="2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781,616</w:t>
            </w:r>
          </w:p>
        </w:tc>
        <w:tc>
          <w:tcPr>
            <w:tcW w:w="280" w:type="dxa"/>
            <w:vAlign w:val="bottom"/>
          </w:tcPr>
          <w:p>
            <w:pPr>
              <w:spacing w:after="0"/>
              <w:rPr>
                <w:sz w:val="24"/>
                <w:szCs w:val="2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852,400</w:t>
            </w:r>
          </w:p>
        </w:tc>
        <w:tc>
          <w:tcPr>
            <w:tcW w:w="100" w:type="dxa"/>
            <w:vAlign w:val="bottom"/>
          </w:tcPr>
          <w:p>
            <w:pPr>
              <w:spacing w:after="0"/>
              <w:rPr>
                <w:sz w:val="24"/>
                <w:szCs w:val="2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643,643</w:t>
            </w:r>
          </w:p>
        </w:tc>
        <w:tc>
          <w:tcPr>
            <w:tcW w:w="22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325,881</w:t>
            </w:r>
          </w:p>
        </w:tc>
      </w:tr>
      <w:tr>
        <w:trPr>
          <w:trHeight w:val="171"/>
        </w:trPr>
        <w:tc>
          <w:tcPr>
            <w:tcW w:w="2660" w:type="dxa"/>
            <w:vAlign w:val="bottom"/>
          </w:tcPr>
          <w:p>
            <w:pPr>
              <w:spacing w:after="0"/>
              <w:rPr>
                <w:sz w:val="14"/>
                <w:szCs w:val="14"/>
                <w:color w:val="auto"/>
              </w:rPr>
            </w:pPr>
          </w:p>
        </w:tc>
        <w:tc>
          <w:tcPr>
            <w:tcW w:w="17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6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880,947</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1,129,351</w:t>
            </w:r>
          </w:p>
        </w:tc>
        <w:tc>
          <w:tcPr>
            <w:tcW w:w="2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857,388</w:t>
            </w:r>
          </w:p>
        </w:tc>
        <w:tc>
          <w:tcPr>
            <w:tcW w:w="1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(310,685)</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602,213</w:t>
            </w:r>
          </w:p>
        </w:tc>
      </w:tr>
      <w:tr>
        <w:trPr>
          <w:trHeight w:val="341"/>
        </w:trPr>
        <w:tc>
          <w:tcPr>
            <w:tcW w:w="2660" w:type="dxa"/>
            <w:vAlign w:val="bottom"/>
          </w:tcPr>
          <w:p>
            <w:pPr>
              <w:ind w:left="440"/>
              <w:spacing w:after="0"/>
              <w:rPr>
                <w:sz w:val="20"/>
                <w:szCs w:val="20"/>
                <w:color w:val="auto"/>
              </w:rPr>
            </w:pPr>
            <w:r>
              <w:rPr>
                <w:rFonts w:ascii="Courier New" w:cs="Courier New" w:eastAsia="Courier New" w:hAnsi="Courier New"/>
                <w:sz w:val="15"/>
                <w:szCs w:val="15"/>
                <w:color w:val="auto"/>
              </w:rPr>
              <w:t>Other income (expense)..</w:t>
            </w:r>
          </w:p>
        </w:tc>
        <w:tc>
          <w:tcPr>
            <w:tcW w:w="620" w:type="dxa"/>
            <w:vAlign w:val="bottom"/>
          </w:tcPr>
          <w:p>
            <w:pPr>
              <w:spacing w:after="0"/>
              <w:rPr>
                <w:sz w:val="24"/>
                <w:szCs w:val="2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(81,203)</w:t>
            </w:r>
          </w:p>
        </w:tc>
        <w:tc>
          <w:tcPr>
            <w:tcW w:w="220" w:type="dxa"/>
            <w:vAlign w:val="bottom"/>
          </w:tcPr>
          <w:p>
            <w:pPr>
              <w:spacing w:after="0"/>
              <w:rPr>
                <w:sz w:val="24"/>
                <w:szCs w:val="2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(151,092)</w:t>
            </w:r>
          </w:p>
        </w:tc>
        <w:tc>
          <w:tcPr>
            <w:tcW w:w="280" w:type="dxa"/>
            <w:vAlign w:val="bottom"/>
          </w:tcPr>
          <w:p>
            <w:pPr>
              <w:spacing w:after="0"/>
              <w:rPr>
                <w:sz w:val="24"/>
                <w:szCs w:val="24"/>
                <w:color w:val="auto"/>
              </w:rPr>
            </w:pPr>
          </w:p>
        </w:tc>
        <w:tc>
          <w:tcPr>
            <w:tcW w:w="11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(4,376)</w:t>
            </w:r>
          </w:p>
        </w:tc>
        <w:tc>
          <w:tcPr>
            <w:tcW w:w="100" w:type="dxa"/>
            <w:vAlign w:val="bottom"/>
          </w:tcPr>
          <w:p>
            <w:pPr>
              <w:spacing w:after="0"/>
              <w:rPr>
                <w:sz w:val="24"/>
                <w:szCs w:val="2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89,587</w:t>
            </w:r>
          </w:p>
        </w:tc>
        <w:tc>
          <w:tcPr>
            <w:tcW w:w="22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51,211</w:t>
            </w:r>
          </w:p>
        </w:tc>
      </w:tr>
      <w:tr>
        <w:trPr>
          <w:trHeight w:val="171"/>
        </w:trPr>
        <w:tc>
          <w:tcPr>
            <w:tcW w:w="2660" w:type="dxa"/>
            <w:vAlign w:val="bottom"/>
          </w:tcPr>
          <w:p>
            <w:pPr>
              <w:spacing w:after="0"/>
              <w:rPr>
                <w:sz w:val="14"/>
                <w:szCs w:val="14"/>
                <w:color w:val="auto"/>
              </w:rPr>
            </w:pPr>
          </w:p>
        </w:tc>
        <w:tc>
          <w:tcPr>
            <w:tcW w:w="17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660" w:type="dxa"/>
            <w:vAlign w:val="bottom"/>
          </w:tcPr>
          <w:p>
            <w:pPr>
              <w:ind w:left="100"/>
              <w:spacing w:after="0"/>
              <w:rPr>
                <w:sz w:val="20"/>
                <w:szCs w:val="20"/>
                <w:color w:val="auto"/>
              </w:rPr>
            </w:pPr>
            <w:r>
              <w:rPr>
                <w:rFonts w:ascii="Courier New" w:cs="Courier New" w:eastAsia="Courier New" w:hAnsi="Courier New"/>
                <w:sz w:val="15"/>
                <w:szCs w:val="15"/>
                <w:color w:val="auto"/>
              </w:rPr>
              <w:t>operations before income</w:t>
            </w: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taxes........................</w:t>
            </w:r>
          </w:p>
        </w:tc>
        <w:tc>
          <w:tcPr>
            <w:tcW w:w="6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799,744</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978,259</w:t>
            </w:r>
          </w:p>
        </w:tc>
        <w:tc>
          <w:tcPr>
            <w:tcW w:w="2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853,012</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(221,098)</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653,424</w:t>
            </w:r>
          </w:p>
        </w:tc>
      </w:tr>
      <w:tr>
        <w:trPr>
          <w:trHeight w:val="341"/>
        </w:trPr>
        <w:tc>
          <w:tcPr>
            <w:tcW w:w="2660" w:type="dxa"/>
            <w:vAlign w:val="bottom"/>
          </w:tcPr>
          <w:p>
            <w:pPr>
              <w:ind w:left="440"/>
              <w:spacing w:after="0"/>
              <w:rPr>
                <w:sz w:val="20"/>
                <w:szCs w:val="20"/>
                <w:color w:val="auto"/>
              </w:rPr>
            </w:pPr>
            <w:r>
              <w:rPr>
                <w:rFonts w:ascii="Courier New" w:cs="Courier New" w:eastAsia="Courier New" w:hAnsi="Courier New"/>
                <w:sz w:val="15"/>
                <w:szCs w:val="15"/>
                <w:color w:val="auto"/>
              </w:rPr>
              <w:t>Income tax benefit</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(expense)...............</w:t>
            </w:r>
          </w:p>
        </w:tc>
        <w:tc>
          <w:tcPr>
            <w:tcW w:w="62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(313,000)</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56,000</w:t>
            </w:r>
          </w:p>
        </w:tc>
        <w:tc>
          <w:tcPr>
            <w:tcW w:w="2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25,000</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25,000</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100,000</w:t>
            </w:r>
          </w:p>
        </w:tc>
      </w:tr>
      <w:tr>
        <w:trPr>
          <w:trHeight w:val="171"/>
        </w:trPr>
        <w:tc>
          <w:tcPr>
            <w:tcW w:w="2660" w:type="dxa"/>
            <w:vAlign w:val="bottom"/>
          </w:tcPr>
          <w:p>
            <w:pPr>
              <w:spacing w:after="0"/>
              <w:rPr>
                <w:sz w:val="14"/>
                <w:szCs w:val="14"/>
                <w:color w:val="auto"/>
              </w:rPr>
            </w:pPr>
          </w:p>
        </w:tc>
        <w:tc>
          <w:tcPr>
            <w:tcW w:w="17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Income (loss) from</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continuing operations........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486,744</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1,034,259</w:t>
            </w:r>
          </w:p>
        </w:tc>
        <w:tc>
          <w:tcPr>
            <w:tcW w:w="2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878,012</w:t>
            </w:r>
          </w:p>
        </w:tc>
        <w:tc>
          <w:tcPr>
            <w:tcW w:w="100" w:type="dxa"/>
            <w:vAlign w:val="bottom"/>
          </w:tcPr>
          <w:p>
            <w:pPr>
              <w:spacing w:after="0"/>
              <w:rPr>
                <w:sz w:val="14"/>
                <w:szCs w:val="14"/>
                <w:color w:val="auto"/>
              </w:rPr>
            </w:pP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(196,098)</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753,424</w:t>
            </w:r>
          </w:p>
        </w:tc>
      </w:tr>
      <w:tr>
        <w:trPr>
          <w:trHeight w:val="171"/>
        </w:trPr>
        <w:tc>
          <w:tcPr>
            <w:tcW w:w="2660" w:type="dxa"/>
            <w:vAlign w:val="bottom"/>
          </w:tcPr>
          <w:p>
            <w:pPr>
              <w:spacing w:after="0"/>
              <w:rPr>
                <w:sz w:val="14"/>
                <w:szCs w:val="14"/>
                <w:color w:val="auto"/>
              </w:rPr>
            </w:pPr>
          </w:p>
        </w:tc>
        <w:tc>
          <w:tcPr>
            <w:tcW w:w="17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280" w:type="dxa"/>
            <w:vAlign w:val="bottom"/>
            <w:gridSpan w:val="2"/>
          </w:tcPr>
          <w:p>
            <w:pPr>
              <w:spacing w:after="0"/>
              <w:rPr>
                <w:sz w:val="20"/>
                <w:szCs w:val="20"/>
                <w:color w:val="auto"/>
              </w:rPr>
            </w:pPr>
            <w:r>
              <w:rPr>
                <w:rFonts w:ascii="Courier New" w:cs="Courier New" w:eastAsia="Courier New" w:hAnsi="Courier New"/>
                <w:sz w:val="15"/>
                <w:szCs w:val="15"/>
                <w:color w:val="auto"/>
              </w:rPr>
              <w:t>Earnings (loss) per common share:</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2660" w:type="dxa"/>
            <w:vAlign w:val="bottom"/>
          </w:tcPr>
          <w:p>
            <w:pPr>
              <w:ind w:left="440"/>
              <w:spacing w:after="0"/>
              <w:rPr>
                <w:sz w:val="20"/>
                <w:szCs w:val="20"/>
                <w:color w:val="auto"/>
              </w:rPr>
            </w:pPr>
            <w:r>
              <w:rPr>
                <w:rFonts w:ascii="Courier New" w:cs="Courier New" w:eastAsia="Courier New" w:hAnsi="Courier New"/>
                <w:sz w:val="15"/>
                <w:szCs w:val="15"/>
                <w:color w:val="auto"/>
              </w:rPr>
              <w:t>Basic earnings (loss)</w:t>
            </w: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660" w:type="dxa"/>
            <w:vAlign w:val="bottom"/>
          </w:tcPr>
          <w:p>
            <w:pPr>
              <w:ind w:left="540"/>
              <w:spacing w:after="0"/>
              <w:rPr>
                <w:sz w:val="20"/>
                <w:szCs w:val="20"/>
                <w:color w:val="auto"/>
              </w:rPr>
            </w:pPr>
            <w:r>
              <w:rPr>
                <w:rFonts w:ascii="Courier New" w:cs="Courier New" w:eastAsia="Courier New" w:hAnsi="Courier New"/>
                <w:sz w:val="15"/>
                <w:szCs w:val="15"/>
                <w:color w:val="auto"/>
              </w:rPr>
              <w:t>from continuing</w:t>
            </w: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operations..............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0.18</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0.18</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0.24</w:t>
            </w:r>
          </w:p>
        </w:tc>
      </w:tr>
      <w:tr>
        <w:trPr>
          <w:trHeight w:val="171"/>
        </w:trPr>
        <w:tc>
          <w:tcPr>
            <w:tcW w:w="2660" w:type="dxa"/>
            <w:vAlign w:val="bottom"/>
          </w:tcPr>
          <w:p>
            <w:pPr>
              <w:ind w:left="440"/>
              <w:spacing w:after="0"/>
              <w:rPr>
                <w:sz w:val="20"/>
                <w:szCs w:val="20"/>
                <w:color w:val="auto"/>
              </w:rPr>
            </w:pPr>
            <w:r>
              <w:rPr>
                <w:rFonts w:ascii="Courier New" w:cs="Courier New" w:eastAsia="Courier New" w:hAnsi="Courier New"/>
                <w:sz w:val="15"/>
                <w:szCs w:val="15"/>
                <w:color w:val="auto"/>
              </w:rPr>
              <w:t>Diluted earnings (loss)</w:t>
            </w: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660" w:type="dxa"/>
            <w:vAlign w:val="bottom"/>
          </w:tcPr>
          <w:p>
            <w:pPr>
              <w:ind w:left="540"/>
              <w:spacing w:after="0"/>
              <w:rPr>
                <w:sz w:val="20"/>
                <w:szCs w:val="20"/>
                <w:color w:val="auto"/>
              </w:rPr>
            </w:pPr>
            <w:r>
              <w:rPr>
                <w:rFonts w:ascii="Courier New" w:cs="Courier New" w:eastAsia="Courier New" w:hAnsi="Courier New"/>
                <w:sz w:val="15"/>
                <w:szCs w:val="15"/>
                <w:color w:val="auto"/>
              </w:rPr>
              <w:t>from continuing</w:t>
            </w: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operations..............</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0.08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0.17</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(0.05)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0.18</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Weighted average shares</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2660" w:type="dxa"/>
            <w:vAlign w:val="bottom"/>
          </w:tcPr>
          <w:p>
            <w:pPr>
              <w:spacing w:after="0"/>
              <w:rPr>
                <w:sz w:val="20"/>
                <w:szCs w:val="20"/>
                <w:color w:val="auto"/>
              </w:rPr>
            </w:pPr>
            <w:r>
              <w:rPr>
                <w:rFonts w:ascii="Courier New" w:cs="Courier New" w:eastAsia="Courier New" w:hAnsi="Courier New"/>
                <w:sz w:val="15"/>
                <w:szCs w:val="15"/>
                <w:color w:val="auto"/>
              </w:rPr>
              <w:t>outstanding:</w:t>
            </w: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41"/>
        </w:trPr>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Basic....................</w:t>
            </w:r>
          </w:p>
        </w:tc>
        <w:tc>
          <w:tcPr>
            <w:tcW w:w="620" w:type="dxa"/>
            <w:vAlign w:val="bottom"/>
          </w:tcPr>
          <w:p>
            <w:pPr>
              <w:spacing w:after="0"/>
              <w:rPr>
                <w:sz w:val="24"/>
                <w:szCs w:val="2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5,844,860</w:t>
            </w:r>
          </w:p>
        </w:tc>
        <w:tc>
          <w:tcPr>
            <w:tcW w:w="220" w:type="dxa"/>
            <w:vAlign w:val="bottom"/>
          </w:tcPr>
          <w:p>
            <w:pPr>
              <w:spacing w:after="0"/>
              <w:rPr>
                <w:sz w:val="24"/>
                <w:szCs w:val="2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5,741,330</w:t>
            </w:r>
          </w:p>
        </w:tc>
        <w:tc>
          <w:tcPr>
            <w:tcW w:w="280" w:type="dxa"/>
            <w:vAlign w:val="bottom"/>
          </w:tcPr>
          <w:p>
            <w:pPr>
              <w:spacing w:after="0"/>
              <w:rPr>
                <w:sz w:val="24"/>
                <w:szCs w:val="2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4,969,244</w:t>
            </w:r>
          </w:p>
        </w:tc>
        <w:tc>
          <w:tcPr>
            <w:tcW w:w="100" w:type="dxa"/>
            <w:vAlign w:val="bottom"/>
          </w:tcPr>
          <w:p>
            <w:pPr>
              <w:spacing w:after="0"/>
              <w:rPr>
                <w:sz w:val="24"/>
                <w:szCs w:val="2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3,912,319</w:t>
            </w:r>
          </w:p>
        </w:tc>
        <w:tc>
          <w:tcPr>
            <w:tcW w:w="22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3,168,480</w:t>
            </w:r>
          </w:p>
        </w:tc>
      </w:tr>
      <w:tr>
        <w:trPr>
          <w:trHeight w:val="341"/>
        </w:trPr>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Diluted..................</w:t>
            </w:r>
          </w:p>
        </w:tc>
        <w:tc>
          <w:tcPr>
            <w:tcW w:w="620" w:type="dxa"/>
            <w:vAlign w:val="bottom"/>
          </w:tcPr>
          <w:p>
            <w:pPr>
              <w:spacing w:after="0"/>
              <w:rPr>
                <w:sz w:val="24"/>
                <w:szCs w:val="2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6,021,554</w:t>
            </w:r>
          </w:p>
        </w:tc>
        <w:tc>
          <w:tcPr>
            <w:tcW w:w="220" w:type="dxa"/>
            <w:vAlign w:val="bottom"/>
          </w:tcPr>
          <w:p>
            <w:pPr>
              <w:spacing w:after="0"/>
              <w:rPr>
                <w:sz w:val="24"/>
                <w:szCs w:val="2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6,136,968</w:t>
            </w:r>
          </w:p>
        </w:tc>
        <w:tc>
          <w:tcPr>
            <w:tcW w:w="280" w:type="dxa"/>
            <w:vAlign w:val="bottom"/>
          </w:tcPr>
          <w:p>
            <w:pPr>
              <w:spacing w:after="0"/>
              <w:rPr>
                <w:sz w:val="24"/>
                <w:szCs w:val="2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5,126,053</w:t>
            </w:r>
          </w:p>
        </w:tc>
        <w:tc>
          <w:tcPr>
            <w:tcW w:w="100" w:type="dxa"/>
            <w:vAlign w:val="bottom"/>
          </w:tcPr>
          <w:p>
            <w:pPr>
              <w:spacing w:after="0"/>
              <w:rPr>
                <w:sz w:val="24"/>
                <w:szCs w:val="2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4,008,682</w:t>
            </w:r>
          </w:p>
        </w:tc>
        <w:tc>
          <w:tcPr>
            <w:tcW w:w="22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4,086,558</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w w:val="97"/>
              </w:rPr>
              <w:t>Current assets................</w:t>
            </w:r>
          </w:p>
        </w:tc>
        <w:tc>
          <w:tcPr>
            <w:tcW w:w="174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$ 8,404,046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10,028,843</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7,285,825</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4,135,868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3,959,183</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Property, plant and</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equipment, net...............</w:t>
            </w:r>
          </w:p>
        </w:tc>
        <w:tc>
          <w:tcPr>
            <w:tcW w:w="6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473,482</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624,890</w:t>
            </w:r>
          </w:p>
        </w:tc>
        <w:tc>
          <w:tcPr>
            <w:tcW w:w="2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833,681</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469,303</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320,407</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w w:val="97"/>
              </w:rPr>
              <w:t>Total assets .................</w:t>
            </w:r>
          </w:p>
        </w:tc>
        <w:tc>
          <w:tcPr>
            <w:tcW w:w="620" w:type="dxa"/>
            <w:vAlign w:val="bottom"/>
          </w:tcPr>
          <w:p>
            <w:pPr>
              <w:spacing w:after="0"/>
              <w:rPr>
                <w:sz w:val="24"/>
                <w:szCs w:val="2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7"/>
              </w:rPr>
              <w:t>10,835,383</w:t>
            </w:r>
          </w:p>
        </w:tc>
        <w:tc>
          <w:tcPr>
            <w:tcW w:w="220" w:type="dxa"/>
            <w:vAlign w:val="bottom"/>
          </w:tcPr>
          <w:p>
            <w:pPr>
              <w:spacing w:after="0"/>
              <w:rPr>
                <w:sz w:val="24"/>
                <w:szCs w:val="2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5"/>
              </w:rPr>
              <w:t>12,810,402</w:t>
            </w:r>
          </w:p>
        </w:tc>
        <w:tc>
          <w:tcPr>
            <w:tcW w:w="280" w:type="dxa"/>
            <w:vAlign w:val="bottom"/>
          </w:tcPr>
          <w:p>
            <w:pPr>
              <w:spacing w:after="0"/>
              <w:rPr>
                <w:sz w:val="24"/>
                <w:szCs w:val="2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10,256,755</w:t>
            </w:r>
          </w:p>
        </w:tc>
        <w:tc>
          <w:tcPr>
            <w:tcW w:w="100" w:type="dxa"/>
            <w:vAlign w:val="bottom"/>
          </w:tcPr>
          <w:p>
            <w:pPr>
              <w:spacing w:after="0"/>
              <w:rPr>
                <w:sz w:val="24"/>
                <w:szCs w:val="2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4,784,511</w:t>
            </w:r>
          </w:p>
        </w:tc>
        <w:tc>
          <w:tcPr>
            <w:tcW w:w="22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4,279,590</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w w:val="97"/>
              </w:rPr>
              <w:t>Current liabilities ..........</w:t>
            </w:r>
          </w:p>
        </w:tc>
        <w:tc>
          <w:tcPr>
            <w:tcW w:w="620" w:type="dxa"/>
            <w:vAlign w:val="bottom"/>
          </w:tcPr>
          <w:p>
            <w:pPr>
              <w:spacing w:after="0"/>
              <w:rPr>
                <w:sz w:val="24"/>
                <w:szCs w:val="2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2,483,507</w:t>
            </w:r>
          </w:p>
        </w:tc>
        <w:tc>
          <w:tcPr>
            <w:tcW w:w="220" w:type="dxa"/>
            <w:vAlign w:val="bottom"/>
          </w:tcPr>
          <w:p>
            <w:pPr>
              <w:spacing w:after="0"/>
              <w:rPr>
                <w:sz w:val="24"/>
                <w:szCs w:val="2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4,655,584</w:t>
            </w:r>
          </w:p>
        </w:tc>
        <w:tc>
          <w:tcPr>
            <w:tcW w:w="280" w:type="dxa"/>
            <w:vAlign w:val="bottom"/>
          </w:tcPr>
          <w:p>
            <w:pPr>
              <w:spacing w:after="0"/>
              <w:rPr>
                <w:sz w:val="24"/>
                <w:szCs w:val="2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4,099,368</w:t>
            </w:r>
          </w:p>
        </w:tc>
        <w:tc>
          <w:tcPr>
            <w:tcW w:w="100" w:type="dxa"/>
            <w:vAlign w:val="bottom"/>
          </w:tcPr>
          <w:p>
            <w:pPr>
              <w:spacing w:after="0"/>
              <w:rPr>
                <w:sz w:val="24"/>
                <w:szCs w:val="2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795,935</w:t>
            </w:r>
          </w:p>
        </w:tc>
        <w:tc>
          <w:tcPr>
            <w:tcW w:w="22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940,127</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rPr>
              <w:t>Long-term debt and capital</w:t>
            </w:r>
          </w:p>
        </w:tc>
        <w:tc>
          <w:tcPr>
            <w:tcW w:w="6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71"/>
        </w:trPr>
        <w:tc>
          <w:tcPr>
            <w:tcW w:w="2660" w:type="dxa"/>
            <w:vAlign w:val="bottom"/>
          </w:tcPr>
          <w:p>
            <w:pPr>
              <w:ind w:left="100"/>
              <w:spacing w:after="0"/>
              <w:rPr>
                <w:sz w:val="20"/>
                <w:szCs w:val="20"/>
                <w:color w:val="auto"/>
              </w:rPr>
            </w:pPr>
            <w:r>
              <w:rPr>
                <w:rFonts w:ascii="Courier New" w:cs="Courier New" w:eastAsia="Courier New" w:hAnsi="Courier New"/>
                <w:sz w:val="15"/>
                <w:szCs w:val="15"/>
                <w:color w:val="auto"/>
              </w:rPr>
              <w:t>leases, net of current</w:t>
            </w: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71"/>
        </w:trPr>
        <w:tc>
          <w:tcPr>
            <w:tcW w:w="2660" w:type="dxa"/>
            <w:vAlign w:val="bottom"/>
          </w:tcPr>
          <w:p>
            <w:pPr>
              <w:jc w:val="right"/>
              <w:spacing w:after="0"/>
              <w:rPr>
                <w:sz w:val="20"/>
                <w:szCs w:val="20"/>
                <w:color w:val="auto"/>
              </w:rPr>
            </w:pPr>
            <w:r>
              <w:rPr>
                <w:rFonts w:ascii="Courier New" w:cs="Courier New" w:eastAsia="Courier New" w:hAnsi="Courier New"/>
                <w:sz w:val="15"/>
                <w:szCs w:val="15"/>
                <w:color w:val="auto"/>
              </w:rPr>
              <w:t>maturities...................</w:t>
            </w:r>
          </w:p>
        </w:tc>
        <w:tc>
          <w:tcPr>
            <w:tcW w:w="62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403,245</w:t>
            </w:r>
          </w:p>
        </w:tc>
        <w:tc>
          <w:tcPr>
            <w:tcW w:w="220" w:type="dxa"/>
            <w:vAlign w:val="bottom"/>
          </w:tcPr>
          <w:p>
            <w:pPr>
              <w:spacing w:after="0"/>
              <w:rPr>
                <w:sz w:val="14"/>
                <w:szCs w:val="1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654,136</w:t>
            </w:r>
          </w:p>
        </w:tc>
        <w:tc>
          <w:tcPr>
            <w:tcW w:w="280" w:type="dxa"/>
            <w:vAlign w:val="bottom"/>
          </w:tcPr>
          <w:p>
            <w:pPr>
              <w:spacing w:after="0"/>
              <w:rPr>
                <w:sz w:val="14"/>
                <w:szCs w:val="1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98,418</w:t>
            </w:r>
          </w:p>
        </w:tc>
        <w:tc>
          <w:tcPr>
            <w:tcW w:w="100" w:type="dxa"/>
            <w:vAlign w:val="bottom"/>
          </w:tcPr>
          <w:p>
            <w:pPr>
              <w:spacing w:after="0"/>
              <w:rPr>
                <w:sz w:val="14"/>
                <w:szCs w:val="1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24,300</w:t>
            </w:r>
          </w:p>
        </w:tc>
        <w:tc>
          <w:tcPr>
            <w:tcW w:w="22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36,134</w:t>
            </w:r>
          </w:p>
        </w:tc>
      </w:tr>
      <w:tr>
        <w:trPr>
          <w:trHeight w:val="341"/>
        </w:trPr>
        <w:tc>
          <w:tcPr>
            <w:tcW w:w="2660" w:type="dxa"/>
            <w:vAlign w:val="bottom"/>
          </w:tcPr>
          <w:p>
            <w:pPr>
              <w:spacing w:after="0"/>
              <w:rPr>
                <w:sz w:val="20"/>
                <w:szCs w:val="20"/>
                <w:color w:val="auto"/>
              </w:rPr>
            </w:pPr>
            <w:r>
              <w:rPr>
                <w:rFonts w:ascii="Courier New" w:cs="Courier New" w:eastAsia="Courier New" w:hAnsi="Courier New"/>
                <w:sz w:val="15"/>
                <w:szCs w:val="15"/>
                <w:color w:val="auto"/>
                <w:w w:val="97"/>
              </w:rPr>
              <w:t>Total stockholders' equity ...</w:t>
            </w:r>
          </w:p>
        </w:tc>
        <w:tc>
          <w:tcPr>
            <w:tcW w:w="620" w:type="dxa"/>
            <w:vAlign w:val="bottom"/>
          </w:tcPr>
          <w:p>
            <w:pPr>
              <w:spacing w:after="0"/>
              <w:rPr>
                <w:sz w:val="24"/>
                <w:szCs w:val="2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7,648,213</w:t>
            </w:r>
          </w:p>
        </w:tc>
        <w:tc>
          <w:tcPr>
            <w:tcW w:w="220" w:type="dxa"/>
            <w:vAlign w:val="bottom"/>
          </w:tcPr>
          <w:p>
            <w:pPr>
              <w:spacing w:after="0"/>
              <w:rPr>
                <w:sz w:val="24"/>
                <w:szCs w:val="24"/>
                <w:color w:val="auto"/>
              </w:rPr>
            </w:pPr>
          </w:p>
        </w:tc>
        <w:tc>
          <w:tcPr>
            <w:tcW w:w="10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7,190,194</w:t>
            </w:r>
          </w:p>
        </w:tc>
        <w:tc>
          <w:tcPr>
            <w:tcW w:w="280" w:type="dxa"/>
            <w:vAlign w:val="bottom"/>
          </w:tcPr>
          <w:p>
            <w:pPr>
              <w:spacing w:after="0"/>
              <w:rPr>
                <w:sz w:val="24"/>
                <w:szCs w:val="24"/>
                <w:color w:val="auto"/>
              </w:rPr>
            </w:pPr>
          </w:p>
        </w:tc>
        <w:tc>
          <w:tcPr>
            <w:tcW w:w="11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5,950,729</w:t>
            </w:r>
          </w:p>
        </w:tc>
        <w:tc>
          <w:tcPr>
            <w:tcW w:w="100" w:type="dxa"/>
            <w:vAlign w:val="bottom"/>
          </w:tcPr>
          <w:p>
            <w:pPr>
              <w:spacing w:after="0"/>
              <w:rPr>
                <w:sz w:val="24"/>
                <w:szCs w:val="24"/>
                <w:color w:val="auto"/>
              </w:rPr>
            </w:pP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3,964,276</w:t>
            </w:r>
          </w:p>
        </w:tc>
        <w:tc>
          <w:tcPr>
            <w:tcW w:w="220" w:type="dxa"/>
            <w:vAlign w:val="bottom"/>
          </w:tcPr>
          <w:p>
            <w:pPr>
              <w:spacing w:after="0"/>
              <w:rPr>
                <w:sz w:val="24"/>
                <w:szCs w:val="2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w w:val="96"/>
              </w:rPr>
              <w:t>3,303,329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628" w:right="1440" w:bottom="798" w:gutter="0" w:footer="0" w:header="0"/>
        </w:sectPr>
      </w:pPr>
    </w:p>
    <w:bookmarkStart w:id="17" w:name="page18"/>
    <w:bookmarkEnd w:id="17"/>
    <w:p>
      <w:pPr>
        <w:spacing w:after="0" w:line="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following selected historical financial data for the most recent five fiscal years ended June 30, 2001 are derived from the audited consolidated financial statements of ClearOne. The financial data for the six-month periods ended December 31, 2001 and 2000 are derived from unaudited financial statements. The unaudited financial statements include all adjustments, consisting of normal recurring adjustments, which ClearOne considers necessary for a fair presentation of the financial position and the results of operations for these periods. Operating results for the six months ended December 31, 2001 are not necessarily indicative of the results that may be expected for the entire year ending June 30, 2002. The historical data is only a summary and should be read in conjunction with the historical consolidated financial statements, related notes, and other financial information incorporated by reference herein.</w:t>
      </w: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27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Six Months Ended December 31,</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270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9"/>
              </w:rPr>
              <w:t>------------------------------</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Continuing operating results: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$23,802,681</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$19,013,379</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Costs of goods sold .....................</w:t>
            </w:r>
          </w:p>
        </w:tc>
        <w:tc>
          <w:tcPr>
            <w:tcW w:w="30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9,639,094</w:t>
            </w:r>
          </w:p>
        </w:tc>
        <w:tc>
          <w:tcPr>
            <w:tcW w:w="22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7,736,711</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Gross profit ............................</w:t>
            </w:r>
          </w:p>
        </w:tc>
        <w:tc>
          <w:tcPr>
            <w:tcW w:w="30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14,163,587</w:t>
            </w:r>
          </w:p>
        </w:tc>
        <w:tc>
          <w:tcPr>
            <w:tcW w:w="220" w:type="dxa"/>
            <w:vAlign w:val="bottom"/>
          </w:tcPr>
          <w:p>
            <w:pPr>
              <w:spacing w:after="0"/>
              <w:rPr>
                <w:sz w:val="24"/>
                <w:szCs w:val="2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11,276,668</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Marketing and selling ...................</w:t>
            </w:r>
          </w:p>
        </w:tc>
        <w:tc>
          <w:tcPr>
            <w:tcW w:w="30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5,232,153</w:t>
            </w:r>
          </w:p>
        </w:tc>
        <w:tc>
          <w:tcPr>
            <w:tcW w:w="22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3,823,572</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General and administrative ..............</w:t>
            </w:r>
          </w:p>
        </w:tc>
        <w:tc>
          <w:tcPr>
            <w:tcW w:w="30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2,558,786</w:t>
            </w:r>
          </w:p>
        </w:tc>
        <w:tc>
          <w:tcPr>
            <w:tcW w:w="22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2,497,052</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Product development .....................</w:t>
            </w:r>
          </w:p>
        </w:tc>
        <w:tc>
          <w:tcPr>
            <w:tcW w:w="30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1,921,523</w:t>
            </w:r>
          </w:p>
        </w:tc>
        <w:tc>
          <w:tcPr>
            <w:tcW w:w="22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1,040,495</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Operating income (loss) .................</w:t>
            </w:r>
          </w:p>
        </w:tc>
        <w:tc>
          <w:tcPr>
            <w:tcW w:w="30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4,451,125</w:t>
            </w:r>
          </w:p>
        </w:tc>
        <w:tc>
          <w:tcPr>
            <w:tcW w:w="220" w:type="dxa"/>
            <w:vAlign w:val="bottom"/>
          </w:tcPr>
          <w:p>
            <w:pPr>
              <w:spacing w:after="0"/>
              <w:rPr>
                <w:sz w:val="24"/>
                <w:szCs w:val="2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3,915,549</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Other income (expense) ................</w:t>
            </w:r>
          </w:p>
        </w:tc>
        <w:tc>
          <w:tcPr>
            <w:tcW w:w="30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210,558</w:t>
            </w:r>
          </w:p>
        </w:tc>
        <w:tc>
          <w:tcPr>
            <w:tcW w:w="22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182,806</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operations before income taxes .........</w:t>
            </w:r>
          </w:p>
        </w:tc>
        <w:tc>
          <w:tcPr>
            <w:tcW w:w="30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4,661,683</w:t>
            </w:r>
          </w:p>
        </w:tc>
        <w:tc>
          <w:tcPr>
            <w:tcW w:w="22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4,098,355</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Provision for income taxes ..............</w:t>
            </w:r>
          </w:p>
        </w:tc>
        <w:tc>
          <w:tcPr>
            <w:tcW w:w="30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1,758,096</w:t>
            </w:r>
          </w:p>
        </w:tc>
        <w:tc>
          <w:tcPr>
            <w:tcW w:w="22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1,551,990</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w w:val="99"/>
              </w:rPr>
              <w:t>operations .............................</w:t>
            </w: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$ 2,903,587</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$ 2,546,365</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Basic earnings (loss) from</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continuing operations ................</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0.33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0.30</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3680" w:type="dxa"/>
            <w:vAlign w:val="bottom"/>
          </w:tcPr>
          <w:p>
            <w:pPr>
              <w:ind w:left="160"/>
              <w:spacing w:after="0"/>
              <w:rPr>
                <w:sz w:val="20"/>
                <w:szCs w:val="20"/>
                <w:color w:val="auto"/>
              </w:rPr>
            </w:pPr>
            <w:r>
              <w:rPr>
                <w:rFonts w:ascii="Courier New" w:cs="Courier New" w:eastAsia="Courier New" w:hAnsi="Courier New"/>
                <w:sz w:val="15"/>
                <w:szCs w:val="15"/>
                <w:color w:val="auto"/>
              </w:rPr>
              <w:t>Diluted earnings (loss) from</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continuing operations ................</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0.31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0.28</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Basic .................................</w:t>
            </w:r>
          </w:p>
        </w:tc>
        <w:tc>
          <w:tcPr>
            <w:tcW w:w="30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8,800,239</w:t>
            </w:r>
          </w:p>
        </w:tc>
        <w:tc>
          <w:tcPr>
            <w:tcW w:w="22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8,567,730</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Diluted ...............................</w:t>
            </w:r>
          </w:p>
        </w:tc>
        <w:tc>
          <w:tcPr>
            <w:tcW w:w="30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9,368,505</w:t>
            </w:r>
          </w:p>
        </w:tc>
        <w:tc>
          <w:tcPr>
            <w:tcW w:w="22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9,029,617</w:t>
            </w:r>
          </w:p>
        </w:tc>
        <w:tc>
          <w:tcPr>
            <w:tcW w:w="12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$41,355,746</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$17,295,639</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Property, plant and equipment, net ......</w:t>
            </w:r>
          </w:p>
        </w:tc>
        <w:tc>
          <w:tcPr>
            <w:tcW w:w="30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3,855,540</w:t>
            </w:r>
          </w:p>
        </w:tc>
        <w:tc>
          <w:tcPr>
            <w:tcW w:w="220" w:type="dxa"/>
            <w:vAlign w:val="bottom"/>
          </w:tcPr>
          <w:p>
            <w:pPr>
              <w:spacing w:after="0"/>
              <w:rPr>
                <w:sz w:val="24"/>
                <w:szCs w:val="2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3,339,184</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Total assets ............................</w:t>
            </w:r>
          </w:p>
        </w:tc>
        <w:tc>
          <w:tcPr>
            <w:tcW w:w="30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57,540,874</w:t>
            </w:r>
          </w:p>
        </w:tc>
        <w:tc>
          <w:tcPr>
            <w:tcW w:w="220" w:type="dxa"/>
            <w:vAlign w:val="bottom"/>
          </w:tcPr>
          <w:p>
            <w:pPr>
              <w:spacing w:after="0"/>
              <w:rPr>
                <w:sz w:val="24"/>
                <w:szCs w:val="2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23,654,073</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Current liabilities .....................</w:t>
            </w:r>
          </w:p>
        </w:tc>
        <w:tc>
          <w:tcPr>
            <w:tcW w:w="30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3,104,380</w:t>
            </w:r>
          </w:p>
        </w:tc>
        <w:tc>
          <w:tcPr>
            <w:tcW w:w="220" w:type="dxa"/>
            <w:vAlign w:val="bottom"/>
          </w:tcPr>
          <w:p>
            <w:pPr>
              <w:spacing w:after="0"/>
              <w:rPr>
                <w:sz w:val="24"/>
                <w:szCs w:val="2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3,335,282</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Long-term debt, net of current maturities</w:t>
            </w:r>
          </w:p>
        </w:tc>
        <w:tc>
          <w:tcPr>
            <w:tcW w:w="300" w:type="dxa"/>
            <w:vAlign w:val="bottom"/>
          </w:tcPr>
          <w:p>
            <w:pPr>
              <w:spacing w:after="0"/>
              <w:rPr>
                <w:sz w:val="24"/>
                <w:szCs w:val="2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Capital leases, net of current maturities</w:t>
            </w:r>
          </w:p>
        </w:tc>
        <w:tc>
          <w:tcPr>
            <w:tcW w:w="30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17,110</w:t>
            </w:r>
          </w:p>
        </w:tc>
        <w:tc>
          <w:tcPr>
            <w:tcW w:w="220" w:type="dxa"/>
            <w:vAlign w:val="bottom"/>
          </w:tcPr>
          <w:p>
            <w:pPr>
              <w:spacing w:after="0"/>
              <w:rPr>
                <w:sz w:val="24"/>
                <w:szCs w:val="2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96,451</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Total stockholders' equity ..............</w:t>
            </w:r>
          </w:p>
        </w:tc>
        <w:tc>
          <w:tcPr>
            <w:tcW w:w="30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51,543,736</w:t>
            </w:r>
          </w:p>
        </w:tc>
        <w:tc>
          <w:tcPr>
            <w:tcW w:w="220" w:type="dxa"/>
            <w:vAlign w:val="bottom"/>
          </w:tcPr>
          <w:p>
            <w:pPr>
              <w:spacing w:after="0"/>
              <w:rPr>
                <w:sz w:val="24"/>
                <w:szCs w:val="2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20,017,340</w:t>
            </w: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853"/>
        </w:trPr>
        <w:tc>
          <w:tcPr>
            <w:tcW w:w="3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700" w:type="dxa"/>
            <w:vAlign w:val="bottom"/>
            <w:gridSpan w:val="3"/>
          </w:tcPr>
          <w:p>
            <w:pPr>
              <w:jc w:val="right"/>
              <w:ind w:right="966"/>
              <w:spacing w:after="0"/>
              <w:rPr>
                <w:sz w:val="20"/>
                <w:szCs w:val="20"/>
                <w:color w:val="auto"/>
              </w:rPr>
            </w:pPr>
            <w:r>
              <w:rPr>
                <w:rFonts w:ascii="Courier New" w:cs="Courier New" w:eastAsia="Courier New" w:hAnsi="Courier New"/>
                <w:sz w:val="15"/>
                <w:szCs w:val="15"/>
                <w:color w:val="auto"/>
              </w:rPr>
              <w:t>Years Ended June 30,</w:t>
            </w:r>
          </w:p>
        </w:tc>
        <w:tc>
          <w:tcPr>
            <w:tcW w:w="1180" w:type="dxa"/>
            <w:vAlign w:val="bottom"/>
          </w:tcPr>
          <w:p>
            <w:pPr>
              <w:spacing w:after="0"/>
              <w:rPr>
                <w:sz w:val="24"/>
                <w:szCs w:val="24"/>
                <w:color w:val="auto"/>
              </w:rPr>
            </w:pPr>
          </w:p>
        </w:tc>
      </w:tr>
      <w:tr>
        <w:trPr>
          <w:trHeight w:val="171"/>
        </w:trPr>
        <w:tc>
          <w:tcPr>
            <w:tcW w:w="3680" w:type="dxa"/>
            <w:vAlign w:val="bottom"/>
          </w:tcPr>
          <w:p>
            <w:pPr>
              <w:spacing w:after="0"/>
              <w:rPr>
                <w:sz w:val="14"/>
                <w:szCs w:val="14"/>
                <w:color w:val="auto"/>
              </w:rPr>
            </w:pPr>
          </w:p>
        </w:tc>
        <w:tc>
          <w:tcPr>
            <w:tcW w:w="6420" w:type="dxa"/>
            <w:vAlign w:val="bottom"/>
            <w:gridSpan w:val="7"/>
          </w:tcPr>
          <w:p>
            <w:pPr>
              <w:ind w:left="220"/>
              <w:spacing w:after="0"/>
              <w:rPr>
                <w:sz w:val="20"/>
                <w:szCs w:val="20"/>
                <w:color w:val="auto"/>
              </w:rPr>
            </w:pPr>
            <w:r>
              <w:rPr>
                <w:rFonts w:ascii="Courier New" w:cs="Courier New" w:eastAsia="Courier New" w:hAnsi="Courier New"/>
                <w:sz w:val="15"/>
                <w:szCs w:val="15"/>
                <w:color w:val="auto"/>
              </w:rPr>
              <w:t>--------------------------------------------------------------------</w:t>
            </w:r>
          </w:p>
        </w:tc>
      </w:tr>
      <w:tr>
        <w:trPr>
          <w:trHeight w:val="171"/>
        </w:trPr>
        <w:tc>
          <w:tcPr>
            <w:tcW w:w="3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2001</w:t>
            </w:r>
          </w:p>
        </w:tc>
        <w:tc>
          <w:tcPr>
            <w:tcW w:w="22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2000</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1999</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1998</w:t>
            </w:r>
          </w:p>
        </w:tc>
        <w:tc>
          <w:tcPr>
            <w:tcW w:w="11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1997</w:t>
            </w:r>
          </w:p>
        </w:tc>
      </w:tr>
      <w:tr>
        <w:trPr>
          <w:trHeight w:val="171"/>
        </w:trPr>
        <w:tc>
          <w:tcPr>
            <w:tcW w:w="3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2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rPr>
              <w:t>Continuing operating results: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$39,878,405</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$28,118,413</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$20,268,102</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$15,159,842</w:t>
            </w:r>
          </w:p>
        </w:tc>
        <w:tc>
          <w:tcPr>
            <w:tcW w:w="1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$11,825,570</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Costs of goods sold .....................</w:t>
            </w:r>
          </w:p>
        </w:tc>
        <w:tc>
          <w:tcPr>
            <w:tcW w:w="30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16,503,062</w:t>
            </w:r>
          </w:p>
        </w:tc>
        <w:tc>
          <w:tcPr>
            <w:tcW w:w="22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11,008,323</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8,907,754</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7,434,240</w:t>
            </w:r>
          </w:p>
        </w:tc>
        <w:tc>
          <w:tcPr>
            <w:tcW w:w="1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6,161,013</w:t>
            </w:r>
          </w:p>
        </w:tc>
      </w:tr>
      <w:tr>
        <w:trPr>
          <w:trHeight w:val="171"/>
        </w:trPr>
        <w:tc>
          <w:tcPr>
            <w:tcW w:w="3680" w:type="dxa"/>
            <w:vAlign w:val="bottom"/>
          </w:tcPr>
          <w:p>
            <w:pPr>
              <w:spacing w:after="0"/>
              <w:rPr>
                <w:sz w:val="14"/>
                <w:szCs w:val="14"/>
                <w:color w:val="auto"/>
              </w:rPr>
            </w:pP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Gross profit ............................</w:t>
            </w:r>
          </w:p>
        </w:tc>
        <w:tc>
          <w:tcPr>
            <w:tcW w:w="30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23,375,343</w:t>
            </w:r>
          </w:p>
        </w:tc>
        <w:tc>
          <w:tcPr>
            <w:tcW w:w="220" w:type="dxa"/>
            <w:vAlign w:val="bottom"/>
          </w:tcPr>
          <w:p>
            <w:pPr>
              <w:spacing w:after="0"/>
              <w:rPr>
                <w:sz w:val="24"/>
                <w:szCs w:val="2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7"/>
              </w:rPr>
              <w:t>17,110,090</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11,360,348</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7,725,602</w:t>
            </w:r>
          </w:p>
        </w:tc>
        <w:tc>
          <w:tcPr>
            <w:tcW w:w="1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5,664,557</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Marketing and selling ...................</w:t>
            </w:r>
          </w:p>
        </w:tc>
        <w:tc>
          <w:tcPr>
            <w:tcW w:w="30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7,753,292</w:t>
            </w:r>
          </w:p>
        </w:tc>
        <w:tc>
          <w:tcPr>
            <w:tcW w:w="22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6,165,917</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4,313,639</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3,189,014</w:t>
            </w:r>
          </w:p>
        </w:tc>
        <w:tc>
          <w:tcPr>
            <w:tcW w:w="1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3,131,723</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General and administrative ..............</w:t>
            </w:r>
          </w:p>
        </w:tc>
        <w:tc>
          <w:tcPr>
            <w:tcW w:w="30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4,648,999</w:t>
            </w:r>
          </w:p>
        </w:tc>
        <w:tc>
          <w:tcPr>
            <w:tcW w:w="22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3,132,125</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2,544,665</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2,470,949</w:t>
            </w:r>
          </w:p>
        </w:tc>
        <w:tc>
          <w:tcPr>
            <w:tcW w:w="1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2,006,999</w:t>
            </w:r>
          </w:p>
        </w:tc>
      </w:tr>
      <w:tr>
        <w:trPr>
          <w:trHeight w:val="171"/>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Product development .....................</w:t>
            </w:r>
          </w:p>
        </w:tc>
        <w:tc>
          <w:tcPr>
            <w:tcW w:w="30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2,502,169</w:t>
            </w:r>
          </w:p>
        </w:tc>
        <w:tc>
          <w:tcPr>
            <w:tcW w:w="22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1,270,819</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1,194,686</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864,278</w:t>
            </w:r>
          </w:p>
        </w:tc>
        <w:tc>
          <w:tcPr>
            <w:tcW w:w="1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790,082</w:t>
            </w:r>
          </w:p>
        </w:tc>
      </w:tr>
      <w:tr>
        <w:trPr>
          <w:trHeight w:val="171"/>
        </w:trPr>
        <w:tc>
          <w:tcPr>
            <w:tcW w:w="3680" w:type="dxa"/>
            <w:vAlign w:val="bottom"/>
          </w:tcPr>
          <w:p>
            <w:pPr>
              <w:spacing w:after="0"/>
              <w:rPr>
                <w:sz w:val="14"/>
                <w:szCs w:val="14"/>
                <w:color w:val="auto"/>
              </w:rPr>
            </w:pP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680" w:type="dxa"/>
            <w:vAlign w:val="bottom"/>
          </w:tcPr>
          <w:p>
            <w:pPr>
              <w:spacing w:after="0"/>
              <w:rPr>
                <w:sz w:val="20"/>
                <w:szCs w:val="20"/>
                <w:color w:val="auto"/>
              </w:rPr>
            </w:pPr>
            <w:r>
              <w:rPr>
                <w:rFonts w:ascii="Courier New" w:cs="Courier New" w:eastAsia="Courier New" w:hAnsi="Courier New"/>
                <w:sz w:val="15"/>
                <w:szCs w:val="15"/>
                <w:color w:val="auto"/>
                <w:w w:val="99"/>
              </w:rPr>
              <w:t>Operating income (loss) .................</w:t>
            </w:r>
          </w:p>
        </w:tc>
        <w:tc>
          <w:tcPr>
            <w:tcW w:w="30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8,470,883</w:t>
            </w:r>
          </w:p>
        </w:tc>
        <w:tc>
          <w:tcPr>
            <w:tcW w:w="220" w:type="dxa"/>
            <w:vAlign w:val="bottom"/>
          </w:tcPr>
          <w:p>
            <w:pPr>
              <w:spacing w:after="0"/>
              <w:rPr>
                <w:sz w:val="24"/>
                <w:szCs w:val="2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6,541,229</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3,307,358</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1,201,361</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(264,247)</w:t>
            </w:r>
          </w:p>
        </w:tc>
      </w:tr>
      <w:tr>
        <w:trPr>
          <w:trHeight w:val="171"/>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Other income (expense) ................</w:t>
            </w:r>
          </w:p>
        </w:tc>
        <w:tc>
          <w:tcPr>
            <w:tcW w:w="30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373,147</w:t>
            </w:r>
          </w:p>
        </w:tc>
        <w:tc>
          <w:tcPr>
            <w:tcW w:w="220" w:type="dxa"/>
            <w:vAlign w:val="bottom"/>
          </w:tcPr>
          <w:p>
            <w:pPr>
              <w:spacing w:after="0"/>
              <w:rPr>
                <w:sz w:val="14"/>
                <w:szCs w:val="14"/>
                <w:color w:val="auto"/>
              </w:rPr>
            </w:pPr>
          </w:p>
        </w:tc>
        <w:tc>
          <w:tcPr>
            <w:tcW w:w="116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179,336</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(78,112)</w:t>
            </w:r>
          </w:p>
        </w:tc>
        <w:tc>
          <w:tcPr>
            <w:tcW w:w="13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(213,707)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(206,622)</w:t>
            </w:r>
          </w:p>
        </w:tc>
      </w:tr>
      <w:tr>
        <w:trPr>
          <w:trHeight w:val="171"/>
        </w:trPr>
        <w:tc>
          <w:tcPr>
            <w:tcW w:w="3680" w:type="dxa"/>
            <w:vAlign w:val="bottom"/>
          </w:tcPr>
          <w:p>
            <w:pPr>
              <w:spacing w:after="0"/>
              <w:rPr>
                <w:sz w:val="14"/>
                <w:szCs w:val="14"/>
                <w:color w:val="auto"/>
              </w:rPr>
            </w:pPr>
          </w:p>
        </w:tc>
        <w:tc>
          <w:tcPr>
            <w:tcW w:w="132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46"/>
              <w:spacing w:after="0"/>
              <w:rPr>
                <w:sz w:val="20"/>
                <w:szCs w:val="20"/>
                <w:color w:val="auto"/>
              </w:rPr>
            </w:pPr>
            <w:r>
              <w:rPr>
                <w:rFonts w:ascii="Courier New" w:cs="Courier New" w:eastAsia="Courier New" w:hAnsi="Courier New"/>
                <w:sz w:val="15"/>
                <w:szCs w:val="15"/>
                <w:color w:val="auto"/>
                <w:w w:val="96"/>
              </w:rPr>
              <w:t>-----------</w:t>
            </w:r>
          </w:p>
        </w:tc>
        <w:tc>
          <w:tcPr>
            <w:tcW w:w="134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r>
    </w:tbl>
    <w:p>
      <w:pPr>
        <w:sectPr>
          <w:pgSz w:w="11900" w:h="16870" w:orient="portrait"/>
          <w:cols w:equalWidth="0" w:num="1">
            <w:col w:w="10219"/>
          </w:cols>
          <w:pgMar w:left="240" w:top="628" w:right="1440" w:bottom="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operations before income taxes .........</w:t>
            </w:r>
          </w:p>
        </w:tc>
        <w:tc>
          <w:tcPr>
            <w:tcW w:w="22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8,844,030</w:t>
            </w:r>
          </w:p>
        </w:tc>
        <w:tc>
          <w:tcPr>
            <w:tcW w:w="22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6,720,565</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3,229,246</w:t>
            </w:r>
          </w:p>
        </w:tc>
        <w:tc>
          <w:tcPr>
            <w:tcW w:w="3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987,654</w:t>
            </w:r>
          </w:p>
        </w:tc>
        <w:tc>
          <w:tcPr>
            <w:tcW w:w="3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(470,869)</w:t>
            </w: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Provision for income taxes ..............</w:t>
            </w:r>
          </w:p>
        </w:tc>
        <w:tc>
          <w:tcPr>
            <w:tcW w:w="22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3,318,845</w:t>
            </w:r>
          </w:p>
        </w:tc>
        <w:tc>
          <w:tcPr>
            <w:tcW w:w="22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2,418,823</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1,208,900</w:t>
            </w:r>
          </w:p>
        </w:tc>
        <w:tc>
          <w:tcPr>
            <w:tcW w:w="3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26,694</w:t>
            </w:r>
          </w:p>
        </w:tc>
        <w:tc>
          <w:tcPr>
            <w:tcW w:w="3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22,091</w:t>
            </w:r>
          </w:p>
        </w:tc>
      </w:tr>
      <w:tr>
        <w:trPr>
          <w:trHeight w:val="171"/>
        </w:trPr>
        <w:tc>
          <w:tcPr>
            <w:tcW w:w="376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760" w:type="dxa"/>
            <w:vAlign w:val="bottom"/>
          </w:tcPr>
          <w:p>
            <w:pPr>
              <w:spacing w:after="0"/>
              <w:rPr>
                <w:sz w:val="20"/>
                <w:szCs w:val="20"/>
                <w:color w:val="auto"/>
              </w:rPr>
            </w:pPr>
            <w:r>
              <w:rPr>
                <w:rFonts w:ascii="Courier New" w:cs="Courier New" w:eastAsia="Courier New" w:hAnsi="Courier New"/>
                <w:sz w:val="15"/>
                <w:szCs w:val="15"/>
                <w:color w:val="auto"/>
              </w:rPr>
              <w:t>Income (loss) from continuing</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9"/>
              </w:rPr>
              <w:t>operations .............................</w:t>
            </w: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$ 5,525,185</w:t>
            </w: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$ 4,301,742</w:t>
            </w: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$ 2,020,346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960,960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(492,960)</w:t>
            </w:r>
          </w:p>
        </w:tc>
      </w:tr>
      <w:tr>
        <w:trPr>
          <w:trHeight w:val="171"/>
        </w:trPr>
        <w:tc>
          <w:tcPr>
            <w:tcW w:w="3760" w:type="dxa"/>
            <w:vAlign w:val="bottom"/>
          </w:tcPr>
          <w:p>
            <w:pPr>
              <w:spacing w:after="0"/>
              <w:rPr>
                <w:sz w:val="14"/>
                <w:szCs w:val="14"/>
                <w:color w:val="auto"/>
              </w:rPr>
            </w:pP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w:t>
            </w:r>
          </w:p>
        </w:tc>
      </w:tr>
      <w:tr>
        <w:trPr>
          <w:trHeight w:val="341"/>
        </w:trPr>
        <w:tc>
          <w:tcPr>
            <w:tcW w:w="3760" w:type="dxa"/>
            <w:vAlign w:val="bottom"/>
          </w:tcPr>
          <w:p>
            <w:pPr>
              <w:spacing w:after="0"/>
              <w:rPr>
                <w:sz w:val="20"/>
                <w:szCs w:val="20"/>
                <w:color w:val="auto"/>
              </w:rPr>
            </w:pPr>
            <w:r>
              <w:rPr>
                <w:rFonts w:ascii="Courier New" w:cs="Courier New" w:eastAsia="Courier New" w:hAnsi="Courier New"/>
                <w:sz w:val="15"/>
                <w:szCs w:val="15"/>
                <w:color w:val="auto"/>
              </w:rPr>
              <w:t>Earnings per common share:</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Basic earnings (loss) from</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continuing operations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0.64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0.52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0.25</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1"/>
        </w:trPr>
        <w:tc>
          <w:tcPr>
            <w:tcW w:w="3760" w:type="dxa"/>
            <w:vAlign w:val="bottom"/>
          </w:tcPr>
          <w:p>
            <w:pPr>
              <w:ind w:left="160"/>
              <w:spacing w:after="0"/>
              <w:rPr>
                <w:sz w:val="20"/>
                <w:szCs w:val="20"/>
                <w:color w:val="auto"/>
              </w:rPr>
            </w:pPr>
            <w:r>
              <w:rPr>
                <w:rFonts w:ascii="Courier New" w:cs="Courier New" w:eastAsia="Courier New" w:hAnsi="Courier New"/>
                <w:sz w:val="15"/>
                <w:szCs w:val="15"/>
                <w:color w:val="auto"/>
              </w:rPr>
              <w:t>Diluted earnings (loss) from</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continuing operations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0.61</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0.49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0.24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1"/>
        </w:trPr>
        <w:tc>
          <w:tcPr>
            <w:tcW w:w="37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Basic .................................</w:t>
            </w:r>
          </w:p>
        </w:tc>
        <w:tc>
          <w:tcPr>
            <w:tcW w:w="22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8,593,510</w:t>
            </w:r>
          </w:p>
        </w:tc>
        <w:tc>
          <w:tcPr>
            <w:tcW w:w="22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8,269,941</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8,080,536</w:t>
            </w:r>
          </w:p>
        </w:tc>
        <w:tc>
          <w:tcPr>
            <w:tcW w:w="3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7,679,985</w:t>
            </w:r>
          </w:p>
        </w:tc>
        <w:tc>
          <w:tcPr>
            <w:tcW w:w="3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7,662,494</w:t>
            </w:r>
          </w:p>
        </w:tc>
      </w:tr>
      <w:tr>
        <w:trPr>
          <w:trHeight w:val="17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Diluted ...............................</w:t>
            </w:r>
          </w:p>
        </w:tc>
        <w:tc>
          <w:tcPr>
            <w:tcW w:w="22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9,015,644</w:t>
            </w:r>
          </w:p>
        </w:tc>
        <w:tc>
          <w:tcPr>
            <w:tcW w:w="220" w:type="dxa"/>
            <w:vAlign w:val="bottom"/>
          </w:tcPr>
          <w:p>
            <w:pPr>
              <w:spacing w:after="0"/>
              <w:rPr>
                <w:sz w:val="14"/>
                <w:szCs w:val="1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8,740,209</w:t>
            </w:r>
          </w:p>
        </w:tc>
        <w:tc>
          <w:tcPr>
            <w:tcW w:w="220" w:type="dxa"/>
            <w:vAlign w:val="bottom"/>
          </w:tcPr>
          <w:p>
            <w:pPr>
              <w:spacing w:after="0"/>
              <w:rPr>
                <w:sz w:val="14"/>
                <w:szCs w:val="1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8,468,884</w:t>
            </w:r>
          </w:p>
        </w:tc>
        <w:tc>
          <w:tcPr>
            <w:tcW w:w="300" w:type="dxa"/>
            <w:vAlign w:val="bottom"/>
          </w:tcPr>
          <w:p>
            <w:pPr>
              <w:spacing w:after="0"/>
              <w:rPr>
                <w:sz w:val="14"/>
                <w:szCs w:val="1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7,960,252</w:t>
            </w:r>
          </w:p>
        </w:tc>
        <w:tc>
          <w:tcPr>
            <w:tcW w:w="320" w:type="dxa"/>
            <w:vAlign w:val="bottom"/>
          </w:tcPr>
          <w:p>
            <w:pPr>
              <w:spacing w:after="0"/>
              <w:rPr>
                <w:sz w:val="14"/>
                <w:szCs w:val="1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7,662,494</w:t>
            </w:r>
          </w:p>
        </w:tc>
      </w:tr>
      <w:tr>
        <w:trPr>
          <w:trHeight w:val="341"/>
        </w:trPr>
        <w:tc>
          <w:tcPr>
            <w:tcW w:w="376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41"/>
        </w:trPr>
        <w:tc>
          <w:tcPr>
            <w:tcW w:w="376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$19,295,720</w:t>
            </w:r>
          </w:p>
        </w:tc>
        <w:tc>
          <w:tcPr>
            <w:tcW w:w="1240" w:type="dxa"/>
            <w:vAlign w:val="bottom"/>
            <w:gridSpan w:val="2"/>
          </w:tcPr>
          <w:p>
            <w:pPr>
              <w:jc w:val="right"/>
              <w:ind w:right="46"/>
              <w:spacing w:after="0"/>
              <w:rPr>
                <w:sz w:val="20"/>
                <w:szCs w:val="20"/>
                <w:color w:val="auto"/>
              </w:rPr>
            </w:pPr>
            <w:r>
              <w:rPr>
                <w:rFonts w:ascii="Courier New" w:cs="Courier New" w:eastAsia="Courier New" w:hAnsi="Courier New"/>
                <w:sz w:val="15"/>
                <w:szCs w:val="15"/>
                <w:color w:val="auto"/>
              </w:rPr>
              <w:t>$14,816,321</w:t>
            </w:r>
          </w:p>
        </w:tc>
        <w:tc>
          <w:tcPr>
            <w:tcW w:w="130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$ 9,281,753</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$ 5,828,365</w:t>
            </w:r>
          </w:p>
        </w:tc>
        <w:tc>
          <w:tcPr>
            <w:tcW w:w="124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$ 4,551,184</w:t>
            </w:r>
          </w:p>
        </w:tc>
      </w:tr>
      <w:tr>
        <w:trPr>
          <w:trHeight w:val="34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Property, plant and equipment, net ......</w:t>
            </w:r>
          </w:p>
        </w:tc>
        <w:tc>
          <w:tcPr>
            <w:tcW w:w="22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3,696,615</w:t>
            </w:r>
          </w:p>
        </w:tc>
        <w:tc>
          <w:tcPr>
            <w:tcW w:w="22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3,050,349</w:t>
            </w:r>
          </w:p>
        </w:tc>
        <w:tc>
          <w:tcPr>
            <w:tcW w:w="220" w:type="dxa"/>
            <w:vAlign w:val="bottom"/>
          </w:tcPr>
          <w:p>
            <w:pPr>
              <w:spacing w:after="0"/>
              <w:rPr>
                <w:sz w:val="24"/>
                <w:szCs w:val="2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2,125,959</w:t>
            </w:r>
          </w:p>
        </w:tc>
        <w:tc>
          <w:tcPr>
            <w:tcW w:w="300" w:type="dxa"/>
            <w:vAlign w:val="bottom"/>
          </w:tcPr>
          <w:p>
            <w:pPr>
              <w:spacing w:after="0"/>
              <w:rPr>
                <w:sz w:val="24"/>
                <w:szCs w:val="2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2,320,336</w:t>
            </w:r>
          </w:p>
        </w:tc>
        <w:tc>
          <w:tcPr>
            <w:tcW w:w="320" w:type="dxa"/>
            <w:vAlign w:val="bottom"/>
          </w:tcPr>
          <w:p>
            <w:pPr>
              <w:spacing w:after="0"/>
              <w:rPr>
                <w:sz w:val="24"/>
                <w:szCs w:val="2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2,493,287</w:t>
            </w:r>
          </w:p>
        </w:tc>
      </w:tr>
      <w:tr>
        <w:trPr>
          <w:trHeight w:val="34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Total assets ............................</w:t>
            </w:r>
          </w:p>
        </w:tc>
        <w:tc>
          <w:tcPr>
            <w:tcW w:w="22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27,597,623</w:t>
            </w:r>
          </w:p>
        </w:tc>
        <w:tc>
          <w:tcPr>
            <w:tcW w:w="22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17,920,531</w:t>
            </w:r>
          </w:p>
        </w:tc>
        <w:tc>
          <w:tcPr>
            <w:tcW w:w="220" w:type="dxa"/>
            <w:vAlign w:val="bottom"/>
          </w:tcPr>
          <w:p>
            <w:pPr>
              <w:spacing w:after="0"/>
              <w:rPr>
                <w:sz w:val="24"/>
                <w:szCs w:val="2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w w:val="97"/>
              </w:rPr>
              <w:t>11,519,414</w:t>
            </w:r>
          </w:p>
        </w:tc>
        <w:tc>
          <w:tcPr>
            <w:tcW w:w="300" w:type="dxa"/>
            <w:vAlign w:val="bottom"/>
          </w:tcPr>
          <w:p>
            <w:pPr>
              <w:spacing w:after="0"/>
              <w:rPr>
                <w:sz w:val="24"/>
                <w:szCs w:val="2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8,311,740</w:t>
            </w:r>
          </w:p>
        </w:tc>
        <w:tc>
          <w:tcPr>
            <w:tcW w:w="320" w:type="dxa"/>
            <w:vAlign w:val="bottom"/>
          </w:tcPr>
          <w:p>
            <w:pPr>
              <w:spacing w:after="0"/>
              <w:rPr>
                <w:sz w:val="24"/>
                <w:szCs w:val="2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7,335,854</w:t>
            </w:r>
          </w:p>
        </w:tc>
      </w:tr>
      <w:tr>
        <w:trPr>
          <w:trHeight w:val="34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Current liabilities .....................</w:t>
            </w:r>
          </w:p>
        </w:tc>
        <w:tc>
          <w:tcPr>
            <w:tcW w:w="22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2,301,886</w:t>
            </w:r>
          </w:p>
        </w:tc>
        <w:tc>
          <w:tcPr>
            <w:tcW w:w="22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2,756,780</w:t>
            </w:r>
          </w:p>
        </w:tc>
        <w:tc>
          <w:tcPr>
            <w:tcW w:w="220" w:type="dxa"/>
            <w:vAlign w:val="bottom"/>
          </w:tcPr>
          <w:p>
            <w:pPr>
              <w:spacing w:after="0"/>
              <w:rPr>
                <w:sz w:val="24"/>
                <w:szCs w:val="2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2,494,666</w:t>
            </w:r>
          </w:p>
        </w:tc>
        <w:tc>
          <w:tcPr>
            <w:tcW w:w="300" w:type="dxa"/>
            <w:vAlign w:val="bottom"/>
          </w:tcPr>
          <w:p>
            <w:pPr>
              <w:spacing w:after="0"/>
              <w:rPr>
                <w:sz w:val="24"/>
                <w:szCs w:val="2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1,919,422</w:t>
            </w:r>
          </w:p>
        </w:tc>
        <w:tc>
          <w:tcPr>
            <w:tcW w:w="320" w:type="dxa"/>
            <w:vAlign w:val="bottom"/>
          </w:tcPr>
          <w:p>
            <w:pPr>
              <w:spacing w:after="0"/>
              <w:rPr>
                <w:sz w:val="24"/>
                <w:szCs w:val="2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2,062,630</w:t>
            </w:r>
          </w:p>
        </w:tc>
      </w:tr>
      <w:tr>
        <w:trPr>
          <w:trHeight w:val="34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Long-term debt, net of current maturities</w:t>
            </w:r>
          </w:p>
        </w:tc>
        <w:tc>
          <w:tcPr>
            <w:tcW w:w="220" w:type="dxa"/>
            <w:vAlign w:val="bottom"/>
          </w:tcPr>
          <w:p>
            <w:pPr>
              <w:spacing w:after="0"/>
              <w:rPr>
                <w:sz w:val="24"/>
                <w:szCs w:val="2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02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0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402,584</w:t>
            </w:r>
          </w:p>
        </w:tc>
        <w:tc>
          <w:tcPr>
            <w:tcW w:w="320" w:type="dxa"/>
            <w:vAlign w:val="bottom"/>
          </w:tcPr>
          <w:p>
            <w:pPr>
              <w:spacing w:after="0"/>
              <w:rPr>
                <w:sz w:val="24"/>
                <w:szCs w:val="2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687,274</w:t>
            </w:r>
          </w:p>
        </w:tc>
      </w:tr>
      <w:tr>
        <w:trPr>
          <w:trHeight w:val="34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Capital leases, net of current maturities</w:t>
            </w:r>
          </w:p>
        </w:tc>
        <w:tc>
          <w:tcPr>
            <w:tcW w:w="22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48,227</w:t>
            </w:r>
          </w:p>
        </w:tc>
        <w:tc>
          <w:tcPr>
            <w:tcW w:w="22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205,530</w:t>
            </w:r>
          </w:p>
        </w:tc>
        <w:tc>
          <w:tcPr>
            <w:tcW w:w="220" w:type="dxa"/>
            <w:vAlign w:val="bottom"/>
          </w:tcPr>
          <w:p>
            <w:pPr>
              <w:spacing w:after="0"/>
              <w:rPr>
                <w:sz w:val="24"/>
                <w:szCs w:val="2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455,389</w:t>
            </w:r>
          </w:p>
        </w:tc>
        <w:tc>
          <w:tcPr>
            <w:tcW w:w="300" w:type="dxa"/>
            <w:vAlign w:val="bottom"/>
          </w:tcPr>
          <w:p>
            <w:pPr>
              <w:spacing w:after="0"/>
              <w:rPr>
                <w:sz w:val="24"/>
                <w:szCs w:val="2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752,728</w:t>
            </w:r>
          </w:p>
        </w:tc>
        <w:tc>
          <w:tcPr>
            <w:tcW w:w="320" w:type="dxa"/>
            <w:vAlign w:val="bottom"/>
          </w:tcPr>
          <w:p>
            <w:pPr>
              <w:spacing w:after="0"/>
              <w:rPr>
                <w:sz w:val="24"/>
                <w:szCs w:val="2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784,354</w:t>
            </w:r>
          </w:p>
        </w:tc>
      </w:tr>
      <w:tr>
        <w:trPr>
          <w:trHeight w:val="341"/>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w w:val="97"/>
              </w:rPr>
              <w:t>Total stockholders' equity ..............</w:t>
            </w:r>
          </w:p>
        </w:tc>
        <w:tc>
          <w:tcPr>
            <w:tcW w:w="22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24,501,510</w:t>
            </w:r>
          </w:p>
        </w:tc>
        <w:tc>
          <w:tcPr>
            <w:tcW w:w="220" w:type="dxa"/>
            <w:vAlign w:val="bottom"/>
          </w:tcPr>
          <w:p>
            <w:pPr>
              <w:spacing w:after="0"/>
              <w:rPr>
                <w:sz w:val="24"/>
                <w:szCs w:val="24"/>
                <w:color w:val="auto"/>
              </w:rPr>
            </w:pPr>
          </w:p>
        </w:tc>
        <w:tc>
          <w:tcPr>
            <w:tcW w:w="102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14,753,221</w:t>
            </w:r>
          </w:p>
        </w:tc>
        <w:tc>
          <w:tcPr>
            <w:tcW w:w="220" w:type="dxa"/>
            <w:vAlign w:val="bottom"/>
          </w:tcPr>
          <w:p>
            <w:pPr>
              <w:spacing w:after="0"/>
              <w:rPr>
                <w:sz w:val="24"/>
                <w:szCs w:val="24"/>
                <w:color w:val="auto"/>
              </w:rPr>
            </w:pPr>
          </w:p>
        </w:tc>
        <w:tc>
          <w:tcPr>
            <w:tcW w:w="10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8,352,359</w:t>
            </w:r>
          </w:p>
        </w:tc>
        <w:tc>
          <w:tcPr>
            <w:tcW w:w="300" w:type="dxa"/>
            <w:vAlign w:val="bottom"/>
          </w:tcPr>
          <w:p>
            <w:pPr>
              <w:spacing w:after="0"/>
              <w:rPr>
                <w:sz w:val="24"/>
                <w:szCs w:val="24"/>
                <w:color w:val="auto"/>
              </w:rPr>
            </w:pPr>
          </w:p>
        </w:tc>
        <w:tc>
          <w:tcPr>
            <w:tcW w:w="10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5,237,006</w:t>
            </w:r>
          </w:p>
        </w:tc>
        <w:tc>
          <w:tcPr>
            <w:tcW w:w="320" w:type="dxa"/>
            <w:vAlign w:val="bottom"/>
          </w:tcPr>
          <w:p>
            <w:pPr>
              <w:spacing w:after="0"/>
              <w:rPr>
                <w:sz w:val="24"/>
                <w:szCs w:val="24"/>
                <w:color w:val="auto"/>
              </w:rPr>
            </w:pPr>
          </w:p>
        </w:tc>
        <w:tc>
          <w:tcPr>
            <w:tcW w:w="920" w:type="dxa"/>
            <w:vAlign w:val="bottom"/>
          </w:tcPr>
          <w:p>
            <w:pPr>
              <w:jc w:val="right"/>
              <w:ind w:right="6"/>
              <w:spacing w:after="0"/>
              <w:rPr>
                <w:sz w:val="20"/>
                <w:szCs w:val="20"/>
                <w:color w:val="auto"/>
              </w:rPr>
            </w:pPr>
            <w:r>
              <w:rPr>
                <w:rFonts w:ascii="Courier New" w:cs="Courier New" w:eastAsia="Courier New" w:hAnsi="Courier New"/>
                <w:sz w:val="15"/>
                <w:szCs w:val="15"/>
                <w:color w:val="auto"/>
              </w:rPr>
              <w:t>3,801,596</w:t>
            </w:r>
          </w:p>
        </w:tc>
      </w:tr>
      <w:tr>
        <w:trPr>
          <w:trHeight w:val="683"/>
        </w:trPr>
        <w:tc>
          <w:tcPr>
            <w:tcW w:w="37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19"/>
          </w:cols>
          <w:pgMar w:left="240" w:top="309" w:right="1440" w:bottom="1440" w:gutter="0" w:footer="0" w:header="0"/>
        </w:sectPr>
      </w:pPr>
    </w:p>
    <w:bookmarkStart w:id="19" w:name="page20"/>
    <w:bookmarkEnd w:id="19"/>
    <w:p>
      <w:pPr>
        <w:ind w:left="880"/>
        <w:spacing w:after="0"/>
        <w:rPr>
          <w:sz w:val="20"/>
          <w:szCs w:val="20"/>
          <w:color w:val="auto"/>
        </w:rPr>
      </w:pPr>
      <w:r>
        <w:rPr>
          <w:rFonts w:ascii="Courier New" w:cs="Courier New" w:eastAsia="Courier New" w:hAnsi="Courier New"/>
          <w:sz w:val="15"/>
          <w:szCs w:val="15"/>
          <w:color w:val="auto"/>
        </w:rPr>
        <w:t>UNAUDITED PRO FORMA CONDENSED COMBINED FINANCIAL INFORMATION</w:t>
      </w:r>
    </w:p>
    <w:p>
      <w:pPr>
        <w:spacing w:after="0" w:line="174"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The following unaudited pro forma condensed combined financial information gives effect to the acquisitions of Ivron Systems, Ltd. and E.mergent by ClearOne. Effective October 3, 2001, ClearOne, through a wholly owned subsidiary, acquired the shares of Ivron Systems for a combination of cash and stock. The share purchase agreement dated October 3, 2001 was amended April 8, 2002. On January 21, 2002, ClearOne entered into a definitive agreement to acquire the stock of E.mergent for a combination of cash and stock. Both of these acquisitions either have been or will be accounted for under the purchase method of accounting. The unaudited pro forma condensed combined statements of operations for the year ended June 30, 2001 and the six months ended December 31, 2001 have been prepared as if each transaction occurred on July 1, 2000, whereas the pro forma condensed combined balance sheet as of December 31, 2001 has been prepared as if each transaction occurred on December 31, 2001. Please see the notes to these pro forma combined condensed statements regarding certain assumptions utilized in the preparation of the statements.</w:t>
      </w:r>
    </w:p>
    <w:p>
      <w:pPr>
        <w:spacing w:after="0" w:line="33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ClearOne's fiscal year ends on June 30 while the fiscal years of Ivron Systems and E.mergent historically ended on December 31. Accordingly, ClearOne has combined its historical results from continuing operations for the year ended June 30, 2001 with the unaudited financial results of Ivron Systems and E.mergent for the fiscal year ended June 30, 2001, comprising the last six months of operations of Ivron Systems and E.mergent for the year ended December 31, 2000 and the first six months of operations of Ivron Systems and E.mergent for the year ended December 31, 2001. The unaudited pro forma condensed combined statement of operations presented for the six months ended December 31, 2001 includes the historical unaudited financial results from continuing operations of ClearOne and E.mergent for the six months ended December 31, 2001. The historical unaudited financial results from continuing operations of Ivron Systems are included from July 1, 2001 to October 2, 2001, with the results from October 3, 2001 to December 31, 2001 already consolidated in ClearOne's operating results.</w:t>
      </w:r>
    </w:p>
    <w:p>
      <w:pPr>
        <w:spacing w:after="0" w:line="182"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Unaudited pro forma condensed combined financial information is presented for illustrative purposes only and is not necessarily indicative of the financial position or results of operations that would have actually been reported had the transactions occurred on the proforma dates indicated above, nor is it necessarily indicative of future financial position or results of operations. These unaudited pro forma condensed combined financial statements are based on the respective historical financial statements of ClearOne, Ivron Systems and E.mergent and do not incorporate, nor do they assume, any benefits from cost savings or synergies of operations of the combined company. The unaudited pro forma condensed combined financial information should be read together with ClearOne's historical financial statements and those of Ivron Systems and E.mergent, including the related notes and "Management's Discussion and Analysis of Financial Condition and Results of Operations," all of which are incorporated by reference.</w:t>
      </w:r>
    </w:p>
    <w:p>
      <w:pPr>
        <w:spacing w:after="0" w:line="181"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Pro forma results of operations include adjustments, which are based upon management's preliminary estimates, to reflect the allocation of the purchase consideration to the acquired assets and liabilities of E.mergent. The final allocation of the purchase consideration will be determined after completion of the merger and will be based on appraisals and a comprehensive final evaluation of the fair value of E.mergent's tangible assets, liabilities and identifiable intangible assets after completion of the merger. Accordingly, while ClearOne does not anticipate that the final valuation and related intangible asset allocation will differ significantly from the preliminary valuation, the final determination of tangible and intangible assets may result in depreciation and amortization expense that is higher than the preliminary estimates of these amounts.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628" w:right="1440" w:bottom="1440" w:gutter="0" w:footer="0" w:header="0"/>
        </w:sectPr>
      </w:pPr>
    </w:p>
    <w:bookmarkStart w:id="20" w:name="page21"/>
    <w:bookmarkEnd w:id="20"/>
    <w:p>
      <w:pPr>
        <w:jc w:val="center"/>
        <w:ind w:right="4340"/>
        <w:spacing w:after="0"/>
        <w:rPr>
          <w:sz w:val="20"/>
          <w:szCs w:val="20"/>
          <w:color w:val="auto"/>
        </w:rPr>
      </w:pPr>
      <w:r>
        <w:rPr>
          <w:rFonts w:ascii="Courier New" w:cs="Courier New" w:eastAsia="Courier New" w:hAnsi="Courier New"/>
          <w:sz w:val="15"/>
          <w:szCs w:val="15"/>
          <w:color w:val="auto"/>
        </w:rPr>
        <w:t>Unaudited Pro Forma Financial Information</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Pro Forma Condensed Combined Balance Sheets</w:t>
      </w:r>
    </w:p>
    <w:p>
      <w:pPr>
        <w:spacing w:after="0" w:line="1"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As of December 31, 2001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20" w:type="dxa"/>
            <w:vAlign w:val="bottom"/>
          </w:tcPr>
          <w:p>
            <w:pPr>
              <w:ind w:left="3100"/>
              <w:spacing w:after="0"/>
              <w:rPr>
                <w:sz w:val="20"/>
                <w:szCs w:val="20"/>
                <w:color w:val="auto"/>
              </w:rPr>
            </w:pPr>
            <w:r>
              <w:rPr>
                <w:rFonts w:ascii="Courier New" w:cs="Courier New" w:eastAsia="Courier New" w:hAnsi="Courier New"/>
                <w:sz w:val="15"/>
                <w:szCs w:val="15"/>
                <w:color w:val="auto"/>
                <w:w w:val="99"/>
              </w:rPr>
              <w:t>(in 000's)</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512"/>
        </w:trPr>
        <w:tc>
          <w:tcPr>
            <w:tcW w:w="40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Pro Forma</w:t>
            </w:r>
          </w:p>
        </w:tc>
        <w:tc>
          <w:tcPr>
            <w:tcW w:w="300" w:type="dxa"/>
            <w:vAlign w:val="bottom"/>
          </w:tcPr>
          <w:p>
            <w:pPr>
              <w:spacing w:after="0"/>
              <w:rPr>
                <w:sz w:val="24"/>
                <w:szCs w:val="24"/>
                <w:color w:val="auto"/>
              </w:rPr>
            </w:pP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4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gridSpan w:val="2"/>
          </w:tcPr>
          <w:p>
            <w:pPr>
              <w:jc w:val="center"/>
              <w:ind w:right="166"/>
              <w:spacing w:after="0"/>
              <w:rPr>
                <w:sz w:val="20"/>
                <w:szCs w:val="20"/>
                <w:color w:val="auto"/>
              </w:rPr>
            </w:pPr>
            <w:r>
              <w:rPr>
                <w:rFonts w:ascii="Courier New" w:cs="Courier New" w:eastAsia="Courier New" w:hAnsi="Courier New"/>
                <w:sz w:val="15"/>
                <w:szCs w:val="15"/>
                <w:color w:val="auto"/>
                <w:w w:val="98"/>
              </w:rPr>
              <w:t>Pro Forma</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6"/>
              </w:rPr>
              <w:t>Adjustments</w:t>
            </w:r>
          </w:p>
        </w:tc>
        <w:tc>
          <w:tcPr>
            <w:tcW w:w="300" w:type="dxa"/>
            <w:vAlign w:val="bottom"/>
          </w:tcPr>
          <w:p>
            <w:pPr>
              <w:spacing w:after="0"/>
              <w:rPr>
                <w:sz w:val="14"/>
                <w:szCs w:val="14"/>
                <w:color w:val="auto"/>
              </w:rPr>
            </w:pP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Combined for</w:t>
            </w:r>
          </w:p>
        </w:tc>
      </w:tr>
      <w:tr>
        <w:trPr>
          <w:trHeight w:val="171"/>
        </w:trPr>
        <w:tc>
          <w:tcPr>
            <w:tcW w:w="4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8"/>
              </w:rPr>
              <w:t>Adjustments</w:t>
            </w: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center"/>
              <w:ind w:right="386"/>
              <w:spacing w:after="0"/>
              <w:rPr>
                <w:sz w:val="20"/>
                <w:szCs w:val="20"/>
                <w:color w:val="auto"/>
              </w:rPr>
            </w:pPr>
            <w:r>
              <w:rPr>
                <w:rFonts w:ascii="Courier New" w:cs="Courier New" w:eastAsia="Courier New" w:hAnsi="Courier New"/>
                <w:sz w:val="15"/>
                <w:szCs w:val="15"/>
                <w:color w:val="auto"/>
              </w:rPr>
              <w:t>for</w:t>
            </w:r>
          </w:p>
        </w:tc>
        <w:tc>
          <w:tcPr>
            <w:tcW w:w="300" w:type="dxa"/>
            <w:vAlign w:val="bottom"/>
          </w:tcPr>
          <w:p>
            <w:pPr>
              <w:spacing w:after="0"/>
              <w:rPr>
                <w:sz w:val="14"/>
                <w:szCs w:val="14"/>
                <w:color w:val="auto"/>
              </w:rPr>
            </w:pP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Ivron Systems</w:t>
            </w:r>
          </w:p>
        </w:tc>
      </w:tr>
      <w:tr>
        <w:trPr>
          <w:trHeight w:val="171"/>
        </w:trPr>
        <w:tc>
          <w:tcPr>
            <w:tcW w:w="4020" w:type="dxa"/>
            <w:vAlign w:val="bottom"/>
          </w:tcPr>
          <w:p>
            <w:pPr>
              <w:spacing w:after="0"/>
              <w:rPr>
                <w:sz w:val="14"/>
                <w:szCs w:val="14"/>
                <w:color w:val="auto"/>
              </w:rPr>
            </w:pP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ClearOne</w:t>
            </w:r>
          </w:p>
        </w:tc>
        <w:tc>
          <w:tcPr>
            <w:tcW w:w="1200" w:type="dxa"/>
            <w:vAlign w:val="bottom"/>
            <w:gridSpan w:val="2"/>
          </w:tcPr>
          <w:p>
            <w:pPr>
              <w:jc w:val="center"/>
              <w:ind w:right="166"/>
              <w:spacing w:after="0"/>
              <w:rPr>
                <w:sz w:val="20"/>
                <w:szCs w:val="20"/>
                <w:color w:val="auto"/>
              </w:rPr>
            </w:pPr>
            <w:r>
              <w:rPr>
                <w:rFonts w:ascii="Courier New" w:cs="Courier New" w:eastAsia="Courier New" w:hAnsi="Courier New"/>
                <w:sz w:val="15"/>
                <w:szCs w:val="15"/>
                <w:color w:val="auto"/>
                <w:w w:val="98"/>
              </w:rPr>
              <w:t>for Ivron</w:t>
            </w:r>
          </w:p>
        </w:tc>
        <w:tc>
          <w:tcPr>
            <w:tcW w:w="16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E.mergent</w:t>
            </w:r>
          </w:p>
        </w:tc>
        <w:tc>
          <w:tcPr>
            <w:tcW w:w="13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E.mergent</w:t>
            </w:r>
          </w:p>
        </w:tc>
        <w:tc>
          <w:tcPr>
            <w:tcW w:w="300" w:type="dxa"/>
            <w:vAlign w:val="bottom"/>
          </w:tcPr>
          <w:p>
            <w:pPr>
              <w:spacing w:after="0"/>
              <w:rPr>
                <w:sz w:val="14"/>
                <w:szCs w:val="14"/>
                <w:color w:val="auto"/>
              </w:rPr>
            </w:pP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and E.mergent</w:t>
            </w:r>
          </w:p>
        </w:tc>
      </w:tr>
      <w:tr>
        <w:trPr>
          <w:trHeight w:val="171"/>
        </w:trPr>
        <w:tc>
          <w:tcPr>
            <w:tcW w:w="4020" w:type="dxa"/>
            <w:vAlign w:val="bottom"/>
          </w:tcPr>
          <w:p>
            <w:pPr>
              <w:spacing w:after="0"/>
              <w:rPr>
                <w:sz w:val="14"/>
                <w:szCs w:val="14"/>
                <w:color w:val="auto"/>
              </w:rPr>
            </w:pPr>
          </w:p>
        </w:tc>
        <w:tc>
          <w:tcPr>
            <w:tcW w:w="1300" w:type="dxa"/>
            <w:vAlign w:val="bottom"/>
          </w:tcPr>
          <w:p>
            <w:pPr>
              <w:jc w:val="right"/>
              <w:ind w:right="108"/>
              <w:spacing w:after="0"/>
              <w:rPr>
                <w:sz w:val="20"/>
                <w:szCs w:val="20"/>
                <w:color w:val="auto"/>
              </w:rPr>
            </w:pPr>
            <w:r>
              <w:rPr>
                <w:rFonts w:ascii="Courier New" w:cs="Courier New" w:eastAsia="Courier New" w:hAnsi="Courier New"/>
                <w:sz w:val="15"/>
                <w:szCs w:val="15"/>
                <w:color w:val="auto"/>
              </w:rPr>
              <w:t>(Historical)</w:t>
            </w:r>
          </w:p>
        </w:tc>
        <w:tc>
          <w:tcPr>
            <w:tcW w:w="1200" w:type="dxa"/>
            <w:vAlign w:val="bottom"/>
            <w:gridSpan w:val="2"/>
          </w:tcPr>
          <w:p>
            <w:pPr>
              <w:jc w:val="center"/>
              <w:ind w:right="146"/>
              <w:spacing w:after="0"/>
              <w:rPr>
                <w:sz w:val="20"/>
                <w:szCs w:val="20"/>
                <w:color w:val="auto"/>
              </w:rPr>
            </w:pPr>
            <w:r>
              <w:rPr>
                <w:rFonts w:ascii="Courier New" w:cs="Courier New" w:eastAsia="Courier New" w:hAnsi="Courier New"/>
                <w:sz w:val="15"/>
                <w:szCs w:val="15"/>
                <w:color w:val="auto"/>
                <w:w w:val="98"/>
              </w:rPr>
              <w:t>Acquisition</w:t>
            </w:r>
          </w:p>
        </w:tc>
        <w:tc>
          <w:tcPr>
            <w:tcW w:w="1680" w:type="dxa"/>
            <w:vAlign w:val="bottom"/>
            <w:gridSpan w:val="2"/>
          </w:tcPr>
          <w:p>
            <w:pPr>
              <w:ind w:left="480"/>
              <w:spacing w:after="0"/>
              <w:rPr>
                <w:sz w:val="20"/>
                <w:szCs w:val="20"/>
                <w:color w:val="auto"/>
              </w:rPr>
            </w:pPr>
            <w:r>
              <w:rPr>
                <w:rFonts w:ascii="Courier New" w:cs="Courier New" w:eastAsia="Courier New" w:hAnsi="Courier New"/>
                <w:sz w:val="15"/>
                <w:szCs w:val="15"/>
                <w:color w:val="auto"/>
              </w:rPr>
              <w:t>(Historical)</w:t>
            </w:r>
          </w:p>
        </w:tc>
        <w:tc>
          <w:tcPr>
            <w:tcW w:w="134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6"/>
              </w:rPr>
              <w:t>Acquisition</w:t>
            </w:r>
          </w:p>
        </w:tc>
        <w:tc>
          <w:tcPr>
            <w:tcW w:w="300" w:type="dxa"/>
            <w:vAlign w:val="bottom"/>
          </w:tcPr>
          <w:p>
            <w:pPr>
              <w:spacing w:after="0"/>
              <w:rPr>
                <w:sz w:val="14"/>
                <w:szCs w:val="14"/>
                <w:color w:val="auto"/>
              </w:rPr>
            </w:pP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Acquisitions</w:t>
            </w:r>
          </w:p>
        </w:tc>
      </w:tr>
      <w:tr>
        <w:trPr>
          <w:trHeight w:val="171"/>
        </w:trPr>
        <w:tc>
          <w:tcPr>
            <w:tcW w:w="4020" w:type="dxa"/>
            <w:vAlign w:val="bottom"/>
          </w:tcPr>
          <w:p>
            <w:pPr>
              <w:spacing w:after="0"/>
              <w:rPr>
                <w:sz w:val="14"/>
                <w:szCs w:val="14"/>
                <w:color w:val="auto"/>
              </w:rPr>
            </w:pPr>
          </w:p>
        </w:tc>
        <w:tc>
          <w:tcPr>
            <w:tcW w:w="7500" w:type="dxa"/>
            <w:vAlign w:val="bottom"/>
            <w:gridSpan w:val="9"/>
          </w:tcPr>
          <w:p>
            <w:pPr>
              <w:ind w:left="60"/>
              <w:spacing w:after="0"/>
              <w:rPr>
                <w:sz w:val="20"/>
                <w:szCs w:val="20"/>
                <w:color w:val="auto"/>
              </w:rPr>
            </w:pPr>
            <w:r>
              <w:rPr>
                <w:rFonts w:ascii="Courier New" w:cs="Courier New" w:eastAsia="Courier New" w:hAnsi="Courier New"/>
                <w:sz w:val="15"/>
                <w:szCs w:val="15"/>
                <w:color w:val="auto"/>
              </w:rPr>
              <w:t>---------------------------------------------------------------------------------</w:t>
            </w: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Cash and cash equivalents</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$ 26,801</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807</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(9,040)</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E</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$ 18,568</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Accounts receivable, net</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8,349</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3,300</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11,649</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Note receivable - current portion</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258</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258</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4,895</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3,736</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8,631</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Deferred taxes</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247</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425</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672</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Other current assets</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806</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136</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942</w:t>
            </w:r>
          </w:p>
        </w:tc>
      </w:tr>
      <w:tr>
        <w:trPr>
          <w:trHeight w:val="171"/>
        </w:trPr>
        <w:tc>
          <w:tcPr>
            <w:tcW w:w="402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2"/>
              </w:rPr>
              <w:t>---------------------------</w:t>
            </w:r>
          </w:p>
        </w:tc>
        <w:tc>
          <w:tcPr>
            <w:tcW w:w="900" w:type="dxa"/>
            <w:vAlign w:val="bottom"/>
          </w:tcPr>
          <w:p>
            <w:pPr>
              <w:spacing w:after="0"/>
              <w:rPr>
                <w:sz w:val="14"/>
                <w:szCs w:val="14"/>
                <w:color w:val="auto"/>
              </w:rPr>
            </w:pPr>
          </w:p>
        </w:tc>
        <w:tc>
          <w:tcPr>
            <w:tcW w:w="3020" w:type="dxa"/>
            <w:vAlign w:val="bottom"/>
            <w:gridSpan w:val="4"/>
          </w:tcPr>
          <w:p>
            <w:pPr>
              <w:ind w:left="480"/>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Total current assets</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41,356</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8,404</w:t>
            </w:r>
          </w:p>
        </w:tc>
        <w:tc>
          <w:tcPr>
            <w:tcW w:w="36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(9,040)</w:t>
            </w:r>
          </w:p>
        </w:tc>
        <w:tc>
          <w:tcPr>
            <w:tcW w:w="300" w:type="dxa"/>
            <w:vAlign w:val="bottom"/>
          </w:tcPr>
          <w:p>
            <w:pPr>
              <w:spacing w:after="0"/>
              <w:rPr>
                <w:sz w:val="14"/>
                <w:szCs w:val="1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40,720</w:t>
            </w: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3,856</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473</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4,329</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Goodwill, net</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2,810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90</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999</w:t>
            </w:r>
          </w:p>
        </w:tc>
        <w:tc>
          <w:tcPr>
            <w:tcW w:w="36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(999)</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168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16,775</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F</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19,675</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Note receivable, long-term portion</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1,606</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42</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1,648</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Other intangible assets, net</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7,841</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(2,220)</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692</w:t>
            </w:r>
          </w:p>
        </w:tc>
        <w:tc>
          <w:tcPr>
            <w:tcW w:w="36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(692)</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5,621</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Deposits and other assets</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72</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225</w:t>
            </w:r>
          </w:p>
        </w:tc>
        <w:tc>
          <w:tcPr>
            <w:tcW w:w="36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(150)</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G</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147</w:t>
            </w:r>
          </w:p>
        </w:tc>
      </w:tr>
      <w:tr>
        <w:trPr>
          <w:trHeight w:val="171"/>
        </w:trPr>
        <w:tc>
          <w:tcPr>
            <w:tcW w:w="402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2"/>
              </w:rPr>
              <w:t>---------------------------</w:t>
            </w:r>
          </w:p>
        </w:tc>
        <w:tc>
          <w:tcPr>
            <w:tcW w:w="900" w:type="dxa"/>
            <w:vAlign w:val="bottom"/>
          </w:tcPr>
          <w:p>
            <w:pPr>
              <w:spacing w:after="0"/>
              <w:rPr>
                <w:sz w:val="14"/>
                <w:szCs w:val="14"/>
                <w:color w:val="auto"/>
              </w:rPr>
            </w:pPr>
          </w:p>
        </w:tc>
        <w:tc>
          <w:tcPr>
            <w:tcW w:w="3020" w:type="dxa"/>
            <w:vAlign w:val="bottom"/>
            <w:gridSpan w:val="4"/>
          </w:tcPr>
          <w:p>
            <w:pPr>
              <w:ind w:left="480"/>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$57,541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(2,130)</w:t>
            </w:r>
          </w:p>
        </w:tc>
        <w:tc>
          <w:tcPr>
            <w:tcW w:w="16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$ 10,835</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5,894</w:t>
            </w:r>
          </w:p>
        </w:tc>
        <w:tc>
          <w:tcPr>
            <w:tcW w:w="300" w:type="dxa"/>
            <w:vAlign w:val="bottom"/>
          </w:tcPr>
          <w:p>
            <w:pPr>
              <w:spacing w:after="0"/>
              <w:rPr>
                <w:sz w:val="14"/>
                <w:szCs w:val="1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$ 72,140</w:t>
            </w:r>
          </w:p>
        </w:tc>
      </w:tr>
      <w:tr>
        <w:trPr>
          <w:trHeight w:val="171"/>
        </w:trPr>
        <w:tc>
          <w:tcPr>
            <w:tcW w:w="4020" w:type="dxa"/>
            <w:vAlign w:val="bottom"/>
          </w:tcPr>
          <w:p>
            <w:pPr>
              <w:spacing w:after="0"/>
              <w:rPr>
                <w:sz w:val="14"/>
                <w:szCs w:val="14"/>
                <w:color w:val="auto"/>
              </w:rPr>
            </w:pPr>
          </w:p>
        </w:tc>
        <w:tc>
          <w:tcPr>
            <w:tcW w:w="25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w:t>
            </w:r>
          </w:p>
        </w:tc>
        <w:tc>
          <w:tcPr>
            <w:tcW w:w="3020" w:type="dxa"/>
            <w:vAlign w:val="bottom"/>
            <w:gridSpan w:val="4"/>
          </w:tcPr>
          <w:p>
            <w:pPr>
              <w:ind w:left="480"/>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  1,585</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862</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2,447</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1,418</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619</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2,037</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Current portion of unearned maintenance</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764</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764</w:t>
            </w:r>
          </w:p>
        </w:tc>
      </w:tr>
      <w:tr>
        <w:trPr>
          <w:trHeight w:val="171"/>
        </w:trPr>
        <w:tc>
          <w:tcPr>
            <w:tcW w:w="4020" w:type="dxa"/>
            <w:vAlign w:val="bottom"/>
          </w:tcPr>
          <w:p>
            <w:pPr>
              <w:ind w:left="160"/>
              <w:spacing w:after="0"/>
              <w:rPr>
                <w:sz w:val="20"/>
                <w:szCs w:val="20"/>
                <w:color w:val="auto"/>
              </w:rPr>
            </w:pPr>
            <w:r>
              <w:rPr>
                <w:rFonts w:ascii="Courier New" w:cs="Courier New" w:eastAsia="Courier New" w:hAnsi="Courier New"/>
                <w:sz w:val="15"/>
                <w:szCs w:val="15"/>
                <w:color w:val="auto"/>
              </w:rPr>
              <w:t>contracts</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Current portion of capital lease and</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171"/>
        </w:trPr>
        <w:tc>
          <w:tcPr>
            <w:tcW w:w="4020" w:type="dxa"/>
            <w:vAlign w:val="bottom"/>
          </w:tcPr>
          <w:p>
            <w:pPr>
              <w:ind w:left="160"/>
              <w:spacing w:after="0"/>
              <w:rPr>
                <w:sz w:val="20"/>
                <w:szCs w:val="20"/>
                <w:color w:val="auto"/>
              </w:rPr>
            </w:pPr>
            <w:r>
              <w:rPr>
                <w:rFonts w:ascii="Courier New" w:cs="Courier New" w:eastAsia="Courier New" w:hAnsi="Courier New"/>
                <w:sz w:val="15"/>
                <w:szCs w:val="15"/>
                <w:color w:val="auto"/>
              </w:rPr>
              <w:t>long-term debt obligations</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101</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238</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339</w:t>
            </w:r>
          </w:p>
        </w:tc>
      </w:tr>
      <w:tr>
        <w:trPr>
          <w:trHeight w:val="171"/>
        </w:trPr>
        <w:tc>
          <w:tcPr>
            <w:tcW w:w="402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2"/>
              </w:rPr>
              <w:t>---------------------------</w:t>
            </w:r>
          </w:p>
        </w:tc>
        <w:tc>
          <w:tcPr>
            <w:tcW w:w="900" w:type="dxa"/>
            <w:vAlign w:val="bottom"/>
          </w:tcPr>
          <w:p>
            <w:pPr>
              <w:spacing w:after="0"/>
              <w:rPr>
                <w:sz w:val="14"/>
                <w:szCs w:val="14"/>
                <w:color w:val="auto"/>
              </w:rPr>
            </w:pPr>
          </w:p>
        </w:tc>
        <w:tc>
          <w:tcPr>
            <w:tcW w:w="3020" w:type="dxa"/>
            <w:vAlign w:val="bottom"/>
            <w:gridSpan w:val="4"/>
          </w:tcPr>
          <w:p>
            <w:pPr>
              <w:ind w:left="480"/>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Total current liabilities</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3,104</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2,483</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5,587</w:t>
            </w: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Unearned maintenance contracts</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300</w:t>
            </w: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300</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Long-term debt and capital lease obligations</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17</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403</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420</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Deferred consideration - Ivron</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2,130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(2,130)</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A</w:t>
            </w: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Deferred tax liability</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746</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746</w:t>
            </w:r>
          </w:p>
        </w:tc>
      </w:tr>
      <w:tr>
        <w:trPr>
          <w:trHeight w:val="171"/>
        </w:trPr>
        <w:tc>
          <w:tcPr>
            <w:tcW w:w="402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2"/>
              </w:rPr>
              <w:t>---------------------------</w:t>
            </w:r>
          </w:p>
        </w:tc>
        <w:tc>
          <w:tcPr>
            <w:tcW w:w="900" w:type="dxa"/>
            <w:vAlign w:val="bottom"/>
          </w:tcPr>
          <w:p>
            <w:pPr>
              <w:spacing w:after="0"/>
              <w:rPr>
                <w:sz w:val="14"/>
                <w:szCs w:val="14"/>
                <w:color w:val="auto"/>
              </w:rPr>
            </w:pPr>
          </w:p>
        </w:tc>
        <w:tc>
          <w:tcPr>
            <w:tcW w:w="3020" w:type="dxa"/>
            <w:vAlign w:val="bottom"/>
            <w:gridSpan w:val="4"/>
          </w:tcPr>
          <w:p>
            <w:pPr>
              <w:ind w:left="480"/>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Total liabilities</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5,997</w:t>
            </w:r>
          </w:p>
        </w:tc>
        <w:tc>
          <w:tcPr>
            <w:tcW w:w="300" w:type="dxa"/>
            <w:vAlign w:val="bottom"/>
          </w:tcPr>
          <w:p>
            <w:pPr>
              <w:spacing w:after="0"/>
              <w:rPr>
                <w:sz w:val="14"/>
                <w:szCs w:val="14"/>
                <w:color w:val="auto"/>
              </w:rPr>
            </w:pP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(2,130)</w:t>
            </w:r>
          </w:p>
        </w:tc>
        <w:tc>
          <w:tcPr>
            <w:tcW w:w="84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3,186</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7,053</w:t>
            </w:r>
          </w:p>
        </w:tc>
      </w:tr>
      <w:tr>
        <w:trPr>
          <w:trHeight w:val="341"/>
        </w:trPr>
        <w:tc>
          <w:tcPr>
            <w:tcW w:w="402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Common stock</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10</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59</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(59)</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I</w:t>
            </w:r>
          </w:p>
        </w:tc>
        <w:tc>
          <w:tcPr>
            <w:tcW w:w="168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K</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18</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Additional paid in capital</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33,100</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7,864</w:t>
            </w:r>
          </w:p>
        </w:tc>
        <w:tc>
          <w:tcPr>
            <w:tcW w:w="360" w:type="dxa"/>
            <w:vAlign w:val="bottom"/>
          </w:tcPr>
          <w:p>
            <w:pPr>
              <w:spacing w:after="0"/>
              <w:rPr>
                <w:sz w:val="14"/>
                <w:szCs w:val="14"/>
                <w:color w:val="auto"/>
              </w:rPr>
            </w:pPr>
          </w:p>
        </w:tc>
        <w:tc>
          <w:tcPr>
            <w:tcW w:w="9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(7,864)</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I</w:t>
            </w:r>
          </w:p>
        </w:tc>
        <w:tc>
          <w:tcPr>
            <w:tcW w:w="168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12,424</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K</w:t>
            </w:r>
          </w:p>
        </w:tc>
        <w:tc>
          <w:tcPr>
            <w:tcW w:w="1680" w:type="dxa"/>
            <w:vAlign w:val="bottom"/>
          </w:tcPr>
          <w:p>
            <w:pPr>
              <w:spacing w:after="0"/>
              <w:rPr>
                <w:sz w:val="14"/>
                <w:szCs w:val="14"/>
                <w:color w:val="auto"/>
              </w:rPr>
            </w:pPr>
          </w:p>
        </w:tc>
      </w:tr>
      <w:tr>
        <w:trPr>
          <w:trHeight w:val="171"/>
        </w:trPr>
        <w:tc>
          <w:tcPr>
            <w:tcW w:w="40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1,233</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H</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46,757</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Treasury stock</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(73)</w:t>
            </w:r>
          </w:p>
        </w:tc>
        <w:tc>
          <w:tcPr>
            <w:tcW w:w="360" w:type="dxa"/>
            <w:vAlign w:val="bottom"/>
          </w:tcPr>
          <w:p>
            <w:pPr>
              <w:spacing w:after="0"/>
              <w:rPr>
                <w:sz w:val="14"/>
                <w:szCs w:val="1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73</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J</w:t>
            </w:r>
          </w:p>
        </w:tc>
        <w:tc>
          <w:tcPr>
            <w:tcW w:w="1680" w:type="dxa"/>
            <w:vAlign w:val="bottom"/>
          </w:tcPr>
          <w:p>
            <w:pPr>
              <w:spacing w:after="0"/>
              <w:rPr>
                <w:sz w:val="14"/>
                <w:szCs w:val="14"/>
                <w:color w:val="auto"/>
              </w:rPr>
            </w:pP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Note receivable from shareholder</w:t>
            </w:r>
          </w:p>
        </w:tc>
        <w:tc>
          <w:tcPr>
            <w:tcW w:w="1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(122)</w:t>
            </w: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(122)</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Retained earnings (accumulated deficit)</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18,434</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w:t>
            </w:r>
          </w:p>
        </w:tc>
        <w:tc>
          <w:tcPr>
            <w:tcW w:w="360" w:type="dxa"/>
            <w:vAlign w:val="bottom"/>
          </w:tcPr>
          <w:p>
            <w:pPr>
              <w:spacing w:after="0"/>
              <w:rPr>
                <w:sz w:val="14"/>
                <w:szCs w:val="1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79</w:t>
            </w:r>
          </w:p>
        </w:tc>
        <w:tc>
          <w:tcPr>
            <w:tcW w:w="300" w:type="dxa"/>
            <w:vAlign w:val="bottom"/>
          </w:tcPr>
          <w:p>
            <w:pPr>
              <w:ind w:left="40"/>
              <w:spacing w:after="0"/>
              <w:rPr>
                <w:sz w:val="20"/>
                <w:szCs w:val="20"/>
                <w:color w:val="auto"/>
              </w:rPr>
            </w:pPr>
            <w:r>
              <w:rPr>
                <w:rFonts w:ascii="Courier New" w:cs="Courier New" w:eastAsia="Courier New" w:hAnsi="Courier New"/>
                <w:sz w:val="15"/>
                <w:szCs w:val="15"/>
                <w:color w:val="auto"/>
              </w:rPr>
              <w:t>I</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18,434</w:t>
            </w:r>
          </w:p>
        </w:tc>
      </w:tr>
      <w:tr>
        <w:trPr>
          <w:trHeight w:val="171"/>
        </w:trPr>
        <w:tc>
          <w:tcPr>
            <w:tcW w:w="402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2"/>
              </w:rPr>
              <w:t>---------------------------</w:t>
            </w:r>
          </w:p>
        </w:tc>
        <w:tc>
          <w:tcPr>
            <w:tcW w:w="900" w:type="dxa"/>
            <w:vAlign w:val="bottom"/>
          </w:tcPr>
          <w:p>
            <w:pPr>
              <w:spacing w:after="0"/>
              <w:rPr>
                <w:sz w:val="14"/>
                <w:szCs w:val="14"/>
                <w:color w:val="auto"/>
              </w:rPr>
            </w:pPr>
          </w:p>
        </w:tc>
        <w:tc>
          <w:tcPr>
            <w:tcW w:w="3020" w:type="dxa"/>
            <w:vAlign w:val="bottom"/>
            <w:gridSpan w:val="4"/>
          </w:tcPr>
          <w:p>
            <w:pPr>
              <w:ind w:left="480"/>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Total shareholders' equity</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51,544</w:t>
            </w: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7,649</w:t>
            </w:r>
          </w:p>
        </w:tc>
        <w:tc>
          <w:tcPr>
            <w:tcW w:w="360" w:type="dxa"/>
            <w:vAlign w:val="bottom"/>
          </w:tcPr>
          <w:p>
            <w:pPr>
              <w:spacing w:after="0"/>
              <w:rPr>
                <w:sz w:val="14"/>
                <w:szCs w:val="14"/>
                <w:color w:val="auto"/>
              </w:rPr>
            </w:pP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5,894</w:t>
            </w:r>
          </w:p>
        </w:tc>
        <w:tc>
          <w:tcPr>
            <w:tcW w:w="300" w:type="dxa"/>
            <w:vAlign w:val="bottom"/>
          </w:tcPr>
          <w:p>
            <w:pPr>
              <w:spacing w:after="0"/>
              <w:rPr>
                <w:sz w:val="14"/>
                <w:szCs w:val="1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65,087</w:t>
            </w:r>
          </w:p>
        </w:tc>
      </w:tr>
      <w:tr>
        <w:trPr>
          <w:trHeight w:val="171"/>
        </w:trPr>
        <w:tc>
          <w:tcPr>
            <w:tcW w:w="4020" w:type="dxa"/>
            <w:vAlign w:val="bottom"/>
          </w:tcPr>
          <w:p>
            <w:pPr>
              <w:spacing w:after="0"/>
              <w:rPr>
                <w:sz w:val="14"/>
                <w:szCs w:val="14"/>
                <w:color w:val="auto"/>
              </w:rPr>
            </w:pPr>
          </w:p>
        </w:tc>
        <w:tc>
          <w:tcPr>
            <w:tcW w:w="1600" w:type="dxa"/>
            <w:vAlign w:val="bottom"/>
            <w:gridSpan w:val="2"/>
          </w:tcPr>
          <w:p>
            <w:pPr>
              <w:ind w:left="60"/>
              <w:spacing w:after="0"/>
              <w:rPr>
                <w:sz w:val="20"/>
                <w:szCs w:val="20"/>
                <w:color w:val="auto"/>
              </w:rPr>
            </w:pPr>
            <w:r>
              <w:rPr>
                <w:rFonts w:ascii="Courier New" w:cs="Courier New" w:eastAsia="Courier New" w:hAnsi="Courier New"/>
                <w:sz w:val="13"/>
                <w:szCs w:val="13"/>
                <w:color w:val="auto"/>
                <w:w w:val="72"/>
              </w:rPr>
              <w:t>---------------------------</w:t>
            </w:r>
          </w:p>
        </w:tc>
        <w:tc>
          <w:tcPr>
            <w:tcW w:w="900" w:type="dxa"/>
            <w:vAlign w:val="bottom"/>
          </w:tcPr>
          <w:p>
            <w:pPr>
              <w:spacing w:after="0"/>
              <w:rPr>
                <w:sz w:val="14"/>
                <w:szCs w:val="14"/>
                <w:color w:val="auto"/>
              </w:rPr>
            </w:pPr>
          </w:p>
        </w:tc>
        <w:tc>
          <w:tcPr>
            <w:tcW w:w="3020" w:type="dxa"/>
            <w:vAlign w:val="bottom"/>
            <w:gridSpan w:val="4"/>
          </w:tcPr>
          <w:p>
            <w:pPr>
              <w:ind w:left="480"/>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4020" w:type="dxa"/>
            <w:vAlign w:val="bottom"/>
          </w:tcPr>
          <w:p>
            <w:pPr>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300" w:type="dxa"/>
            <w:vAlign w:val="bottom"/>
          </w:tcPr>
          <w:p>
            <w:pPr>
              <w:jc w:val="right"/>
              <w:ind w:right="288"/>
              <w:spacing w:after="0"/>
              <w:rPr>
                <w:sz w:val="20"/>
                <w:szCs w:val="20"/>
                <w:color w:val="auto"/>
              </w:rPr>
            </w:pPr>
            <w:r>
              <w:rPr>
                <w:rFonts w:ascii="Courier New" w:cs="Courier New" w:eastAsia="Courier New" w:hAnsi="Courier New"/>
                <w:sz w:val="15"/>
                <w:szCs w:val="15"/>
                <w:color w:val="auto"/>
              </w:rPr>
              <w:t>$ 57,541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(2,130)</w:t>
            </w:r>
          </w:p>
        </w:tc>
        <w:tc>
          <w:tcPr>
            <w:tcW w:w="840" w:type="dxa"/>
            <w:vAlign w:val="bottom"/>
          </w:tcPr>
          <w:p>
            <w:pPr>
              <w:ind w:left="66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10,835</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5,894</w:t>
            </w:r>
          </w:p>
        </w:tc>
        <w:tc>
          <w:tcPr>
            <w:tcW w:w="300" w:type="dxa"/>
            <w:vAlign w:val="bottom"/>
          </w:tcPr>
          <w:p>
            <w:pPr>
              <w:spacing w:after="0"/>
              <w:rPr>
                <w:sz w:val="14"/>
                <w:szCs w:val="14"/>
                <w:color w:val="auto"/>
              </w:rPr>
            </w:pP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$ 72,140</w:t>
            </w:r>
          </w:p>
        </w:tc>
      </w:tr>
      <w:tr>
        <w:trPr>
          <w:trHeight w:val="171"/>
        </w:trPr>
        <w:tc>
          <w:tcPr>
            <w:tcW w:w="4020" w:type="dxa"/>
            <w:vAlign w:val="bottom"/>
          </w:tcPr>
          <w:p>
            <w:pPr>
              <w:spacing w:after="0"/>
              <w:rPr>
                <w:sz w:val="14"/>
                <w:szCs w:val="14"/>
                <w:color w:val="auto"/>
              </w:rPr>
            </w:pPr>
          </w:p>
        </w:tc>
        <w:tc>
          <w:tcPr>
            <w:tcW w:w="2500" w:type="dxa"/>
            <w:vAlign w:val="bottom"/>
            <w:gridSpan w:val="3"/>
          </w:tcPr>
          <w:p>
            <w:pPr>
              <w:ind w:left="60"/>
              <w:spacing w:after="0"/>
              <w:rPr>
                <w:sz w:val="20"/>
                <w:szCs w:val="20"/>
                <w:color w:val="auto"/>
              </w:rPr>
            </w:pPr>
            <w:r>
              <w:rPr>
                <w:rFonts w:ascii="Courier New" w:cs="Courier New" w:eastAsia="Courier New" w:hAnsi="Courier New"/>
                <w:sz w:val="15"/>
                <w:szCs w:val="15"/>
                <w:color w:val="auto"/>
                <w:w w:val="99"/>
              </w:rPr>
              <w:t>===========================</w:t>
            </w:r>
          </w:p>
        </w:tc>
        <w:tc>
          <w:tcPr>
            <w:tcW w:w="3020" w:type="dxa"/>
            <w:vAlign w:val="bottom"/>
            <w:gridSpan w:val="4"/>
          </w:tcPr>
          <w:p>
            <w:pPr>
              <w:ind w:left="480"/>
              <w:spacing w:after="0"/>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2" w:lineRule="exact"/>
        <w:rPr>
          <w:sz w:val="20"/>
          <w:szCs w:val="20"/>
          <w:color w:val="auto"/>
        </w:rPr>
      </w:pPr>
    </w:p>
    <w:p>
      <w:pPr>
        <w:jc w:val="center"/>
        <w:ind w:right="4340"/>
        <w:spacing w:after="0"/>
        <w:rPr>
          <w:sz w:val="20"/>
          <w:szCs w:val="20"/>
          <w:color w:val="auto"/>
        </w:rPr>
      </w:pPr>
      <w:r>
        <w:rPr>
          <w:rFonts w:ascii="Courier New" w:cs="Courier New" w:eastAsia="Courier New" w:hAnsi="Courier New"/>
          <w:sz w:val="15"/>
          <w:szCs w:val="15"/>
          <w:color w:val="auto"/>
        </w:rPr>
        <w:t>See accompanying notes to unaudited pro forma condensed</w:t>
      </w:r>
    </w:p>
    <w:p>
      <w:pPr>
        <w:spacing w:after="0" w:line="1" w:lineRule="exact"/>
        <w:rPr>
          <w:sz w:val="20"/>
          <w:szCs w:val="20"/>
          <w:color w:val="auto"/>
        </w:rPr>
      </w:pPr>
    </w:p>
    <w:p>
      <w:pPr>
        <w:jc w:val="center"/>
        <w:ind w:right="4440"/>
        <w:spacing w:after="0"/>
        <w:rPr>
          <w:sz w:val="20"/>
          <w:szCs w:val="20"/>
          <w:color w:val="auto"/>
        </w:rPr>
      </w:pPr>
      <w:r>
        <w:rPr>
          <w:rFonts w:ascii="Courier New" w:cs="Courier New" w:eastAsia="Courier New" w:hAnsi="Courier New"/>
          <w:sz w:val="15"/>
          <w:szCs w:val="15"/>
          <w:color w:val="auto"/>
        </w:rPr>
        <w:t>combined financial statements.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1520"/>
          </w:cols>
          <w:pgMar w:left="240" w:top="799" w:right="139" w:bottom="1440" w:gutter="0" w:footer="0" w:header="0"/>
        </w:sectPr>
      </w:pPr>
    </w:p>
    <w:bookmarkStart w:id="21" w:name="page22"/>
    <w:bookmarkEnd w:id="21"/>
    <w:p>
      <w:pPr>
        <w:ind w:left="230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spacing w:after="0" w:line="1"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For the six months ended December 31, 2001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00" w:type="dxa"/>
            <w:vAlign w:val="bottom"/>
          </w:tcPr>
          <w:p>
            <w:pPr>
              <w:spacing w:after="0"/>
              <w:rPr>
                <w:sz w:val="14"/>
                <w:szCs w:val="14"/>
                <w:color w:val="auto"/>
              </w:rPr>
            </w:pPr>
          </w:p>
        </w:tc>
        <w:tc>
          <w:tcPr>
            <w:tcW w:w="1520" w:type="dxa"/>
            <w:vAlign w:val="bottom"/>
            <w:gridSpan w:val="2"/>
          </w:tcPr>
          <w:p>
            <w:pPr>
              <w:jc w:val="center"/>
              <w:ind w:left="16"/>
              <w:spacing w:after="0"/>
              <w:rPr>
                <w:sz w:val="20"/>
                <w:szCs w:val="20"/>
                <w:color w:val="auto"/>
              </w:rPr>
            </w:pPr>
            <w:r>
              <w:rPr>
                <w:rFonts w:ascii="Courier New" w:cs="Courier New" w:eastAsia="Courier New" w:hAnsi="Courier New"/>
                <w:sz w:val="15"/>
                <w:szCs w:val="15"/>
                <w:color w:val="auto"/>
                <w:w w:val="97"/>
              </w:rPr>
              <w:t>(in 000's)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512"/>
        </w:trPr>
        <w:tc>
          <w:tcPr>
            <w:tcW w:w="3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Pro Forma</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3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Adjustments</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Ivron</w:t>
            </w:r>
          </w:p>
        </w:tc>
        <w:tc>
          <w:tcPr>
            <w:tcW w:w="1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for Ivron</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1520" w:type="dxa"/>
            <w:vAlign w:val="bottom"/>
            <w:gridSpan w:val="2"/>
          </w:tcPr>
          <w:p>
            <w:pPr>
              <w:jc w:val="center"/>
              <w:ind w:left="36"/>
              <w:spacing w:after="0"/>
              <w:rPr>
                <w:sz w:val="20"/>
                <w:szCs w:val="20"/>
                <w:color w:val="auto"/>
              </w:rPr>
            </w:pPr>
            <w:r>
              <w:rPr>
                <w:rFonts w:ascii="Courier New" w:cs="Courier New" w:eastAsia="Courier New" w:hAnsi="Courier New"/>
                <w:sz w:val="15"/>
                <w:szCs w:val="15"/>
                <w:color w:val="auto"/>
                <w:w w:val="97"/>
              </w:rPr>
              <w:t>ClearOne</w:t>
            </w:r>
          </w:p>
        </w:tc>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Systems</w:t>
            </w:r>
          </w:p>
        </w:tc>
        <w:tc>
          <w:tcPr>
            <w:tcW w:w="13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Systems</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1520" w:type="dxa"/>
            <w:vAlign w:val="bottom"/>
            <w:gridSpan w:val="2"/>
          </w:tcPr>
          <w:p>
            <w:pPr>
              <w:jc w:val="center"/>
              <w:ind w:left="36"/>
              <w:spacing w:after="0"/>
              <w:rPr>
                <w:sz w:val="20"/>
                <w:szCs w:val="20"/>
                <w:color w:val="auto"/>
              </w:rPr>
            </w:pPr>
            <w:r>
              <w:rPr>
                <w:rFonts w:ascii="Courier New" w:cs="Courier New" w:eastAsia="Courier New" w:hAnsi="Courier New"/>
                <w:sz w:val="15"/>
                <w:szCs w:val="15"/>
                <w:color w:val="auto"/>
                <w:w w:val="98"/>
              </w:rPr>
              <w:t>(Historical)</w:t>
            </w:r>
          </w:p>
        </w:tc>
        <w:tc>
          <w:tcPr>
            <w:tcW w:w="132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(Historical)</w:t>
            </w:r>
          </w:p>
        </w:tc>
        <w:tc>
          <w:tcPr>
            <w:tcW w:w="1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Acquisition</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4580" w:type="dxa"/>
            <w:vAlign w:val="bottom"/>
            <w:gridSpan w:val="7"/>
          </w:tcPr>
          <w:p>
            <w:pPr>
              <w:ind w:left="28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spacing w:after="0"/>
              <w:rPr>
                <w:sz w:val="14"/>
                <w:szCs w:val="14"/>
                <w:color w:val="auto"/>
              </w:rPr>
            </w:pPr>
          </w:p>
        </w:tc>
      </w:tr>
      <w:tr>
        <w:trPr>
          <w:trHeight w:val="512"/>
        </w:trPr>
        <w:tc>
          <w:tcPr>
            <w:tcW w:w="38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$23,803</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47</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62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9,639</w:t>
            </w:r>
          </w:p>
        </w:tc>
        <w:tc>
          <w:tcPr>
            <w:tcW w:w="44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343</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4140" w:type="dxa"/>
            <w:vAlign w:val="bottom"/>
            <w:gridSpan w:val="6"/>
          </w:tcPr>
          <w:p>
            <w:pPr>
              <w:ind w:left="280"/>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Gross profit (loss)</w:t>
            </w:r>
          </w:p>
        </w:tc>
        <w:tc>
          <w:tcPr>
            <w:tcW w:w="62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96"/>
              </w:rPr>
              <w:t>14,164</w:t>
            </w:r>
          </w:p>
        </w:tc>
        <w:tc>
          <w:tcPr>
            <w:tcW w:w="440" w:type="dxa"/>
            <w:vAlign w:val="bottom"/>
          </w:tcPr>
          <w:p>
            <w:pPr>
              <w:spacing w:after="0"/>
              <w:rPr>
                <w:sz w:val="14"/>
                <w:szCs w:val="1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(296)</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Marketing and selling</w:t>
            </w:r>
          </w:p>
        </w:tc>
        <w:tc>
          <w:tcPr>
            <w:tcW w:w="62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5,232</w:t>
            </w:r>
          </w:p>
        </w:tc>
        <w:tc>
          <w:tcPr>
            <w:tcW w:w="44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304</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62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2,559</w:t>
            </w:r>
          </w:p>
        </w:tc>
        <w:tc>
          <w:tcPr>
            <w:tcW w:w="44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695</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(46)</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B</w:t>
            </w:r>
          </w:p>
        </w:tc>
        <w:tc>
          <w:tcPr>
            <w:tcW w:w="1380" w:type="dxa"/>
            <w:vAlign w:val="bottom"/>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Research and product development</w:t>
            </w:r>
          </w:p>
        </w:tc>
        <w:tc>
          <w:tcPr>
            <w:tcW w:w="62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1,922</w:t>
            </w:r>
          </w:p>
        </w:tc>
        <w:tc>
          <w:tcPr>
            <w:tcW w:w="44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116</w:t>
            </w:r>
          </w:p>
        </w:tc>
        <w:tc>
          <w:tcPr>
            <w:tcW w:w="5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139</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C</w:t>
            </w:r>
          </w:p>
        </w:tc>
        <w:tc>
          <w:tcPr>
            <w:tcW w:w="138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4140" w:type="dxa"/>
            <w:vAlign w:val="bottom"/>
            <w:gridSpan w:val="6"/>
          </w:tcPr>
          <w:p>
            <w:pPr>
              <w:ind w:left="280"/>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62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9,713</w:t>
            </w:r>
          </w:p>
        </w:tc>
        <w:tc>
          <w:tcPr>
            <w:tcW w:w="440" w:type="dxa"/>
            <w:vAlign w:val="bottom"/>
          </w:tcPr>
          <w:p>
            <w:pPr>
              <w:spacing w:after="0"/>
              <w:rPr>
                <w:sz w:val="14"/>
                <w:szCs w:val="14"/>
                <w:color w:val="auto"/>
              </w:rPr>
            </w:pPr>
          </w:p>
        </w:tc>
        <w:tc>
          <w:tcPr>
            <w:tcW w:w="88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3"/>
              </w:rPr>
              <w:t>1,115</w:t>
            </w:r>
          </w:p>
        </w:tc>
        <w:tc>
          <w:tcPr>
            <w:tcW w:w="5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93</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4140" w:type="dxa"/>
            <w:vAlign w:val="bottom"/>
            <w:gridSpan w:val="6"/>
          </w:tcPr>
          <w:p>
            <w:pPr>
              <w:ind w:left="280"/>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62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4,451</w:t>
            </w: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(1,411)</w:t>
            </w:r>
          </w:p>
        </w:tc>
        <w:tc>
          <w:tcPr>
            <w:tcW w:w="50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620" w:type="dxa"/>
            <w:vAlign w:val="bottom"/>
          </w:tcPr>
          <w:p>
            <w:pPr>
              <w:spacing w:after="0"/>
              <w:rPr>
                <w:sz w:val="24"/>
                <w:szCs w:val="2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211</w:t>
            </w:r>
          </w:p>
        </w:tc>
        <w:tc>
          <w:tcPr>
            <w:tcW w:w="440" w:type="dxa"/>
            <w:vAlign w:val="bottom"/>
          </w:tcPr>
          <w:p>
            <w:pPr>
              <w:spacing w:after="0"/>
              <w:rPr>
                <w:sz w:val="24"/>
                <w:szCs w:val="24"/>
                <w:color w:val="auto"/>
              </w:rPr>
            </w:pPr>
          </w:p>
        </w:tc>
        <w:tc>
          <w:tcPr>
            <w:tcW w:w="8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(126)</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3800" w:type="dxa"/>
            <w:vAlign w:val="bottom"/>
          </w:tcPr>
          <w:p>
            <w:pPr>
              <w:spacing w:after="0"/>
              <w:rPr>
                <w:sz w:val="14"/>
                <w:szCs w:val="14"/>
                <w:color w:val="auto"/>
              </w:rPr>
            </w:pPr>
          </w:p>
        </w:tc>
        <w:tc>
          <w:tcPr>
            <w:tcW w:w="4140" w:type="dxa"/>
            <w:vAlign w:val="bottom"/>
            <w:gridSpan w:val="6"/>
          </w:tcPr>
          <w:p>
            <w:pPr>
              <w:ind w:left="280"/>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62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4,662</w:t>
            </w: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(1,537)</w:t>
            </w:r>
          </w:p>
        </w:tc>
        <w:tc>
          <w:tcPr>
            <w:tcW w:w="50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(93)</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before income taxes</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62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1,758</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(35)</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D</w:t>
            </w:r>
          </w:p>
        </w:tc>
        <w:tc>
          <w:tcPr>
            <w:tcW w:w="138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4140" w:type="dxa"/>
            <w:vAlign w:val="bottom"/>
            <w:gridSpan w:val="6"/>
          </w:tcPr>
          <w:p>
            <w:pPr>
              <w:ind w:left="280"/>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1520" w:type="dxa"/>
            <w:vAlign w:val="bottom"/>
            <w:gridSpan w:val="2"/>
          </w:tcPr>
          <w:p>
            <w:pPr>
              <w:jc w:val="right"/>
              <w:ind w:right="286"/>
              <w:spacing w:after="0"/>
              <w:rPr>
                <w:sz w:val="20"/>
                <w:szCs w:val="20"/>
                <w:color w:val="auto"/>
              </w:rPr>
            </w:pPr>
            <w:r>
              <w:rPr>
                <w:rFonts w:ascii="Courier New" w:cs="Courier New" w:eastAsia="Courier New" w:hAnsi="Courier New"/>
                <w:sz w:val="15"/>
                <w:szCs w:val="15"/>
                <w:color w:val="auto"/>
              </w:rPr>
              <w:t>$ 2,904</w:t>
            </w:r>
          </w:p>
        </w:tc>
        <w:tc>
          <w:tcPr>
            <w:tcW w:w="1320" w:type="dxa"/>
            <w:vAlign w:val="bottom"/>
            <w:gridSpan w:val="2"/>
          </w:tcPr>
          <w:p>
            <w:pPr>
              <w:jc w:val="right"/>
              <w:ind w:right="266"/>
              <w:spacing w:after="0"/>
              <w:rPr>
                <w:sz w:val="20"/>
                <w:szCs w:val="20"/>
                <w:color w:val="auto"/>
              </w:rPr>
            </w:pPr>
            <w:r>
              <w:rPr>
                <w:rFonts w:ascii="Courier New" w:cs="Courier New" w:eastAsia="Courier New" w:hAnsi="Courier New"/>
                <w:sz w:val="15"/>
                <w:szCs w:val="15"/>
                <w:color w:val="auto"/>
              </w:rPr>
              <w:t>$(1,537)</w:t>
            </w:r>
          </w:p>
        </w:tc>
        <w:tc>
          <w:tcPr>
            <w:tcW w:w="5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800" w:type="dxa"/>
            <w:vAlign w:val="bottom"/>
          </w:tcPr>
          <w:p>
            <w:pPr>
              <w:spacing w:after="0"/>
              <w:rPr>
                <w:sz w:val="14"/>
                <w:szCs w:val="14"/>
                <w:color w:val="auto"/>
              </w:rPr>
            </w:pPr>
          </w:p>
        </w:tc>
        <w:tc>
          <w:tcPr>
            <w:tcW w:w="4140" w:type="dxa"/>
            <w:vAlign w:val="bottom"/>
            <w:gridSpan w:val="6"/>
          </w:tcPr>
          <w:p>
            <w:pPr>
              <w:ind w:left="280"/>
              <w:spacing w:after="0"/>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620" w:type="dxa"/>
            <w:vAlign w:val="bottom"/>
          </w:tcPr>
          <w:p>
            <w:pPr>
              <w:ind w:left="5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0.33</w:t>
            </w: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620" w:type="dxa"/>
            <w:vAlign w:val="bottom"/>
          </w:tcPr>
          <w:p>
            <w:pPr>
              <w:ind w:left="5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0.31</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Basic</w:t>
            </w:r>
          </w:p>
        </w:tc>
        <w:tc>
          <w:tcPr>
            <w:tcW w:w="6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8,800</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Diluted</w:t>
            </w:r>
          </w:p>
        </w:tc>
        <w:tc>
          <w:tcPr>
            <w:tcW w:w="6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9,369</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853"/>
        </w:trPr>
        <w:tc>
          <w:tcPr>
            <w:tcW w:w="3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Pro Forma</w:t>
            </w:r>
          </w:p>
        </w:tc>
      </w:tr>
      <w:tr>
        <w:trPr>
          <w:trHeight w:val="171"/>
        </w:trPr>
        <w:tc>
          <w:tcPr>
            <w:tcW w:w="3800" w:type="dxa"/>
            <w:vAlign w:val="bottom"/>
          </w:tcPr>
          <w:p>
            <w:pPr>
              <w:spacing w:after="0"/>
              <w:rPr>
                <w:sz w:val="14"/>
                <w:szCs w:val="14"/>
                <w:color w:val="auto"/>
              </w:rPr>
            </w:pPr>
          </w:p>
        </w:tc>
        <w:tc>
          <w:tcPr>
            <w:tcW w:w="15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Pro Forma</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Combined for</w:t>
            </w:r>
          </w:p>
        </w:tc>
      </w:tr>
      <w:tr>
        <w:trPr>
          <w:trHeight w:val="171"/>
        </w:trPr>
        <w:tc>
          <w:tcPr>
            <w:tcW w:w="3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Combined</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Pro Forma</w:t>
            </w:r>
          </w:p>
        </w:tc>
        <w:tc>
          <w:tcPr>
            <w:tcW w:w="4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7"/>
              </w:rPr>
              <w:t>Ivron</w:t>
            </w:r>
          </w:p>
        </w:tc>
      </w:tr>
      <w:tr>
        <w:trPr>
          <w:trHeight w:val="171"/>
        </w:trPr>
        <w:tc>
          <w:tcPr>
            <w:tcW w:w="3800" w:type="dxa"/>
            <w:vAlign w:val="bottom"/>
          </w:tcPr>
          <w:p>
            <w:pPr>
              <w:spacing w:after="0"/>
              <w:rPr>
                <w:sz w:val="14"/>
                <w:szCs w:val="14"/>
                <w:color w:val="auto"/>
              </w:rPr>
            </w:pPr>
          </w:p>
        </w:tc>
        <w:tc>
          <w:tcPr>
            <w:tcW w:w="1520" w:type="dxa"/>
            <w:vAlign w:val="bottom"/>
            <w:gridSpan w:val="2"/>
          </w:tcPr>
          <w:p>
            <w:pPr>
              <w:ind w:left="540"/>
              <w:spacing w:after="0"/>
              <w:rPr>
                <w:sz w:val="20"/>
                <w:szCs w:val="20"/>
                <w:color w:val="auto"/>
              </w:rPr>
            </w:pPr>
            <w:r>
              <w:rPr>
                <w:rFonts w:ascii="Courier New" w:cs="Courier New" w:eastAsia="Courier New" w:hAnsi="Courier New"/>
                <w:sz w:val="15"/>
                <w:szCs w:val="15"/>
                <w:color w:val="auto"/>
              </w:rPr>
              <w:t>for Ivron</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Adjustments</w:t>
            </w:r>
          </w:p>
        </w:tc>
        <w:tc>
          <w:tcPr>
            <w:tcW w:w="4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Systems and</w:t>
            </w:r>
          </w:p>
        </w:tc>
      </w:tr>
      <w:tr>
        <w:trPr>
          <w:trHeight w:val="171"/>
        </w:trPr>
        <w:tc>
          <w:tcPr>
            <w:tcW w:w="3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00" w:type="dxa"/>
            <w:vAlign w:val="bottom"/>
          </w:tcPr>
          <w:p>
            <w:pPr>
              <w:spacing w:after="0"/>
              <w:rPr>
                <w:sz w:val="20"/>
                <w:szCs w:val="20"/>
                <w:color w:val="auto"/>
              </w:rPr>
            </w:pPr>
            <w:r>
              <w:rPr>
                <w:rFonts w:ascii="Courier New" w:cs="Courier New" w:eastAsia="Courier New" w:hAnsi="Courier New"/>
                <w:sz w:val="15"/>
                <w:szCs w:val="15"/>
                <w:color w:val="auto"/>
              </w:rPr>
              <w:t>Systems</w:t>
            </w:r>
          </w:p>
        </w:tc>
        <w:tc>
          <w:tcPr>
            <w:tcW w:w="13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E.mergent</w:t>
            </w:r>
          </w:p>
        </w:tc>
        <w:tc>
          <w:tcPr>
            <w:tcW w:w="13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for E.mergent</w:t>
            </w:r>
          </w:p>
        </w:tc>
        <w:tc>
          <w:tcPr>
            <w:tcW w:w="44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Courier New" w:cs="Courier New" w:eastAsia="Courier New" w:hAnsi="Courier New"/>
                <w:sz w:val="15"/>
                <w:szCs w:val="15"/>
                <w:color w:val="auto"/>
                <w:w w:val="98"/>
              </w:rPr>
              <w:t>E.mergent</w:t>
            </w:r>
          </w:p>
        </w:tc>
      </w:tr>
      <w:tr>
        <w:trPr>
          <w:trHeight w:val="171"/>
        </w:trPr>
        <w:tc>
          <w:tcPr>
            <w:tcW w:w="3800" w:type="dxa"/>
            <w:vAlign w:val="bottom"/>
          </w:tcPr>
          <w:p>
            <w:pPr>
              <w:spacing w:after="0"/>
              <w:rPr>
                <w:sz w:val="14"/>
                <w:szCs w:val="14"/>
                <w:color w:val="auto"/>
              </w:rPr>
            </w:pPr>
          </w:p>
        </w:tc>
        <w:tc>
          <w:tcPr>
            <w:tcW w:w="152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Acquisition</w:t>
            </w:r>
          </w:p>
        </w:tc>
        <w:tc>
          <w:tcPr>
            <w:tcW w:w="1320" w:type="dxa"/>
            <w:vAlign w:val="bottom"/>
            <w:gridSpan w:val="2"/>
          </w:tcPr>
          <w:p>
            <w:pPr>
              <w:jc w:val="right"/>
              <w:ind w:right="6"/>
              <w:spacing w:after="0"/>
              <w:rPr>
                <w:sz w:val="20"/>
                <w:szCs w:val="20"/>
                <w:color w:val="auto"/>
              </w:rPr>
            </w:pPr>
            <w:r>
              <w:rPr>
                <w:rFonts w:ascii="Courier New" w:cs="Courier New" w:eastAsia="Courier New" w:hAnsi="Courier New"/>
                <w:sz w:val="15"/>
                <w:szCs w:val="15"/>
                <w:color w:val="auto"/>
              </w:rPr>
              <w:t>(Historical)</w:t>
            </w:r>
          </w:p>
        </w:tc>
        <w:tc>
          <w:tcPr>
            <w:tcW w:w="13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Acquisition</w:t>
            </w:r>
          </w:p>
        </w:tc>
        <w:tc>
          <w:tcPr>
            <w:tcW w:w="44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rPr>
              <w:t>Acquisitions</w:t>
            </w:r>
          </w:p>
        </w:tc>
      </w:tr>
      <w:tr>
        <w:trPr>
          <w:trHeight w:val="171"/>
        </w:trPr>
        <w:tc>
          <w:tcPr>
            <w:tcW w:w="3800" w:type="dxa"/>
            <w:vAlign w:val="bottom"/>
          </w:tcPr>
          <w:p>
            <w:pPr>
              <w:spacing w:after="0"/>
              <w:rPr>
                <w:sz w:val="14"/>
                <w:szCs w:val="14"/>
                <w:color w:val="auto"/>
              </w:rPr>
            </w:pPr>
          </w:p>
        </w:tc>
        <w:tc>
          <w:tcPr>
            <w:tcW w:w="5960" w:type="dxa"/>
            <w:vAlign w:val="bottom"/>
            <w:gridSpan w:val="8"/>
          </w:tcPr>
          <w:p>
            <w:pPr>
              <w:ind w:left="280"/>
              <w:spacing w:after="0"/>
              <w:rPr>
                <w:sz w:val="20"/>
                <w:szCs w:val="20"/>
                <w:color w:val="auto"/>
              </w:rPr>
            </w:pPr>
            <w:r>
              <w:rPr>
                <w:rFonts w:ascii="Courier New" w:cs="Courier New" w:eastAsia="Courier New" w:hAnsi="Courier New"/>
                <w:sz w:val="15"/>
                <w:szCs w:val="15"/>
                <w:color w:val="auto"/>
              </w:rPr>
              <w:t>--------------------------------------------------------------</w:t>
            </w:r>
          </w:p>
        </w:tc>
      </w:tr>
      <w:tr>
        <w:trPr>
          <w:trHeight w:val="512"/>
        </w:trPr>
        <w:tc>
          <w:tcPr>
            <w:tcW w:w="380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620" w:type="dxa"/>
            <w:vAlign w:val="bottom"/>
          </w:tcPr>
          <w:p>
            <w:pPr>
              <w:spacing w:after="0"/>
              <w:rPr>
                <w:sz w:val="24"/>
                <w:szCs w:val="2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$23,850</w:t>
            </w:r>
          </w:p>
        </w:tc>
        <w:tc>
          <w:tcPr>
            <w:tcW w:w="440" w:type="dxa"/>
            <w:vAlign w:val="bottom"/>
          </w:tcPr>
          <w:p>
            <w:pPr>
              <w:spacing w:after="0"/>
              <w:rPr>
                <w:sz w:val="24"/>
                <w:szCs w:val="2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5"/>
              </w:rPr>
              <w:t>$11,846</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$35,696</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6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9,982</w:t>
            </w:r>
          </w:p>
        </w:tc>
        <w:tc>
          <w:tcPr>
            <w:tcW w:w="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7,587</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17,569</w:t>
            </w:r>
          </w:p>
        </w:tc>
      </w:tr>
      <w:tr>
        <w:trPr>
          <w:trHeight w:val="171"/>
        </w:trPr>
        <w:tc>
          <w:tcPr>
            <w:tcW w:w="3800" w:type="dxa"/>
            <w:vAlign w:val="bottom"/>
          </w:tcPr>
          <w:p>
            <w:pPr>
              <w:spacing w:after="0"/>
              <w:rPr>
                <w:sz w:val="14"/>
                <w:szCs w:val="14"/>
                <w:color w:val="auto"/>
              </w:rPr>
            </w:pPr>
          </w:p>
        </w:tc>
        <w:tc>
          <w:tcPr>
            <w:tcW w:w="1520" w:type="dxa"/>
            <w:vAlign w:val="bottom"/>
            <w:gridSpan w:val="2"/>
          </w:tcPr>
          <w:p>
            <w:pPr>
              <w:ind w:left="460"/>
              <w:spacing w:after="0"/>
              <w:rPr>
                <w:sz w:val="20"/>
                <w:szCs w:val="20"/>
                <w:color w:val="auto"/>
              </w:rPr>
            </w:pPr>
            <w:r>
              <w:rPr>
                <w:rFonts w:ascii="Courier New" w:cs="Courier New" w:eastAsia="Courier New" w:hAnsi="Courier New"/>
                <w:sz w:val="5"/>
                <w:szCs w:val="5"/>
                <w:color w:val="auto"/>
                <w:w w:val="80"/>
              </w:rPr>
              <w: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Gross profit (loss)</w:t>
            </w:r>
          </w:p>
        </w:tc>
        <w:tc>
          <w:tcPr>
            <w:tcW w:w="6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13,868</w:t>
            </w:r>
          </w:p>
        </w:tc>
        <w:tc>
          <w:tcPr>
            <w:tcW w:w="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4,259</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18,127</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Marketing and selling</w:t>
            </w:r>
          </w:p>
        </w:tc>
        <w:tc>
          <w:tcPr>
            <w:tcW w:w="6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5,536</w:t>
            </w:r>
          </w:p>
        </w:tc>
        <w:tc>
          <w:tcPr>
            <w:tcW w:w="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1,623</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7,159</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6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3,208</w:t>
            </w:r>
          </w:p>
        </w:tc>
        <w:tc>
          <w:tcPr>
            <w:tcW w:w="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1,487</w:t>
            </w:r>
          </w:p>
        </w:tc>
        <w:tc>
          <w:tcPr>
            <w:tcW w:w="5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B</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4,583</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Research and product development</w:t>
            </w:r>
          </w:p>
        </w:tc>
        <w:tc>
          <w:tcPr>
            <w:tcW w:w="6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2,177</w:t>
            </w:r>
          </w:p>
        </w:tc>
        <w:tc>
          <w:tcPr>
            <w:tcW w:w="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341</w:t>
            </w: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2,518</w:t>
            </w:r>
          </w:p>
        </w:tc>
      </w:tr>
      <w:tr>
        <w:trPr>
          <w:trHeight w:val="171"/>
        </w:trPr>
        <w:tc>
          <w:tcPr>
            <w:tcW w:w="3800" w:type="dxa"/>
            <w:vAlign w:val="bottom"/>
          </w:tcPr>
          <w:p>
            <w:pPr>
              <w:spacing w:after="0"/>
              <w:rPr>
                <w:sz w:val="14"/>
                <w:szCs w:val="14"/>
                <w:color w:val="auto"/>
              </w:rPr>
            </w:pPr>
          </w:p>
        </w:tc>
        <w:tc>
          <w:tcPr>
            <w:tcW w:w="1520" w:type="dxa"/>
            <w:vAlign w:val="bottom"/>
            <w:gridSpan w:val="2"/>
          </w:tcPr>
          <w:p>
            <w:pPr>
              <w:ind w:left="460"/>
              <w:spacing w:after="0"/>
              <w:rPr>
                <w:sz w:val="20"/>
                <w:szCs w:val="20"/>
                <w:color w:val="auto"/>
              </w:rPr>
            </w:pPr>
            <w:r>
              <w:rPr>
                <w:rFonts w:ascii="Courier New" w:cs="Courier New" w:eastAsia="Courier New" w:hAnsi="Courier New"/>
                <w:sz w:val="5"/>
                <w:szCs w:val="5"/>
                <w:color w:val="auto"/>
                <w:w w:val="80"/>
              </w:rPr>
              <w: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6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10,921</w:t>
            </w:r>
          </w:p>
        </w:tc>
        <w:tc>
          <w:tcPr>
            <w:tcW w:w="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3,451</w:t>
            </w:r>
          </w:p>
        </w:tc>
        <w:tc>
          <w:tcPr>
            <w:tcW w:w="500" w:type="dxa"/>
            <w:vAlign w:val="bottom"/>
          </w:tcPr>
          <w:p>
            <w:pPr>
              <w:spacing w:after="0"/>
              <w:rPr>
                <w:sz w:val="14"/>
                <w:szCs w:val="14"/>
                <w:color w:val="auto"/>
              </w:rPr>
            </w:pPr>
          </w:p>
        </w:tc>
        <w:tc>
          <w:tcPr>
            <w:tcW w:w="8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w:t>
            </w:r>
          </w:p>
        </w:tc>
        <w:tc>
          <w:tcPr>
            <w:tcW w:w="44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14,260</w:t>
            </w:r>
          </w:p>
        </w:tc>
      </w:tr>
      <w:tr>
        <w:trPr>
          <w:trHeight w:val="171"/>
        </w:trPr>
        <w:tc>
          <w:tcPr>
            <w:tcW w:w="3800" w:type="dxa"/>
            <w:vAlign w:val="bottom"/>
          </w:tcPr>
          <w:p>
            <w:pPr>
              <w:spacing w:after="0"/>
              <w:rPr>
                <w:sz w:val="14"/>
                <w:szCs w:val="14"/>
                <w:color w:val="auto"/>
              </w:rPr>
            </w:pPr>
          </w:p>
        </w:tc>
        <w:tc>
          <w:tcPr>
            <w:tcW w:w="1520" w:type="dxa"/>
            <w:vAlign w:val="bottom"/>
            <w:gridSpan w:val="2"/>
          </w:tcPr>
          <w:p>
            <w:pPr>
              <w:ind w:left="460"/>
              <w:spacing w:after="0"/>
              <w:rPr>
                <w:sz w:val="20"/>
                <w:szCs w:val="20"/>
                <w:color w:val="auto"/>
              </w:rPr>
            </w:pPr>
            <w:r>
              <w:rPr>
                <w:rFonts w:ascii="Courier New" w:cs="Courier New" w:eastAsia="Courier New" w:hAnsi="Courier New"/>
                <w:sz w:val="5"/>
                <w:szCs w:val="5"/>
                <w:color w:val="auto"/>
                <w:w w:val="80"/>
              </w:rPr>
              <w: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6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2,947</w:t>
            </w:r>
          </w:p>
        </w:tc>
        <w:tc>
          <w:tcPr>
            <w:tcW w:w="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808</w:t>
            </w:r>
          </w:p>
        </w:tc>
        <w:tc>
          <w:tcPr>
            <w:tcW w:w="5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112</w:t>
            </w:r>
          </w:p>
        </w:tc>
        <w:tc>
          <w:tcPr>
            <w:tcW w:w="44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3,867</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620" w:type="dxa"/>
            <w:vAlign w:val="bottom"/>
          </w:tcPr>
          <w:p>
            <w:pPr>
              <w:spacing w:after="0"/>
              <w:rPr>
                <w:sz w:val="24"/>
                <w:szCs w:val="2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w:t>
            </w:r>
          </w:p>
        </w:tc>
        <w:tc>
          <w:tcPr>
            <w:tcW w:w="440" w:type="dxa"/>
            <w:vAlign w:val="bottom"/>
          </w:tcPr>
          <w:p>
            <w:pPr>
              <w:spacing w:after="0"/>
              <w:rPr>
                <w:sz w:val="24"/>
                <w:szCs w:val="2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(18)</w:t>
            </w: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67</w:t>
            </w:r>
          </w:p>
        </w:tc>
      </w:tr>
      <w:tr>
        <w:trPr>
          <w:trHeight w:val="171"/>
        </w:trPr>
        <w:tc>
          <w:tcPr>
            <w:tcW w:w="3800" w:type="dxa"/>
            <w:vAlign w:val="bottom"/>
          </w:tcPr>
          <w:p>
            <w:pPr>
              <w:spacing w:after="0"/>
              <w:rPr>
                <w:sz w:val="14"/>
                <w:szCs w:val="14"/>
                <w:color w:val="auto"/>
              </w:rPr>
            </w:pPr>
          </w:p>
        </w:tc>
        <w:tc>
          <w:tcPr>
            <w:tcW w:w="1520" w:type="dxa"/>
            <w:vAlign w:val="bottom"/>
            <w:gridSpan w:val="2"/>
          </w:tcPr>
          <w:p>
            <w:pPr>
              <w:ind w:left="460"/>
              <w:spacing w:after="0"/>
              <w:rPr>
                <w:sz w:val="20"/>
                <w:szCs w:val="20"/>
                <w:color w:val="auto"/>
              </w:rPr>
            </w:pPr>
            <w:r>
              <w:rPr>
                <w:rFonts w:ascii="Courier New" w:cs="Courier New" w:eastAsia="Courier New" w:hAnsi="Courier New"/>
                <w:sz w:val="5"/>
                <w:szCs w:val="5"/>
                <w:color w:val="auto"/>
                <w:w w:val="80"/>
              </w:rPr>
              <w: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6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3,032</w:t>
            </w:r>
          </w:p>
        </w:tc>
        <w:tc>
          <w:tcPr>
            <w:tcW w:w="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790</w:t>
            </w:r>
          </w:p>
        </w:tc>
        <w:tc>
          <w:tcPr>
            <w:tcW w:w="5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112</w:t>
            </w:r>
          </w:p>
        </w:tc>
        <w:tc>
          <w:tcPr>
            <w:tcW w:w="44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3,934</w:t>
            </w:r>
          </w:p>
        </w:tc>
      </w:tr>
      <w:tr>
        <w:trPr>
          <w:trHeight w:val="171"/>
        </w:trPr>
        <w:tc>
          <w:tcPr>
            <w:tcW w:w="3800" w:type="dxa"/>
            <w:vAlign w:val="bottom"/>
          </w:tcPr>
          <w:p>
            <w:pPr>
              <w:ind w:left="160"/>
              <w:spacing w:after="0"/>
              <w:rPr>
                <w:sz w:val="20"/>
                <w:szCs w:val="20"/>
                <w:color w:val="auto"/>
              </w:rPr>
            </w:pPr>
            <w:r>
              <w:rPr>
                <w:rFonts w:ascii="Courier New" w:cs="Courier New" w:eastAsia="Courier New" w:hAnsi="Courier New"/>
                <w:sz w:val="15"/>
                <w:szCs w:val="15"/>
                <w:color w:val="auto"/>
              </w:rPr>
              <w:t>before income taxes</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62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1,723</w:t>
            </w:r>
          </w:p>
        </w:tc>
        <w:tc>
          <w:tcPr>
            <w:tcW w:w="440" w:type="dxa"/>
            <w:vAlign w:val="bottom"/>
          </w:tcPr>
          <w:p>
            <w:pPr>
              <w:spacing w:after="0"/>
              <w:rPr>
                <w:sz w:val="14"/>
                <w:szCs w:val="14"/>
                <w:color w:val="auto"/>
              </w:rPr>
            </w:pP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309</w:t>
            </w:r>
          </w:p>
        </w:tc>
        <w:tc>
          <w:tcPr>
            <w:tcW w:w="500" w:type="dxa"/>
            <w:vAlign w:val="bottom"/>
          </w:tcPr>
          <w:p>
            <w:pPr>
              <w:spacing w:after="0"/>
              <w:rPr>
                <w:sz w:val="14"/>
                <w:szCs w:val="14"/>
                <w:color w:val="auto"/>
              </w:rPr>
            </w:pP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42</w:t>
            </w: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D</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2,074</w:t>
            </w:r>
          </w:p>
        </w:tc>
      </w:tr>
      <w:tr>
        <w:trPr>
          <w:trHeight w:val="171"/>
        </w:trPr>
        <w:tc>
          <w:tcPr>
            <w:tcW w:w="3800" w:type="dxa"/>
            <w:vAlign w:val="bottom"/>
          </w:tcPr>
          <w:p>
            <w:pPr>
              <w:spacing w:after="0"/>
              <w:rPr>
                <w:sz w:val="14"/>
                <w:szCs w:val="14"/>
                <w:color w:val="auto"/>
              </w:rPr>
            </w:pPr>
          </w:p>
        </w:tc>
        <w:tc>
          <w:tcPr>
            <w:tcW w:w="1520" w:type="dxa"/>
            <w:vAlign w:val="bottom"/>
            <w:gridSpan w:val="2"/>
          </w:tcPr>
          <w:p>
            <w:pPr>
              <w:ind w:left="460"/>
              <w:spacing w:after="0"/>
              <w:rPr>
                <w:sz w:val="20"/>
                <w:szCs w:val="20"/>
                <w:color w:val="auto"/>
              </w:rPr>
            </w:pPr>
            <w:r>
              <w:rPr>
                <w:rFonts w:ascii="Courier New" w:cs="Courier New" w:eastAsia="Courier New" w:hAnsi="Courier New"/>
                <w:sz w:val="5"/>
                <w:szCs w:val="5"/>
                <w:color w:val="auto"/>
                <w:w w:val="80"/>
              </w:rPr>
              <w: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620" w:type="dxa"/>
            <w:vAlign w:val="bottom"/>
          </w:tcPr>
          <w:p>
            <w:pPr>
              <w:ind w:left="54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1,309</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481</w:t>
            </w:r>
          </w:p>
        </w:tc>
        <w:tc>
          <w:tcPr>
            <w:tcW w:w="500" w:type="dxa"/>
            <w:vAlign w:val="bottom"/>
          </w:tcPr>
          <w:p>
            <w:pPr>
              <w:ind w:left="28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70</w:t>
            </w:r>
          </w:p>
        </w:tc>
        <w:tc>
          <w:tcPr>
            <w:tcW w:w="44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$ 1,860</w:t>
            </w:r>
          </w:p>
        </w:tc>
      </w:tr>
      <w:tr>
        <w:trPr>
          <w:trHeight w:val="171"/>
        </w:trPr>
        <w:tc>
          <w:tcPr>
            <w:tcW w:w="3800" w:type="dxa"/>
            <w:vAlign w:val="bottom"/>
          </w:tcPr>
          <w:p>
            <w:pPr>
              <w:spacing w:after="0"/>
              <w:rPr>
                <w:sz w:val="14"/>
                <w:szCs w:val="14"/>
                <w:color w:val="auto"/>
              </w:rPr>
            </w:pPr>
          </w:p>
        </w:tc>
        <w:tc>
          <w:tcPr>
            <w:tcW w:w="4580" w:type="dxa"/>
            <w:vAlign w:val="bottom"/>
            <w:gridSpan w:val="7"/>
          </w:tcPr>
          <w:p>
            <w:pPr>
              <w:ind w:left="46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ind w:left="14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38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$ 0.17</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$ 0.16</w:t>
            </w:r>
          </w:p>
        </w:tc>
      </w:tr>
      <w:tr>
        <w:trPr>
          <w:trHeight w:val="171"/>
        </w:trPr>
        <w:tc>
          <w:tcPr>
            <w:tcW w:w="380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171"/>
        </w:trPr>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Basic</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10,877</w:t>
            </w:r>
          </w:p>
        </w:tc>
      </w:tr>
      <w:tr>
        <w:trPr>
          <w:trHeight w:val="171"/>
        </w:trPr>
        <w:tc>
          <w:tcPr>
            <w:tcW w:w="3800" w:type="dxa"/>
            <w:vAlign w:val="bottom"/>
          </w:tcPr>
          <w:p>
            <w:pPr>
              <w:ind w:left="340"/>
              <w:spacing w:after="0"/>
              <w:rPr>
                <w:sz w:val="20"/>
                <w:szCs w:val="20"/>
                <w:color w:val="auto"/>
              </w:rPr>
            </w:pPr>
            <w:r>
              <w:rPr>
                <w:rFonts w:ascii="Courier New" w:cs="Courier New" w:eastAsia="Courier New" w:hAnsi="Courier New"/>
                <w:sz w:val="15"/>
                <w:szCs w:val="15"/>
                <w:color w:val="auto"/>
              </w:rPr>
              <w:t>Diluted</w:t>
            </w:r>
          </w:p>
        </w:tc>
        <w:tc>
          <w:tcPr>
            <w:tcW w:w="6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11,486</w:t>
            </w:r>
          </w:p>
        </w:tc>
      </w:tr>
    </w:tbl>
    <w:p>
      <w:pPr>
        <w:spacing w:after="0" w:line="200" w:lineRule="exact"/>
        <w:rPr>
          <w:sz w:val="20"/>
          <w:szCs w:val="20"/>
          <w:color w:val="auto"/>
        </w:rPr>
      </w:pPr>
    </w:p>
    <w:p>
      <w:pPr>
        <w:spacing w:after="0" w:line="31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See accompanying notes to unaudited pro forma condensed</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combined financial statements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799" w:right="1440" w:bottom="116" w:gutter="0" w:footer="0" w:header="0"/>
        </w:sectPr>
      </w:pPr>
    </w:p>
    <w:bookmarkStart w:id="22" w:name="page23"/>
    <w:bookmarkEnd w:id="22"/>
    <w:p>
      <w:pPr>
        <w:ind w:left="2300"/>
        <w:spacing w:after="0"/>
        <w:rPr>
          <w:sz w:val="20"/>
          <w:szCs w:val="20"/>
          <w:color w:val="auto"/>
        </w:rPr>
      </w:pPr>
      <w:r>
        <w:rPr>
          <w:rFonts w:ascii="Courier New" w:cs="Courier New" w:eastAsia="Courier New" w:hAnsi="Courier New"/>
          <w:sz w:val="15"/>
          <w:szCs w:val="15"/>
          <w:color w:val="auto"/>
        </w:rPr>
        <w:t>Unaudited Pro Forma Condensed Combined Statements of Operations</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For the fiscal year ended June 30, 2001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60" w:type="dxa"/>
            <w:vAlign w:val="bottom"/>
          </w:tcPr>
          <w:p>
            <w:pPr>
              <w:spacing w:after="0"/>
              <w:rPr>
                <w:sz w:val="14"/>
                <w:szCs w:val="14"/>
                <w:color w:val="auto"/>
              </w:rPr>
            </w:pPr>
          </w:p>
        </w:tc>
        <w:tc>
          <w:tcPr>
            <w:tcW w:w="1640" w:type="dxa"/>
            <w:vAlign w:val="bottom"/>
            <w:gridSpan w:val="2"/>
          </w:tcPr>
          <w:p>
            <w:pPr>
              <w:jc w:val="right"/>
              <w:ind w:right="386"/>
              <w:spacing w:after="0"/>
              <w:rPr>
                <w:sz w:val="20"/>
                <w:szCs w:val="20"/>
                <w:color w:val="auto"/>
              </w:rPr>
            </w:pPr>
            <w:r>
              <w:rPr>
                <w:rFonts w:ascii="Courier New" w:cs="Courier New" w:eastAsia="Courier New" w:hAnsi="Courier New"/>
                <w:sz w:val="15"/>
                <w:szCs w:val="15"/>
                <w:color w:val="auto"/>
              </w:rPr>
              <w:t>(in `000s)</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41"/>
        </w:trPr>
        <w:tc>
          <w:tcPr>
            <w:tcW w:w="3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2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Pro Forma</w:t>
            </w: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3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6"/>
              </w:rPr>
              <w:t>Adjustments</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for Ivron</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164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ClearOne</w:t>
            </w:r>
          </w:p>
        </w:tc>
        <w:tc>
          <w:tcPr>
            <w:tcW w:w="340" w:type="dxa"/>
            <w:vAlign w:val="bottom"/>
          </w:tcPr>
          <w:p>
            <w:pPr>
              <w:spacing w:after="0"/>
              <w:rPr>
                <w:sz w:val="14"/>
                <w:szCs w:val="14"/>
                <w:color w:val="auto"/>
              </w:rPr>
            </w:pPr>
          </w:p>
        </w:tc>
        <w:tc>
          <w:tcPr>
            <w:tcW w:w="900" w:type="dxa"/>
            <w:vAlign w:val="bottom"/>
          </w:tcPr>
          <w:p>
            <w:pPr>
              <w:jc w:val="right"/>
              <w:ind w:right="366"/>
              <w:spacing w:after="0"/>
              <w:rPr>
                <w:sz w:val="20"/>
                <w:szCs w:val="20"/>
                <w:color w:val="auto"/>
              </w:rPr>
            </w:pPr>
            <w:r>
              <w:rPr>
                <w:rFonts w:ascii="Courier New" w:cs="Courier New" w:eastAsia="Courier New" w:hAnsi="Courier New"/>
                <w:sz w:val="15"/>
                <w:szCs w:val="15"/>
                <w:color w:val="auto"/>
                <w:w w:val="97"/>
              </w:rPr>
              <w:t>Ivron</w:t>
            </w:r>
          </w:p>
        </w:tc>
        <w:tc>
          <w:tcPr>
            <w:tcW w:w="1420" w:type="dxa"/>
            <w:vAlign w:val="bottom"/>
            <w:gridSpan w:val="2"/>
          </w:tcPr>
          <w:p>
            <w:pPr>
              <w:jc w:val="center"/>
              <w:ind w:right="6"/>
              <w:spacing w:after="0"/>
              <w:rPr>
                <w:sz w:val="20"/>
                <w:szCs w:val="20"/>
                <w:color w:val="auto"/>
              </w:rPr>
            </w:pPr>
            <w:r>
              <w:rPr>
                <w:rFonts w:ascii="Courier New" w:cs="Courier New" w:eastAsia="Courier New" w:hAnsi="Courier New"/>
                <w:sz w:val="15"/>
                <w:szCs w:val="15"/>
                <w:color w:val="auto"/>
                <w:w w:val="98"/>
              </w:rPr>
              <w:t>Systems</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16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(Historical)</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(Historical)</w:t>
            </w:r>
          </w:p>
        </w:tc>
        <w:tc>
          <w:tcPr>
            <w:tcW w:w="142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6"/>
              </w:rPr>
              <w:t>Acquisition</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5000" w:type="dxa"/>
            <w:vAlign w:val="bottom"/>
            <w:gridSpan w:val="7"/>
          </w:tcPr>
          <w:p>
            <w:pPr>
              <w:ind w:left="480"/>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spacing w:after="0"/>
              <w:rPr>
                <w:sz w:val="14"/>
                <w:szCs w:val="14"/>
                <w:color w:val="auto"/>
              </w:rPr>
            </w:pPr>
          </w:p>
        </w:tc>
      </w:tr>
      <w:tr>
        <w:trPr>
          <w:trHeight w:val="512"/>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740" w:type="dxa"/>
            <w:vAlign w:val="bottom"/>
          </w:tcPr>
          <w:p>
            <w:pPr>
              <w:spacing w:after="0"/>
              <w:rPr>
                <w:sz w:val="24"/>
                <w:szCs w:val="2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$39,878</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608</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16,503</w:t>
            </w:r>
          </w:p>
        </w:tc>
        <w:tc>
          <w:tcPr>
            <w:tcW w:w="34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798</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4300" w:type="dxa"/>
            <w:vAlign w:val="bottom"/>
            <w:gridSpan w:val="6"/>
          </w:tcPr>
          <w:p>
            <w:pPr>
              <w:ind w:left="4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Gross profit (loss)</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23,375</w:t>
            </w:r>
          </w:p>
        </w:tc>
        <w:tc>
          <w:tcPr>
            <w:tcW w:w="3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(190)</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Marketing and selling</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7,753</w:t>
            </w:r>
          </w:p>
        </w:tc>
        <w:tc>
          <w:tcPr>
            <w:tcW w:w="34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1,588</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4,649</w:t>
            </w:r>
          </w:p>
        </w:tc>
        <w:tc>
          <w:tcPr>
            <w:tcW w:w="34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555</w:t>
            </w:r>
          </w:p>
        </w:tc>
        <w:tc>
          <w:tcPr>
            <w:tcW w:w="4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(182)</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B</w:t>
            </w:r>
          </w:p>
        </w:tc>
        <w:tc>
          <w:tcPr>
            <w:tcW w:w="1080" w:type="dxa"/>
            <w:vAlign w:val="bottom"/>
          </w:tcPr>
          <w:p>
            <w:pPr>
              <w:spacing w:after="0"/>
              <w:rPr>
                <w:sz w:val="14"/>
                <w:szCs w:val="1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Research and product development</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2,502</w:t>
            </w:r>
          </w:p>
        </w:tc>
        <w:tc>
          <w:tcPr>
            <w:tcW w:w="34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732</w:t>
            </w:r>
          </w:p>
        </w:tc>
        <w:tc>
          <w:tcPr>
            <w:tcW w:w="480" w:type="dxa"/>
            <w:vAlign w:val="bottom"/>
          </w:tcPr>
          <w:p>
            <w:pPr>
              <w:spacing w:after="0"/>
              <w:rPr>
                <w:sz w:val="14"/>
                <w:szCs w:val="14"/>
                <w:color w:val="auto"/>
              </w:rPr>
            </w:pPr>
          </w:p>
        </w:tc>
        <w:tc>
          <w:tcPr>
            <w:tcW w:w="9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555</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C</w:t>
            </w:r>
          </w:p>
        </w:tc>
        <w:tc>
          <w:tcPr>
            <w:tcW w:w="108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4300" w:type="dxa"/>
            <w:vAlign w:val="bottom"/>
            <w:gridSpan w:val="6"/>
          </w:tcPr>
          <w:p>
            <w:pPr>
              <w:ind w:left="4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14,904</w:t>
            </w:r>
          </w:p>
        </w:tc>
        <w:tc>
          <w:tcPr>
            <w:tcW w:w="340" w:type="dxa"/>
            <w:vAlign w:val="bottom"/>
          </w:tcPr>
          <w:p>
            <w:pPr>
              <w:spacing w:after="0"/>
              <w:rPr>
                <w:sz w:val="14"/>
                <w:szCs w:val="14"/>
                <w:color w:val="auto"/>
              </w:rPr>
            </w:pPr>
          </w:p>
        </w:tc>
        <w:tc>
          <w:tcPr>
            <w:tcW w:w="9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2,875</w:t>
            </w:r>
          </w:p>
        </w:tc>
        <w:tc>
          <w:tcPr>
            <w:tcW w:w="480" w:type="dxa"/>
            <w:vAlign w:val="bottom"/>
          </w:tcPr>
          <w:p>
            <w:pPr>
              <w:spacing w:after="0"/>
              <w:rPr>
                <w:sz w:val="14"/>
                <w:szCs w:val="14"/>
                <w:color w:val="auto"/>
              </w:rPr>
            </w:pPr>
          </w:p>
        </w:tc>
        <w:tc>
          <w:tcPr>
            <w:tcW w:w="9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373</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4300" w:type="dxa"/>
            <w:vAlign w:val="bottom"/>
            <w:gridSpan w:val="6"/>
          </w:tcPr>
          <w:p>
            <w:pPr>
              <w:ind w:left="4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8,471</w:t>
            </w:r>
          </w:p>
        </w:tc>
        <w:tc>
          <w:tcPr>
            <w:tcW w:w="3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(3,065)</w:t>
            </w:r>
          </w:p>
        </w:tc>
        <w:tc>
          <w:tcPr>
            <w:tcW w:w="480" w:type="dxa"/>
            <w:vAlign w:val="bottom"/>
          </w:tcPr>
          <w:p>
            <w:pPr>
              <w:spacing w:after="0"/>
              <w:rPr>
                <w:sz w:val="14"/>
                <w:szCs w:val="14"/>
                <w:color w:val="auto"/>
              </w:rPr>
            </w:pP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(373)</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740" w:type="dxa"/>
            <w:vAlign w:val="bottom"/>
          </w:tcPr>
          <w:p>
            <w:pPr>
              <w:spacing w:after="0"/>
              <w:rPr>
                <w:sz w:val="24"/>
                <w:szCs w:val="2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373</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3860" w:type="dxa"/>
            <w:vAlign w:val="bottom"/>
          </w:tcPr>
          <w:p>
            <w:pPr>
              <w:spacing w:after="0"/>
              <w:rPr>
                <w:sz w:val="14"/>
                <w:szCs w:val="14"/>
                <w:color w:val="auto"/>
              </w:rPr>
            </w:pPr>
          </w:p>
        </w:tc>
        <w:tc>
          <w:tcPr>
            <w:tcW w:w="4300" w:type="dxa"/>
            <w:vAlign w:val="bottom"/>
            <w:gridSpan w:val="6"/>
          </w:tcPr>
          <w:p>
            <w:pPr>
              <w:ind w:left="4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8,844</w:t>
            </w:r>
          </w:p>
        </w:tc>
        <w:tc>
          <w:tcPr>
            <w:tcW w:w="3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(3,065)</w:t>
            </w:r>
          </w:p>
        </w:tc>
        <w:tc>
          <w:tcPr>
            <w:tcW w:w="480" w:type="dxa"/>
            <w:vAlign w:val="bottom"/>
          </w:tcPr>
          <w:p>
            <w:pPr>
              <w:spacing w:after="0"/>
              <w:rPr>
                <w:sz w:val="14"/>
                <w:szCs w:val="14"/>
                <w:color w:val="auto"/>
              </w:rPr>
            </w:pP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(373)</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before income taxes</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3,319</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(139)</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D</w:t>
            </w:r>
          </w:p>
        </w:tc>
        <w:tc>
          <w:tcPr>
            <w:tcW w:w="108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4300" w:type="dxa"/>
            <w:vAlign w:val="bottom"/>
            <w:gridSpan w:val="6"/>
          </w:tcPr>
          <w:p>
            <w:pPr>
              <w:ind w:left="4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$ 5,525</w:t>
            </w: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$(3,065)</w:t>
            </w:r>
          </w:p>
        </w:tc>
        <w:tc>
          <w:tcPr>
            <w:tcW w:w="4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(234)</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spacing w:after="0"/>
              <w:rPr>
                <w:sz w:val="14"/>
                <w:szCs w:val="14"/>
                <w:color w:val="auto"/>
              </w:rPr>
            </w:pPr>
          </w:p>
        </w:tc>
        <w:tc>
          <w:tcPr>
            <w:tcW w:w="4300" w:type="dxa"/>
            <w:vAlign w:val="bottom"/>
            <w:gridSpan w:val="6"/>
          </w:tcPr>
          <w:p>
            <w:pPr>
              <w:ind w:left="4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740" w:type="dxa"/>
            <w:vAlign w:val="bottom"/>
          </w:tcPr>
          <w:p>
            <w:pPr>
              <w:ind w:left="6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0.64</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740" w:type="dxa"/>
            <w:vAlign w:val="bottom"/>
          </w:tcPr>
          <w:p>
            <w:pPr>
              <w:ind w:left="6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0.61</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Basic</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8,594</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Diluted</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9,016</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853"/>
        </w:trPr>
        <w:tc>
          <w:tcPr>
            <w:tcW w:w="3860" w:type="dxa"/>
            <w:vAlign w:val="bottom"/>
          </w:tcPr>
          <w:p>
            <w:pPr>
              <w:spacing w:after="0"/>
              <w:rPr>
                <w:sz w:val="24"/>
                <w:szCs w:val="24"/>
                <w:color w:val="auto"/>
              </w:rPr>
            </w:pPr>
          </w:p>
        </w:tc>
        <w:tc>
          <w:tcPr>
            <w:tcW w:w="1640" w:type="dxa"/>
            <w:vAlign w:val="bottom"/>
            <w:gridSpan w:val="2"/>
          </w:tcPr>
          <w:p>
            <w:pPr>
              <w:jc w:val="center"/>
              <w:ind w:left="215"/>
              <w:spacing w:after="0"/>
              <w:rPr>
                <w:sz w:val="20"/>
                <w:szCs w:val="20"/>
                <w:color w:val="auto"/>
              </w:rPr>
            </w:pPr>
            <w:r>
              <w:rPr>
                <w:rFonts w:ascii="Courier New" w:cs="Courier New" w:eastAsia="Courier New" w:hAnsi="Courier New"/>
                <w:sz w:val="15"/>
                <w:szCs w:val="15"/>
                <w:color w:val="auto"/>
                <w:w w:val="98"/>
              </w:rPr>
              <w:t>Pro Forma</w:t>
            </w: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Pro Forma</w:t>
            </w:r>
          </w:p>
        </w:tc>
      </w:tr>
      <w:tr>
        <w:trPr>
          <w:trHeight w:val="171"/>
        </w:trPr>
        <w:tc>
          <w:tcPr>
            <w:tcW w:w="3860" w:type="dxa"/>
            <w:vAlign w:val="bottom"/>
          </w:tcPr>
          <w:p>
            <w:pPr>
              <w:spacing w:after="0"/>
              <w:rPr>
                <w:sz w:val="14"/>
                <w:szCs w:val="14"/>
                <w:color w:val="auto"/>
              </w:rPr>
            </w:pPr>
          </w:p>
        </w:tc>
        <w:tc>
          <w:tcPr>
            <w:tcW w:w="164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Combined</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8"/>
              </w:rPr>
              <w:t>Pro Forma</w:t>
            </w:r>
          </w:p>
        </w:tc>
        <w:tc>
          <w:tcPr>
            <w:tcW w:w="17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Combined for</w:t>
            </w:r>
          </w:p>
        </w:tc>
      </w:tr>
      <w:tr>
        <w:trPr>
          <w:trHeight w:val="171"/>
        </w:trPr>
        <w:tc>
          <w:tcPr>
            <w:tcW w:w="3860" w:type="dxa"/>
            <w:vAlign w:val="bottom"/>
          </w:tcPr>
          <w:p>
            <w:pPr>
              <w:spacing w:after="0"/>
              <w:rPr>
                <w:sz w:val="14"/>
                <w:szCs w:val="14"/>
                <w:color w:val="auto"/>
              </w:rPr>
            </w:pPr>
          </w:p>
        </w:tc>
        <w:tc>
          <w:tcPr>
            <w:tcW w:w="1640" w:type="dxa"/>
            <w:vAlign w:val="bottom"/>
            <w:gridSpan w:val="2"/>
          </w:tcPr>
          <w:p>
            <w:pPr>
              <w:jc w:val="center"/>
              <w:ind w:left="215"/>
              <w:spacing w:after="0"/>
              <w:rPr>
                <w:sz w:val="20"/>
                <w:szCs w:val="20"/>
                <w:color w:val="auto"/>
              </w:rPr>
            </w:pPr>
            <w:r>
              <w:rPr>
                <w:rFonts w:ascii="Courier New" w:cs="Courier New" w:eastAsia="Courier New" w:hAnsi="Courier New"/>
                <w:sz w:val="15"/>
                <w:szCs w:val="15"/>
                <w:color w:val="auto"/>
                <w:w w:val="98"/>
              </w:rPr>
              <w:t>for Ivron</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2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6"/>
              </w:rPr>
              <w:t>Adjustments</w:t>
            </w:r>
          </w:p>
        </w:tc>
        <w:tc>
          <w:tcPr>
            <w:tcW w:w="17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Ivron Systems</w:t>
            </w:r>
          </w:p>
        </w:tc>
      </w:tr>
      <w:tr>
        <w:trPr>
          <w:trHeight w:val="171"/>
        </w:trPr>
        <w:tc>
          <w:tcPr>
            <w:tcW w:w="3860" w:type="dxa"/>
            <w:vAlign w:val="bottom"/>
          </w:tcPr>
          <w:p>
            <w:pPr>
              <w:spacing w:after="0"/>
              <w:rPr>
                <w:sz w:val="14"/>
                <w:szCs w:val="14"/>
                <w:color w:val="auto"/>
              </w:rPr>
            </w:pPr>
          </w:p>
        </w:tc>
        <w:tc>
          <w:tcPr>
            <w:tcW w:w="164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Systems</w:t>
            </w:r>
          </w:p>
        </w:tc>
        <w:tc>
          <w:tcPr>
            <w:tcW w:w="124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E.mergent</w:t>
            </w:r>
          </w:p>
        </w:tc>
        <w:tc>
          <w:tcPr>
            <w:tcW w:w="142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9"/>
              </w:rPr>
              <w:t>for E.mergent</w:t>
            </w:r>
          </w:p>
        </w:tc>
        <w:tc>
          <w:tcPr>
            <w:tcW w:w="178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and E.mergent</w:t>
            </w:r>
          </w:p>
        </w:tc>
      </w:tr>
      <w:tr>
        <w:trPr>
          <w:trHeight w:val="171"/>
        </w:trPr>
        <w:tc>
          <w:tcPr>
            <w:tcW w:w="3860" w:type="dxa"/>
            <w:vAlign w:val="bottom"/>
          </w:tcPr>
          <w:p>
            <w:pPr>
              <w:spacing w:after="0"/>
              <w:rPr>
                <w:sz w:val="14"/>
                <w:szCs w:val="14"/>
                <w:color w:val="auto"/>
              </w:rPr>
            </w:pPr>
          </w:p>
        </w:tc>
        <w:tc>
          <w:tcPr>
            <w:tcW w:w="1640" w:type="dxa"/>
            <w:vAlign w:val="bottom"/>
            <w:gridSpan w:val="2"/>
          </w:tcPr>
          <w:p>
            <w:pPr>
              <w:jc w:val="center"/>
              <w:ind w:left="235"/>
              <w:spacing w:after="0"/>
              <w:rPr>
                <w:sz w:val="20"/>
                <w:szCs w:val="20"/>
                <w:color w:val="auto"/>
              </w:rPr>
            </w:pPr>
            <w:r>
              <w:rPr>
                <w:rFonts w:ascii="Courier New" w:cs="Courier New" w:eastAsia="Courier New" w:hAnsi="Courier New"/>
                <w:sz w:val="15"/>
                <w:szCs w:val="15"/>
                <w:color w:val="auto"/>
                <w:w w:val="98"/>
              </w:rPr>
              <w:t>Acquisition</w:t>
            </w:r>
          </w:p>
        </w:tc>
        <w:tc>
          <w:tcPr>
            <w:tcW w:w="1240" w:type="dxa"/>
            <w:vAlign w:val="bottom"/>
            <w:gridSpan w:val="2"/>
          </w:tcPr>
          <w:p>
            <w:pPr>
              <w:jc w:val="right"/>
              <w:ind w:right="26"/>
              <w:spacing w:after="0"/>
              <w:rPr>
                <w:sz w:val="20"/>
                <w:szCs w:val="20"/>
                <w:color w:val="auto"/>
              </w:rPr>
            </w:pPr>
            <w:r>
              <w:rPr>
                <w:rFonts w:ascii="Courier New" w:cs="Courier New" w:eastAsia="Courier New" w:hAnsi="Courier New"/>
                <w:sz w:val="15"/>
                <w:szCs w:val="15"/>
                <w:color w:val="auto"/>
              </w:rPr>
              <w:t>(Historical)</w:t>
            </w:r>
          </w:p>
        </w:tc>
        <w:tc>
          <w:tcPr>
            <w:tcW w:w="1420" w:type="dxa"/>
            <w:vAlign w:val="bottom"/>
            <w:gridSpan w:val="2"/>
          </w:tcPr>
          <w:p>
            <w:pPr>
              <w:jc w:val="center"/>
              <w:ind w:right="26"/>
              <w:spacing w:after="0"/>
              <w:rPr>
                <w:sz w:val="20"/>
                <w:szCs w:val="20"/>
                <w:color w:val="auto"/>
              </w:rPr>
            </w:pPr>
            <w:r>
              <w:rPr>
                <w:rFonts w:ascii="Courier New" w:cs="Courier New" w:eastAsia="Courier New" w:hAnsi="Courier New"/>
                <w:sz w:val="15"/>
                <w:szCs w:val="15"/>
                <w:color w:val="auto"/>
                <w:w w:val="96"/>
              </w:rPr>
              <w:t>Acquisition</w:t>
            </w:r>
          </w:p>
        </w:tc>
        <w:tc>
          <w:tcPr>
            <w:tcW w:w="178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Acquisitions</w:t>
            </w:r>
          </w:p>
        </w:tc>
      </w:tr>
      <w:tr>
        <w:trPr>
          <w:trHeight w:val="171"/>
        </w:trPr>
        <w:tc>
          <w:tcPr>
            <w:tcW w:w="3860" w:type="dxa"/>
            <w:vAlign w:val="bottom"/>
          </w:tcPr>
          <w:p>
            <w:pPr>
              <w:spacing w:after="0"/>
              <w:rPr>
                <w:sz w:val="14"/>
                <w:szCs w:val="14"/>
                <w:color w:val="auto"/>
              </w:rPr>
            </w:pPr>
          </w:p>
        </w:tc>
        <w:tc>
          <w:tcPr>
            <w:tcW w:w="6080" w:type="dxa"/>
            <w:vAlign w:val="bottom"/>
            <w:gridSpan w:val="8"/>
          </w:tcPr>
          <w:p>
            <w:pPr>
              <w:ind w:left="480"/>
              <w:spacing w:after="0"/>
              <w:rPr>
                <w:sz w:val="20"/>
                <w:szCs w:val="20"/>
                <w:color w:val="auto"/>
              </w:rPr>
            </w:pPr>
            <w:r>
              <w:rPr>
                <w:rFonts w:ascii="Courier New" w:cs="Courier New" w:eastAsia="Courier New" w:hAnsi="Courier New"/>
                <w:sz w:val="15"/>
                <w:szCs w:val="15"/>
                <w:color w:val="auto"/>
                <w:w w:val="98"/>
              </w:rPr>
              <w:t>---------------------------------------------------------------</w:t>
            </w:r>
          </w:p>
        </w:tc>
      </w:tr>
      <w:tr>
        <w:trPr>
          <w:trHeight w:val="512"/>
        </w:trPr>
        <w:tc>
          <w:tcPr>
            <w:tcW w:w="386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740" w:type="dxa"/>
            <w:vAlign w:val="bottom"/>
          </w:tcPr>
          <w:p>
            <w:pPr>
              <w:spacing w:after="0"/>
              <w:rPr>
                <w:sz w:val="24"/>
                <w:szCs w:val="2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$40,486</w:t>
            </w:r>
          </w:p>
        </w:tc>
        <w:tc>
          <w:tcPr>
            <w:tcW w:w="340" w:type="dxa"/>
            <w:vAlign w:val="bottom"/>
          </w:tcPr>
          <w:p>
            <w:pPr>
              <w:spacing w:after="0"/>
              <w:rPr>
                <w:sz w:val="24"/>
                <w:szCs w:val="2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95"/>
              </w:rPr>
              <w:t>$22,503</w:t>
            </w:r>
          </w:p>
        </w:tc>
        <w:tc>
          <w:tcPr>
            <w:tcW w:w="480" w:type="dxa"/>
            <w:vAlign w:val="bottom"/>
          </w:tcPr>
          <w:p>
            <w:pPr>
              <w:spacing w:after="0"/>
              <w:rPr>
                <w:sz w:val="24"/>
                <w:szCs w:val="24"/>
                <w:color w:val="auto"/>
              </w:rPr>
            </w:pP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$(188)</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L</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5"/>
              </w:rPr>
              <w:t>$62,801</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17,301</w:t>
            </w:r>
          </w:p>
        </w:tc>
        <w:tc>
          <w:tcPr>
            <w:tcW w:w="3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14,270</w:t>
            </w:r>
          </w:p>
        </w:tc>
        <w:tc>
          <w:tcPr>
            <w:tcW w:w="480" w:type="dxa"/>
            <w:vAlign w:val="bottom"/>
          </w:tcPr>
          <w:p>
            <w:pPr>
              <w:spacing w:after="0"/>
              <w:rPr>
                <w:sz w:val="14"/>
                <w:szCs w:val="14"/>
                <w:color w:val="auto"/>
              </w:rPr>
            </w:pP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(188)</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L</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31,383</w:t>
            </w:r>
          </w:p>
        </w:tc>
      </w:tr>
      <w:tr>
        <w:trPr>
          <w:trHeight w:val="171"/>
        </w:trPr>
        <w:tc>
          <w:tcPr>
            <w:tcW w:w="3860" w:type="dxa"/>
            <w:vAlign w:val="bottom"/>
          </w:tcPr>
          <w:p>
            <w:pPr>
              <w:spacing w:after="0"/>
              <w:rPr>
                <w:sz w:val="14"/>
                <w:szCs w:val="14"/>
                <w:color w:val="auto"/>
              </w:rPr>
            </w:pPr>
          </w:p>
        </w:tc>
        <w:tc>
          <w:tcPr>
            <w:tcW w:w="1640" w:type="dxa"/>
            <w:vAlign w:val="bottom"/>
            <w:gridSpan w:val="2"/>
          </w:tcPr>
          <w:p>
            <w:pPr>
              <w:ind w:left="480"/>
              <w:spacing w:after="0"/>
              <w:rPr>
                <w:sz w:val="20"/>
                <w:szCs w:val="20"/>
                <w:color w:val="auto"/>
              </w:rPr>
            </w:pPr>
            <w:r>
              <w:rPr>
                <w:rFonts w:ascii="Courier New" w:cs="Courier New" w:eastAsia="Courier New" w:hAnsi="Courier New"/>
                <w:sz w:val="6"/>
                <w:szCs w:val="6"/>
                <w:color w:val="auto"/>
                <w:w w:val="73"/>
              </w:rPr>
              <w: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Gross profit (loss)</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23,185</w:t>
            </w:r>
          </w:p>
        </w:tc>
        <w:tc>
          <w:tcPr>
            <w:tcW w:w="3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8,233</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31,418</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Marketing and selling</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9,341</w:t>
            </w:r>
          </w:p>
        </w:tc>
        <w:tc>
          <w:tcPr>
            <w:tcW w:w="3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3,449</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12,790</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General and administrative</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5,022</w:t>
            </w:r>
          </w:p>
        </w:tc>
        <w:tc>
          <w:tcPr>
            <w:tcW w:w="3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3,276</w:t>
            </w:r>
          </w:p>
        </w:tc>
        <w:tc>
          <w:tcPr>
            <w:tcW w:w="480" w:type="dxa"/>
            <w:vAlign w:val="bottom"/>
          </w:tcPr>
          <w:p>
            <w:pPr>
              <w:spacing w:after="0"/>
              <w:rPr>
                <w:sz w:val="14"/>
                <w:szCs w:val="14"/>
                <w:color w:val="auto"/>
              </w:rPr>
            </w:pP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(224)</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B</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8,074</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Research and product development</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3,789</w:t>
            </w:r>
          </w:p>
        </w:tc>
        <w:tc>
          <w:tcPr>
            <w:tcW w:w="3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689</w:t>
            </w: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4,478</w:t>
            </w:r>
          </w:p>
        </w:tc>
      </w:tr>
      <w:tr>
        <w:trPr>
          <w:trHeight w:val="171"/>
        </w:trPr>
        <w:tc>
          <w:tcPr>
            <w:tcW w:w="3860" w:type="dxa"/>
            <w:vAlign w:val="bottom"/>
          </w:tcPr>
          <w:p>
            <w:pPr>
              <w:spacing w:after="0"/>
              <w:rPr>
                <w:sz w:val="14"/>
                <w:szCs w:val="14"/>
                <w:color w:val="auto"/>
              </w:rPr>
            </w:pPr>
          </w:p>
        </w:tc>
        <w:tc>
          <w:tcPr>
            <w:tcW w:w="1640" w:type="dxa"/>
            <w:vAlign w:val="bottom"/>
            <w:gridSpan w:val="2"/>
          </w:tcPr>
          <w:p>
            <w:pPr>
              <w:ind w:left="480"/>
              <w:spacing w:after="0"/>
              <w:rPr>
                <w:sz w:val="20"/>
                <w:szCs w:val="20"/>
                <w:color w:val="auto"/>
              </w:rPr>
            </w:pPr>
            <w:r>
              <w:rPr>
                <w:rFonts w:ascii="Courier New" w:cs="Courier New" w:eastAsia="Courier New" w:hAnsi="Courier New"/>
                <w:sz w:val="6"/>
                <w:szCs w:val="6"/>
                <w:color w:val="auto"/>
                <w:w w:val="73"/>
              </w:rPr>
              <w: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Total operating expenses</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18,152</w:t>
            </w:r>
          </w:p>
        </w:tc>
        <w:tc>
          <w:tcPr>
            <w:tcW w:w="3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7,414</w:t>
            </w:r>
          </w:p>
        </w:tc>
        <w:tc>
          <w:tcPr>
            <w:tcW w:w="480" w:type="dxa"/>
            <w:vAlign w:val="bottom"/>
          </w:tcPr>
          <w:p>
            <w:pPr>
              <w:spacing w:after="0"/>
              <w:rPr>
                <w:sz w:val="14"/>
                <w:szCs w:val="14"/>
                <w:color w:val="auto"/>
              </w:rPr>
            </w:pPr>
          </w:p>
        </w:tc>
        <w:tc>
          <w:tcPr>
            <w:tcW w:w="94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(224)</w:t>
            </w:r>
          </w:p>
        </w:tc>
        <w:tc>
          <w:tcPr>
            <w:tcW w:w="70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25,342</w:t>
            </w:r>
          </w:p>
        </w:tc>
      </w:tr>
      <w:tr>
        <w:trPr>
          <w:trHeight w:val="171"/>
        </w:trPr>
        <w:tc>
          <w:tcPr>
            <w:tcW w:w="3860" w:type="dxa"/>
            <w:vAlign w:val="bottom"/>
          </w:tcPr>
          <w:p>
            <w:pPr>
              <w:spacing w:after="0"/>
              <w:rPr>
                <w:sz w:val="14"/>
                <w:szCs w:val="14"/>
                <w:color w:val="auto"/>
              </w:rPr>
            </w:pPr>
          </w:p>
        </w:tc>
        <w:tc>
          <w:tcPr>
            <w:tcW w:w="1640" w:type="dxa"/>
            <w:vAlign w:val="bottom"/>
            <w:gridSpan w:val="2"/>
          </w:tcPr>
          <w:p>
            <w:pPr>
              <w:ind w:left="480"/>
              <w:spacing w:after="0"/>
              <w:rPr>
                <w:sz w:val="20"/>
                <w:szCs w:val="20"/>
                <w:color w:val="auto"/>
              </w:rPr>
            </w:pPr>
            <w:r>
              <w:rPr>
                <w:rFonts w:ascii="Courier New" w:cs="Courier New" w:eastAsia="Courier New" w:hAnsi="Courier New"/>
                <w:sz w:val="6"/>
                <w:szCs w:val="6"/>
                <w:color w:val="auto"/>
                <w:w w:val="73"/>
              </w:rPr>
              <w: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5,033</w:t>
            </w:r>
          </w:p>
        </w:tc>
        <w:tc>
          <w:tcPr>
            <w:tcW w:w="3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819</w:t>
            </w:r>
          </w:p>
        </w:tc>
        <w:tc>
          <w:tcPr>
            <w:tcW w:w="480" w:type="dxa"/>
            <w:vAlign w:val="bottom"/>
          </w:tcPr>
          <w:p>
            <w:pPr>
              <w:spacing w:after="0"/>
              <w:rPr>
                <w:sz w:val="14"/>
                <w:szCs w:val="14"/>
                <w:color w:val="auto"/>
              </w:rPr>
            </w:pPr>
          </w:p>
        </w:tc>
        <w:tc>
          <w:tcPr>
            <w:tcW w:w="9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224</w:t>
            </w:r>
          </w:p>
        </w:tc>
        <w:tc>
          <w:tcPr>
            <w:tcW w:w="70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6,076</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740" w:type="dxa"/>
            <w:vAlign w:val="bottom"/>
          </w:tcPr>
          <w:p>
            <w:pPr>
              <w:spacing w:after="0"/>
              <w:rPr>
                <w:sz w:val="24"/>
                <w:szCs w:val="2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373</w:t>
            </w:r>
          </w:p>
        </w:tc>
        <w:tc>
          <w:tcPr>
            <w:tcW w:w="340" w:type="dxa"/>
            <w:vAlign w:val="bottom"/>
          </w:tcPr>
          <w:p>
            <w:pPr>
              <w:spacing w:after="0"/>
              <w:rPr>
                <w:sz w:val="24"/>
                <w:szCs w:val="2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(151)</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222</w:t>
            </w:r>
          </w:p>
        </w:tc>
      </w:tr>
      <w:tr>
        <w:trPr>
          <w:trHeight w:val="171"/>
        </w:trPr>
        <w:tc>
          <w:tcPr>
            <w:tcW w:w="3860" w:type="dxa"/>
            <w:vAlign w:val="bottom"/>
          </w:tcPr>
          <w:p>
            <w:pPr>
              <w:spacing w:after="0"/>
              <w:rPr>
                <w:sz w:val="14"/>
                <w:szCs w:val="14"/>
                <w:color w:val="auto"/>
              </w:rPr>
            </w:pPr>
          </w:p>
        </w:tc>
        <w:tc>
          <w:tcPr>
            <w:tcW w:w="1640" w:type="dxa"/>
            <w:vAlign w:val="bottom"/>
            <w:gridSpan w:val="2"/>
          </w:tcPr>
          <w:p>
            <w:pPr>
              <w:ind w:left="480"/>
              <w:spacing w:after="0"/>
              <w:rPr>
                <w:sz w:val="20"/>
                <w:szCs w:val="20"/>
                <w:color w:val="auto"/>
              </w:rPr>
            </w:pPr>
            <w:r>
              <w:rPr>
                <w:rFonts w:ascii="Courier New" w:cs="Courier New" w:eastAsia="Courier New" w:hAnsi="Courier New"/>
                <w:sz w:val="6"/>
                <w:szCs w:val="6"/>
                <w:color w:val="auto"/>
                <w:w w:val="73"/>
              </w:rPr>
              <w: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5,406</w:t>
            </w:r>
          </w:p>
        </w:tc>
        <w:tc>
          <w:tcPr>
            <w:tcW w:w="3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668</w:t>
            </w:r>
          </w:p>
        </w:tc>
        <w:tc>
          <w:tcPr>
            <w:tcW w:w="480" w:type="dxa"/>
            <w:vAlign w:val="bottom"/>
          </w:tcPr>
          <w:p>
            <w:pPr>
              <w:spacing w:after="0"/>
              <w:rPr>
                <w:sz w:val="14"/>
                <w:szCs w:val="14"/>
                <w:color w:val="auto"/>
              </w:rPr>
            </w:pPr>
          </w:p>
        </w:tc>
        <w:tc>
          <w:tcPr>
            <w:tcW w:w="9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224</w:t>
            </w:r>
          </w:p>
        </w:tc>
        <w:tc>
          <w:tcPr>
            <w:tcW w:w="70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6,298</w:t>
            </w:r>
          </w:p>
        </w:tc>
      </w:tr>
      <w:tr>
        <w:trPr>
          <w:trHeight w:val="171"/>
        </w:trPr>
        <w:tc>
          <w:tcPr>
            <w:tcW w:w="3860" w:type="dxa"/>
            <w:vAlign w:val="bottom"/>
          </w:tcPr>
          <w:p>
            <w:pPr>
              <w:ind w:left="160"/>
              <w:spacing w:after="0"/>
              <w:rPr>
                <w:sz w:val="20"/>
                <w:szCs w:val="20"/>
                <w:color w:val="auto"/>
              </w:rPr>
            </w:pPr>
            <w:r>
              <w:rPr>
                <w:rFonts w:ascii="Courier New" w:cs="Courier New" w:eastAsia="Courier New" w:hAnsi="Courier New"/>
                <w:sz w:val="15"/>
                <w:szCs w:val="15"/>
                <w:color w:val="auto"/>
              </w:rPr>
              <w:t>before income taxes</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Provision (benefit) for income taxes</w:t>
            </w:r>
          </w:p>
        </w:tc>
        <w:tc>
          <w:tcPr>
            <w:tcW w:w="740" w:type="dxa"/>
            <w:vAlign w:val="bottom"/>
          </w:tcPr>
          <w:p>
            <w:pPr>
              <w:spacing w:after="0"/>
              <w:rPr>
                <w:sz w:val="14"/>
                <w:szCs w:val="14"/>
                <w:color w:val="auto"/>
              </w:rPr>
            </w:pP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3,180</w:t>
            </w:r>
          </w:p>
        </w:tc>
        <w:tc>
          <w:tcPr>
            <w:tcW w:w="340" w:type="dxa"/>
            <w:vAlign w:val="bottom"/>
          </w:tcPr>
          <w:p>
            <w:pPr>
              <w:spacing w:after="0"/>
              <w:rPr>
                <w:sz w:val="14"/>
                <w:szCs w:val="14"/>
                <w:color w:val="auto"/>
              </w:rPr>
            </w:pPr>
          </w:p>
        </w:tc>
        <w:tc>
          <w:tcPr>
            <w:tcW w:w="9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(70)</w:t>
            </w:r>
          </w:p>
        </w:tc>
        <w:tc>
          <w:tcPr>
            <w:tcW w:w="480" w:type="dxa"/>
            <w:vAlign w:val="bottom"/>
          </w:tcPr>
          <w:p>
            <w:pPr>
              <w:spacing w:after="0"/>
              <w:rPr>
                <w:sz w:val="14"/>
                <w:szCs w:val="14"/>
                <w:color w:val="auto"/>
              </w:rPr>
            </w:pPr>
          </w:p>
        </w:tc>
        <w:tc>
          <w:tcPr>
            <w:tcW w:w="9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83</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D</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3,193</w:t>
            </w:r>
          </w:p>
        </w:tc>
      </w:tr>
      <w:tr>
        <w:trPr>
          <w:trHeight w:val="171"/>
        </w:trPr>
        <w:tc>
          <w:tcPr>
            <w:tcW w:w="3860" w:type="dxa"/>
            <w:vAlign w:val="bottom"/>
          </w:tcPr>
          <w:p>
            <w:pPr>
              <w:spacing w:after="0"/>
              <w:rPr>
                <w:sz w:val="14"/>
                <w:szCs w:val="14"/>
                <w:color w:val="auto"/>
              </w:rPr>
            </w:pPr>
          </w:p>
        </w:tc>
        <w:tc>
          <w:tcPr>
            <w:tcW w:w="1640" w:type="dxa"/>
            <w:vAlign w:val="bottom"/>
            <w:gridSpan w:val="2"/>
          </w:tcPr>
          <w:p>
            <w:pPr>
              <w:ind w:left="480"/>
              <w:spacing w:after="0"/>
              <w:rPr>
                <w:sz w:val="20"/>
                <w:szCs w:val="20"/>
                <w:color w:val="auto"/>
              </w:rPr>
            </w:pPr>
            <w:r>
              <w:rPr>
                <w:rFonts w:ascii="Courier New" w:cs="Courier New" w:eastAsia="Courier New" w:hAnsi="Courier New"/>
                <w:sz w:val="6"/>
                <w:szCs w:val="6"/>
                <w:color w:val="auto"/>
                <w:w w:val="73"/>
              </w:rPr>
              <w:t>-------------------------------------------</w:t>
            </w: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740" w:type="dxa"/>
            <w:vAlign w:val="bottom"/>
          </w:tcPr>
          <w:p>
            <w:pPr>
              <w:ind w:left="660"/>
              <w:spacing w:after="0"/>
              <w:rPr>
                <w:sz w:val="20"/>
                <w:szCs w:val="20"/>
                <w:color w:val="auto"/>
              </w:rPr>
            </w:pPr>
            <w:r>
              <w:rPr>
                <w:rFonts w:ascii="Courier New" w:cs="Courier New" w:eastAsia="Courier New" w:hAnsi="Courier New"/>
                <w:sz w:val="14"/>
                <w:szCs w:val="14"/>
                <w:color w:val="auto"/>
                <w:w w:val="70"/>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2,226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738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141</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3,105</w:t>
            </w:r>
          </w:p>
        </w:tc>
      </w:tr>
      <w:tr>
        <w:trPr>
          <w:trHeight w:val="171"/>
        </w:trPr>
        <w:tc>
          <w:tcPr>
            <w:tcW w:w="3860" w:type="dxa"/>
            <w:vAlign w:val="bottom"/>
          </w:tcPr>
          <w:p>
            <w:pPr>
              <w:spacing w:after="0"/>
              <w:rPr>
                <w:sz w:val="14"/>
                <w:szCs w:val="14"/>
                <w:color w:val="auto"/>
              </w:rPr>
            </w:pPr>
          </w:p>
        </w:tc>
        <w:tc>
          <w:tcPr>
            <w:tcW w:w="4300" w:type="dxa"/>
            <w:vAlign w:val="bottom"/>
            <w:gridSpan w:val="6"/>
          </w:tcPr>
          <w:p>
            <w:pPr>
              <w:ind w:left="480"/>
              <w:spacing w:after="0"/>
              <w:rPr>
                <w:sz w:val="20"/>
                <w:szCs w:val="20"/>
                <w:color w:val="auto"/>
              </w:rPr>
            </w:pPr>
            <w:r>
              <w:rPr>
                <w:rFonts w:ascii="Courier New" w:cs="Courier New" w:eastAsia="Courier New" w:hAnsi="Courier New"/>
                <w:sz w:val="15"/>
                <w:szCs w:val="15"/>
                <w:color w:val="auto"/>
                <w:w w:val="98"/>
              </w:rPr>
              <w:t>===========================================</w:t>
            </w:r>
          </w:p>
        </w:tc>
        <w:tc>
          <w:tcPr>
            <w:tcW w:w="178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386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0.29</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0.27</w:t>
            </w:r>
          </w:p>
        </w:tc>
      </w:tr>
      <w:tr>
        <w:trPr>
          <w:trHeight w:val="171"/>
        </w:trPr>
        <w:tc>
          <w:tcPr>
            <w:tcW w:w="3860" w:type="dxa"/>
            <w:vAlign w:val="bottom"/>
          </w:tcPr>
          <w:p>
            <w:pPr>
              <w:spacing w:after="0"/>
              <w:rPr>
                <w:sz w:val="20"/>
                <w:szCs w:val="20"/>
                <w:color w:val="auto"/>
              </w:rPr>
            </w:pPr>
            <w:r>
              <w:rPr>
                <w:rFonts w:ascii="Courier New" w:cs="Courier New" w:eastAsia="Courier New" w:hAnsi="Courier New"/>
                <w:sz w:val="15"/>
                <w:szCs w:val="15"/>
                <w:color w:val="auto"/>
              </w:rPr>
              <w:t>Weighted average shares outstanding:</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71"/>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Basic</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10,843</w:t>
            </w:r>
          </w:p>
        </w:tc>
      </w:tr>
      <w:tr>
        <w:trPr>
          <w:trHeight w:val="171"/>
        </w:trPr>
        <w:tc>
          <w:tcPr>
            <w:tcW w:w="3860" w:type="dxa"/>
            <w:vAlign w:val="bottom"/>
          </w:tcPr>
          <w:p>
            <w:pPr>
              <w:ind w:left="340"/>
              <w:spacing w:after="0"/>
              <w:rPr>
                <w:sz w:val="20"/>
                <w:szCs w:val="20"/>
                <w:color w:val="auto"/>
              </w:rPr>
            </w:pPr>
            <w:r>
              <w:rPr>
                <w:rFonts w:ascii="Courier New" w:cs="Courier New" w:eastAsia="Courier New" w:hAnsi="Courier New"/>
                <w:sz w:val="15"/>
                <w:szCs w:val="15"/>
                <w:color w:val="auto"/>
              </w:rPr>
              <w:t>Diluted</w:t>
            </w: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8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11,295</w:t>
            </w:r>
          </w:p>
        </w:tc>
      </w:tr>
    </w:tbl>
    <w:p>
      <w:pPr>
        <w:spacing w:after="0" w:line="342"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See accompanying notes to unaudited pro forma condensed</w:t>
      </w:r>
    </w:p>
    <w:p>
      <w:pPr>
        <w:spacing w:after="0" w:line="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combined financial statements</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799" w:right="1440" w:bottom="628" w:gutter="0" w:footer="0" w:header="0"/>
        </w:sectPr>
      </w:pPr>
    </w:p>
    <w:bookmarkStart w:id="23" w:name="page24"/>
    <w:bookmarkEnd w:id="23"/>
    <w:p>
      <w:pPr>
        <w:ind w:left="520"/>
        <w:spacing w:after="0"/>
        <w:rPr>
          <w:sz w:val="20"/>
          <w:szCs w:val="20"/>
          <w:color w:val="auto"/>
        </w:rPr>
      </w:pPr>
      <w:r>
        <w:rPr>
          <w:rFonts w:ascii="Courier New" w:cs="Courier New" w:eastAsia="Courier New" w:hAnsi="Courier New"/>
          <w:sz w:val="15"/>
          <w:szCs w:val="15"/>
          <w:color w:val="auto"/>
        </w:rPr>
        <w:t>Notes to Unaudited Pro Forma Condensed Combined Financial Information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w:t>
      </w:r>
    </w:p>
    <w:p>
      <w:pPr>
        <w:spacing w:after="0" w:line="174"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On October 3, 2001, ClearOne executed a share purchase agreement, which was amended on April 8, 2002, with the shareholders of Ivron Systems. ClearOne paid cash of $6,000,000 for all issued and outstanding shares of Ivron Systems, cash of $650,000 for all outstanding options to purchase common shares of Ivron Systems, and incurred acquisition costs of $274,000 in the transaction. Additional consideration may be issued to Ivron Systems' shareholders if certain contingencies related to future earnings targets as defined in the share purchase agreement are met. The following is a summary of the purchase price allocation using the October 3, 2001 balance sheet of Ivron Systems (in 000's):</w:t>
      </w:r>
    </w:p>
    <w:p>
      <w:pPr>
        <w:spacing w:after="0" w:line="164" w:lineRule="exact"/>
        <w:rPr>
          <w:sz w:val="20"/>
          <w:szCs w:val="20"/>
          <w:color w:val="auto"/>
        </w:rPr>
      </w:pPr>
    </w:p>
    <w:tbl>
      <w:tblPr>
        <w:tblLayout w:type="fixed"/>
        <w:tblInd w:w="780" w:type="dxa"/>
        <w:tblCellMar>
          <w:top w:w="0" w:type="dxa"/>
          <w:left w:w="0" w:type="dxa"/>
          <w:bottom w:w="0" w:type="dxa"/>
          <w:right w:w="0" w:type="dxa"/>
        </w:tblCellMar>
      </w:tblPr>
      <w:tr>
        <w:trPr>
          <w:trHeight w:val="170"/>
        </w:trPr>
        <w:tc>
          <w:tcPr>
            <w:tcW w:w="348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  460</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Accounts receivable</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132</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Inventory</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608</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Fixed assets</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Goodwill and other intangible assets</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6,144</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Accounts payable</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(175)</w:t>
            </w:r>
          </w:p>
        </w:tc>
      </w:tr>
      <w:tr>
        <w:trPr>
          <w:trHeight w:val="171"/>
        </w:trPr>
        <w:tc>
          <w:tcPr>
            <w:tcW w:w="3480" w:type="dxa"/>
            <w:vAlign w:val="bottom"/>
          </w:tcPr>
          <w:p>
            <w:pPr>
              <w:spacing w:after="0"/>
              <w:rPr>
                <w:sz w:val="20"/>
                <w:szCs w:val="20"/>
                <w:color w:val="auto"/>
              </w:rPr>
            </w:pPr>
            <w:r>
              <w:rPr>
                <w:rFonts w:ascii="Courier New" w:cs="Courier New" w:eastAsia="Courier New" w:hAnsi="Courier New"/>
                <w:sz w:val="15"/>
                <w:szCs w:val="15"/>
                <w:color w:val="auto"/>
              </w:rPr>
              <w:t>Accrued expenses</w:t>
            </w: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(266)</w:t>
            </w:r>
          </w:p>
        </w:tc>
      </w:tr>
      <w:tr>
        <w:trPr>
          <w:trHeight w:val="171"/>
        </w:trPr>
        <w:tc>
          <w:tcPr>
            <w:tcW w:w="34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80" w:type="dxa"/>
            <w:vAlign w:val="bottom"/>
          </w:tcPr>
          <w:p>
            <w:pPr>
              <w:ind w:left="800"/>
              <w:spacing w:after="0"/>
              <w:rPr>
                <w:sz w:val="20"/>
                <w:szCs w:val="20"/>
                <w:color w:val="auto"/>
              </w:rPr>
            </w:pPr>
            <w:r>
              <w:rPr>
                <w:rFonts w:ascii="Courier New" w:cs="Courier New" w:eastAsia="Courier New" w:hAnsi="Courier New"/>
                <w:sz w:val="15"/>
                <w:szCs w:val="15"/>
                <w:color w:val="auto"/>
              </w:rPr>
              <w:t>Total</w:t>
            </w:r>
          </w:p>
        </w:tc>
        <w:tc>
          <w:tcPr>
            <w:tcW w:w="142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$6,924</w:t>
            </w:r>
          </w:p>
        </w:tc>
      </w:tr>
      <w:tr>
        <w:trPr>
          <w:trHeight w:val="171"/>
        </w:trPr>
        <w:tc>
          <w:tcPr>
            <w:tcW w:w="348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January 21, 2002, ClearOne entered into a definitive agreement to acquire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 Under the terms of the agreement, ClearOne will acquire all of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issued and outstanding stock of E.mergent; thereby acquiring title to all assets</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assuming all liabilities of E.mergent. As consideration in the transaction,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 will pay cash of $7,300,000 and issue 873,000 shares of its common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less the aggregate number of shares of common stock allocated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E.mergent's outstanding stock options assumed by ClearOne in the merger because,</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accordance with the agreement and plan of merger, the 873,000 shares of</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 common stock are allocated first to E.mergent stock options being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assumed by ClearOne. Outstanding E.mergent stock options will be converted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options to purchase ClearOne's common stock at the ratio specified in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agreement and plan of merger. The value of such stock consideration is based on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ClearOne's average closing price two days prior to and two days subsequent to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21, 2002 (the announcement date for the acquisition and merger)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$16.55. Additionally, ClearOne expects to incur acquisition costs of $890,000 in</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transaction (including approximately $312,000 for anticipated severance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to terminating E.mergent executives). E.mergent expects to incur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transaction related costs of approximately $850,000. Such costs will be paid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immediately prior to the merger. The following is a summary of the preliminary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purchase price allocation using the December 31, 2001 balance sheet of E.mergent</w:t>
      </w: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000's):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Cash</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(43)</w:t>
            </w: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Accounts receivable</w:t>
            </w:r>
          </w:p>
        </w:tc>
        <w:tc>
          <w:tcPr>
            <w:tcW w:w="2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3,300</w:t>
            </w: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Inventory</w:t>
            </w:r>
          </w:p>
        </w:tc>
        <w:tc>
          <w:tcPr>
            <w:tcW w:w="2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3,736</w:t>
            </w: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Fixed assets</w:t>
            </w:r>
          </w:p>
        </w:tc>
        <w:tc>
          <w:tcPr>
            <w:tcW w:w="2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473</w:t>
            </w: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Other assets</w:t>
            </w:r>
          </w:p>
        </w:tc>
        <w:tc>
          <w:tcPr>
            <w:tcW w:w="2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678</w:t>
            </w: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Shareholder receivable</w:t>
            </w:r>
          </w:p>
        </w:tc>
        <w:tc>
          <w:tcPr>
            <w:tcW w:w="2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122</w:t>
            </w: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Goodwill and other intangible assets</w:t>
            </w:r>
          </w:p>
        </w:tc>
        <w:tc>
          <w:tcPr>
            <w:tcW w:w="2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16,775</w:t>
            </w: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Accounts payable</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(862)</w:t>
            </w: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Accrued expenses and customer deposits</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(619)</w:t>
            </w: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Unearned maintenance contracts</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(1,064)</w:t>
            </w: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Capital leases and long-term debt</w:t>
            </w:r>
          </w:p>
        </w:tc>
        <w:tc>
          <w:tcPr>
            <w:tcW w:w="280" w:type="dxa"/>
            <w:vAlign w:val="bottom"/>
          </w:tcPr>
          <w:p>
            <w:pPr>
              <w:spacing w:after="0"/>
              <w:rPr>
                <w:sz w:val="14"/>
                <w:szCs w:val="14"/>
                <w:color w:val="auto"/>
              </w:rPr>
            </w:pP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(641)</w:t>
            </w:r>
          </w:p>
        </w:tc>
      </w:tr>
      <w:tr>
        <w:trPr>
          <w:trHeight w:val="171"/>
        </w:trPr>
        <w:tc>
          <w:tcPr>
            <w:tcW w:w="442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4420" w:type="dxa"/>
            <w:vAlign w:val="bottom"/>
          </w:tcPr>
          <w:p>
            <w:pPr>
              <w:ind w:left="1580"/>
              <w:spacing w:after="0"/>
              <w:rPr>
                <w:sz w:val="20"/>
                <w:szCs w:val="20"/>
                <w:color w:val="auto"/>
              </w:rPr>
            </w:pPr>
            <w:r>
              <w:rPr>
                <w:rFonts w:ascii="Courier New" w:cs="Courier New" w:eastAsia="Courier New" w:hAnsi="Courier New"/>
                <w:sz w:val="15"/>
                <w:szCs w:val="15"/>
                <w:color w:val="auto"/>
              </w:rPr>
              <w:t>Total</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21,855</w:t>
            </w:r>
          </w:p>
        </w:tc>
      </w:tr>
      <w:tr>
        <w:trPr>
          <w:trHeight w:val="171"/>
        </w:trPr>
        <w:tc>
          <w:tcPr>
            <w:tcW w:w="442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341"/>
        </w:trPr>
        <w:tc>
          <w:tcPr>
            <w:tcW w:w="4420" w:type="dxa"/>
            <w:vAlign w:val="bottom"/>
          </w:tcPr>
          <w:p>
            <w:pPr>
              <w:spacing w:after="0"/>
              <w:rPr>
                <w:sz w:val="20"/>
                <w:szCs w:val="20"/>
                <w:color w:val="auto"/>
              </w:rPr>
            </w:pPr>
            <w:r>
              <w:rPr>
                <w:rFonts w:ascii="Courier New" w:cs="Courier New" w:eastAsia="Courier New" w:hAnsi="Courier New"/>
                <w:sz w:val="15"/>
                <w:szCs w:val="15"/>
                <w:color w:val="auto"/>
              </w:rPr>
              <w:t>The purchase price was determined as follows: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41"/>
        </w:trPr>
        <w:tc>
          <w:tcPr>
            <w:tcW w:w="4700" w:type="dxa"/>
            <w:vAlign w:val="bottom"/>
            <w:gridSpan w:val="2"/>
          </w:tcPr>
          <w:p>
            <w:pPr>
              <w:ind w:left="780"/>
              <w:spacing w:after="0"/>
              <w:rPr>
                <w:sz w:val="20"/>
                <w:szCs w:val="20"/>
                <w:color w:val="auto"/>
              </w:rPr>
            </w:pPr>
            <w:r>
              <w:rPr>
                <w:rFonts w:ascii="Courier New" w:cs="Courier New" w:eastAsia="Courier New" w:hAnsi="Courier New"/>
                <w:sz w:val="15"/>
                <w:szCs w:val="15"/>
                <w:color w:val="auto"/>
              </w:rPr>
              <w:t>Cash to be paid to E.mergent shareholders $</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7,300</w:t>
            </w: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Value of ClearOne common stock issued to</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420" w:type="dxa"/>
            <w:vAlign w:val="bottom"/>
          </w:tcPr>
          <w:p>
            <w:pPr>
              <w:ind w:left="880"/>
              <w:spacing w:after="0"/>
              <w:rPr>
                <w:sz w:val="20"/>
                <w:szCs w:val="20"/>
                <w:color w:val="auto"/>
              </w:rPr>
            </w:pPr>
            <w:r>
              <w:rPr>
                <w:rFonts w:ascii="Courier New" w:cs="Courier New" w:eastAsia="Courier New" w:hAnsi="Courier New"/>
                <w:sz w:val="15"/>
                <w:szCs w:val="15"/>
                <w:color w:val="auto"/>
              </w:rPr>
              <w:t>E.mergent shareholders (751,181 shares</w:t>
            </w:r>
          </w:p>
        </w:tc>
        <w:tc>
          <w:tcPr>
            <w:tcW w:w="2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12,432</w:t>
            </w:r>
          </w:p>
        </w:tc>
      </w:tr>
      <w:tr>
        <w:trPr>
          <w:trHeight w:val="171"/>
        </w:trPr>
        <w:tc>
          <w:tcPr>
            <w:tcW w:w="4420" w:type="dxa"/>
            <w:vAlign w:val="bottom"/>
          </w:tcPr>
          <w:p>
            <w:pPr>
              <w:ind w:left="880"/>
              <w:spacing w:after="0"/>
              <w:rPr>
                <w:sz w:val="20"/>
                <w:szCs w:val="20"/>
                <w:color w:val="auto"/>
              </w:rPr>
            </w:pPr>
            <w:r>
              <w:rPr>
                <w:rFonts w:ascii="Courier New" w:cs="Courier New" w:eastAsia="Courier New" w:hAnsi="Courier New"/>
                <w:sz w:val="15"/>
                <w:szCs w:val="15"/>
                <w:color w:val="auto"/>
              </w:rPr>
              <w:t>x $16.55)</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Fair value of ClearOne options issued to</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420" w:type="dxa"/>
            <w:vAlign w:val="bottom"/>
          </w:tcPr>
          <w:p>
            <w:pPr>
              <w:ind w:left="880"/>
              <w:spacing w:after="0"/>
              <w:rPr>
                <w:sz w:val="20"/>
                <w:szCs w:val="20"/>
                <w:color w:val="auto"/>
              </w:rPr>
            </w:pPr>
            <w:r>
              <w:rPr>
                <w:rFonts w:ascii="Courier New" w:cs="Courier New" w:eastAsia="Courier New" w:hAnsi="Courier New"/>
                <w:sz w:val="15"/>
                <w:szCs w:val="15"/>
                <w:color w:val="auto"/>
              </w:rPr>
              <w:t>E.mergent option holders, determined</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1"/>
        </w:trPr>
        <w:tc>
          <w:tcPr>
            <w:tcW w:w="4420" w:type="dxa"/>
            <w:vAlign w:val="bottom"/>
          </w:tcPr>
          <w:p>
            <w:pPr>
              <w:ind w:left="880"/>
              <w:spacing w:after="0"/>
              <w:rPr>
                <w:sz w:val="20"/>
                <w:szCs w:val="20"/>
                <w:color w:val="auto"/>
              </w:rPr>
            </w:pPr>
            <w:r>
              <w:rPr>
                <w:rFonts w:ascii="Courier New" w:cs="Courier New" w:eastAsia="Courier New" w:hAnsi="Courier New"/>
                <w:sz w:val="15"/>
                <w:szCs w:val="15"/>
                <w:color w:val="auto"/>
              </w:rPr>
              <w:t>using the Black-Scholes model</w:t>
            </w:r>
          </w:p>
        </w:tc>
        <w:tc>
          <w:tcPr>
            <w:tcW w:w="2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1,233</w:t>
            </w:r>
          </w:p>
        </w:tc>
      </w:tr>
      <w:tr>
        <w:trPr>
          <w:trHeight w:val="171"/>
        </w:trPr>
        <w:tc>
          <w:tcPr>
            <w:tcW w:w="4420" w:type="dxa"/>
            <w:vAlign w:val="bottom"/>
          </w:tcPr>
          <w:p>
            <w:pPr>
              <w:ind w:left="780"/>
              <w:spacing w:after="0"/>
              <w:rPr>
                <w:sz w:val="20"/>
                <w:szCs w:val="20"/>
                <w:color w:val="auto"/>
              </w:rPr>
            </w:pPr>
            <w:r>
              <w:rPr>
                <w:rFonts w:ascii="Courier New" w:cs="Courier New" w:eastAsia="Courier New" w:hAnsi="Courier New"/>
                <w:sz w:val="15"/>
                <w:szCs w:val="15"/>
                <w:color w:val="auto"/>
              </w:rPr>
              <w:t>Acquisition costs to be paid by ClearOne</w:t>
            </w:r>
          </w:p>
        </w:tc>
        <w:tc>
          <w:tcPr>
            <w:tcW w:w="280" w:type="dxa"/>
            <w:vAlign w:val="bottom"/>
          </w:tcPr>
          <w:p>
            <w:pPr>
              <w:spacing w:after="0"/>
              <w:rPr>
                <w:sz w:val="14"/>
                <w:szCs w:val="14"/>
                <w:color w:val="auto"/>
              </w:rPr>
            </w:pP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890</w:t>
            </w:r>
          </w:p>
        </w:tc>
      </w:tr>
      <w:tr>
        <w:trPr>
          <w:trHeight w:val="171"/>
        </w:trPr>
        <w:tc>
          <w:tcPr>
            <w:tcW w:w="442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1"/>
        </w:trPr>
        <w:tc>
          <w:tcPr>
            <w:tcW w:w="4420" w:type="dxa"/>
            <w:vAlign w:val="bottom"/>
          </w:tcPr>
          <w:p>
            <w:pPr>
              <w:ind w:left="1580"/>
              <w:spacing w:after="0"/>
              <w:rPr>
                <w:sz w:val="20"/>
                <w:szCs w:val="20"/>
                <w:color w:val="auto"/>
              </w:rPr>
            </w:pPr>
            <w:r>
              <w:rPr>
                <w:rFonts w:ascii="Courier New" w:cs="Courier New" w:eastAsia="Courier New" w:hAnsi="Courier New"/>
                <w:sz w:val="15"/>
                <w:szCs w:val="15"/>
                <w:color w:val="auto"/>
              </w:rPr>
              <w:t>Total purchase price</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21,855</w:t>
            </w:r>
          </w:p>
        </w:tc>
      </w:tr>
      <w:tr>
        <w:trPr>
          <w:trHeight w:val="171"/>
        </w:trPr>
        <w:tc>
          <w:tcPr>
            <w:tcW w:w="442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7"/>
              </w:rPr>
              <w:t>=============</w:t>
            </w:r>
          </w:p>
        </w:tc>
      </w:tr>
    </w:tbl>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w:t>
      </w:r>
    </w:p>
    <w:p>
      <w:pPr>
        <w:spacing w:after="0" w:line="174" w:lineRule="exact"/>
        <w:rPr>
          <w:sz w:val="20"/>
          <w:szCs w:val="20"/>
          <w:color w:val="auto"/>
        </w:rPr>
      </w:pPr>
    </w:p>
    <w:p>
      <w:pPr>
        <w:ind w:right="3119" w:firstLine="710"/>
        <w:spacing w:after="0" w:line="260" w:lineRule="auto"/>
        <w:rPr>
          <w:sz w:val="20"/>
          <w:szCs w:val="20"/>
          <w:color w:val="auto"/>
        </w:rPr>
      </w:pPr>
      <w:r>
        <w:rPr>
          <w:rFonts w:ascii="Courier New" w:cs="Courier New" w:eastAsia="Courier New" w:hAnsi="Courier New"/>
          <w:sz w:val="14"/>
          <w:szCs w:val="14"/>
          <w:color w:val="auto"/>
        </w:rPr>
        <w:t>The unaudited pro forma condensed combined balance sheet includes the adjustments necessary to give effect to the Ivron Systems and E.mergent acquisitions as if they had occurred on December 31, 2001 as noted above. The unaudited pro forma condensed combined statements of operations include the adjustments necessary to give effect to the Ivron Systems and E.mergent acquisitions as if they had occurred on July 1, 2000. Adjustments included in the pro forma condensed combined financial statements are summarized as follows:</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628" w:right="1440" w:bottom="628" w:gutter="0" w:footer="0" w:header="0"/>
        </w:sectPr>
      </w:pPr>
    </w:p>
    <w:bookmarkStart w:id="24" w:name="page25"/>
    <w:bookmarkEnd w:id="24"/>
    <w:p>
      <w:pPr>
        <w:spacing w:after="0" w:line="32" w:lineRule="exact"/>
        <w:rPr>
          <w:sz w:val="20"/>
          <w:szCs w:val="20"/>
          <w:color w:val="auto"/>
        </w:rPr>
      </w:pPr>
    </w:p>
    <w:p>
      <w:pPr>
        <w:jc w:val="both"/>
        <w:ind w:left="360" w:right="3119" w:hanging="359"/>
        <w:spacing w:after="0"/>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April 8, 2002, ClearOne completed its negotiations of an amendment to the Ivron Systems share purchase agreement whereby the future contingent consideration to be received by the Ivron shareholders was reduced. Such amendment resulted from the determination that certain of the intended benefits of the Ivron acquisition have not been achieved and are likely not to be achieved. Based on these negotiations and the resulting amendment to the Ivron share purchase agreement, the purchase price allocation has been adjusted to reflect the overall decrease in the purchase price of Ivron. The revised purchase price allocation was based on an analysis performed by an independent financial consulting firm, LECG, LLC. The revised final calculation has the effect of decreasing the fair value of the intangible assets previously recorded. Therefore, the deferred consideration originally recorded was also reduced. The initial deferred consideration reflected the difference between the fair value of the assets acquired and the cash consideration paid, pursuant to the provisions of FASB Statement No. 141 (FAS No. 141), Business Combinations. Deferred consideration still may be paid out if certain contingencies related to future earnings targets, as defined in the amended share purchase agreement between ClearOne and the Ivron Systems shareholders, are met. However, any such additional consideration will be allocated to goodwill.</w:t>
      </w:r>
    </w:p>
    <w:p>
      <w:pPr>
        <w:spacing w:after="0" w:line="187" w:lineRule="exact"/>
        <w:rPr>
          <w:rFonts w:ascii="Courier New" w:cs="Courier New" w:eastAsia="Courier New" w:hAnsi="Courier New"/>
          <w:sz w:val="15"/>
          <w:szCs w:val="15"/>
          <w:color w:val="auto"/>
        </w:rPr>
      </w:pPr>
    </w:p>
    <w:p>
      <w:pPr>
        <w:jc w:val="both"/>
        <w:ind w:left="360" w:right="3119" w:hanging="359"/>
        <w:spacing w:after="0" w:line="239" w:lineRule="auto"/>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E.mergent and Ivron historical goodwill and other intangibles (and the related amortization) that were or will be revalued as part of the purchase price allocation.</w:t>
      </w:r>
    </w:p>
    <w:p>
      <w:pPr>
        <w:spacing w:after="0" w:line="175" w:lineRule="exact"/>
        <w:rPr>
          <w:rFonts w:ascii="Courier New" w:cs="Courier New" w:eastAsia="Courier New" w:hAnsi="Courier New"/>
          <w:sz w:val="15"/>
          <w:szCs w:val="15"/>
          <w:color w:val="auto"/>
        </w:rPr>
      </w:pPr>
    </w:p>
    <w:p>
      <w:pPr>
        <w:jc w:val="both"/>
        <w:ind w:left="360" w:right="3119" w:hanging="359"/>
        <w:spacing w:after="0"/>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Values were assigned to intangibles related to the Ivron Systems acquisition as follows: developed technology - $5,780,000; goodwill - $364,000. These allocations are based upon a final report from LECG, LLC, an independent financial consulting firm. The developed technology was determined to have useful lives as follows, with the resulting impact on amortization expense: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Amortization for the</w:t>
      </w:r>
    </w:p>
    <w:p>
      <w:pPr>
        <w:spacing w:after="0" w:line="1" w:lineRule="exact"/>
        <w:rPr>
          <w:sz w:val="20"/>
          <w:szCs w:val="20"/>
          <w:color w:val="auto"/>
        </w:rPr>
      </w:pPr>
    </w:p>
    <w:p>
      <w:pPr>
        <w:ind w:left="3560"/>
        <w:spacing w:after="0"/>
        <w:tabs>
          <w:tab w:leader="none" w:pos="5220" w:val="left"/>
        </w:tabs>
        <w:rPr>
          <w:sz w:val="20"/>
          <w:szCs w:val="20"/>
          <w:color w:val="auto"/>
        </w:rPr>
      </w:pPr>
      <w:r>
        <w:rPr>
          <w:rFonts w:ascii="Courier New" w:cs="Courier New" w:eastAsia="Courier New" w:hAnsi="Courier New"/>
          <w:sz w:val="15"/>
          <w:szCs w:val="15"/>
          <w:color w:val="auto"/>
        </w:rPr>
        <w:t>Six months ended</w:t>
      </w:r>
      <w:r>
        <w:rPr>
          <w:sz w:val="20"/>
          <w:szCs w:val="20"/>
          <w:color w:val="auto"/>
        </w:rPr>
        <w:tab/>
      </w:r>
      <w:r>
        <w:rPr>
          <w:rFonts w:ascii="Courier New" w:cs="Courier New" w:eastAsia="Courier New" w:hAnsi="Courier New"/>
          <w:sz w:val="14"/>
          <w:szCs w:val="14"/>
          <w:color w:val="auto"/>
        </w:rPr>
        <w:t>Fiscal Year ended</w:t>
      </w:r>
    </w:p>
    <w:p>
      <w:pPr>
        <w:spacing w:after="0" w:line="1" w:lineRule="exact"/>
        <w:rPr>
          <w:sz w:val="20"/>
          <w:szCs w:val="20"/>
          <w:color w:val="auto"/>
        </w:rPr>
      </w:pPr>
    </w:p>
    <w:p>
      <w:pPr>
        <w:ind w:left="80"/>
        <w:spacing w:after="0"/>
        <w:tabs>
          <w:tab w:leader="none" w:pos="2020" w:val="left"/>
          <w:tab w:leader="none" w:pos="3360" w:val="left"/>
          <w:tab w:leader="none" w:pos="4240" w:val="left"/>
          <w:tab w:leader="none" w:pos="5300" w:val="left"/>
        </w:tabs>
        <w:rPr>
          <w:sz w:val="20"/>
          <w:szCs w:val="20"/>
          <w:color w:val="auto"/>
        </w:rPr>
      </w:pPr>
      <w:r>
        <w:rPr>
          <w:rFonts w:ascii="Courier New" w:cs="Courier New" w:eastAsia="Courier New" w:hAnsi="Courier New"/>
          <w:sz w:val="15"/>
          <w:szCs w:val="15"/>
          <w:color w:val="auto"/>
        </w:rPr>
        <w:t>Value of Technology</w:t>
        <w:tab/>
        <w:t>Useful Life</w:t>
      </w:r>
      <w:r>
        <w:rPr>
          <w:sz w:val="20"/>
          <w:szCs w:val="20"/>
          <w:color w:val="auto"/>
        </w:rPr>
        <w:tab/>
      </w:r>
      <w:r>
        <w:rPr>
          <w:rFonts w:ascii="Courier New" w:cs="Courier New" w:eastAsia="Courier New" w:hAnsi="Courier New"/>
          <w:sz w:val="15"/>
          <w:szCs w:val="15"/>
          <w:color w:val="auto"/>
        </w:rPr>
        <w:t>December</w:t>
        <w:tab/>
        <w:t>31, 2001</w:t>
      </w:r>
      <w:r>
        <w:rPr>
          <w:sz w:val="20"/>
          <w:szCs w:val="20"/>
          <w:color w:val="auto"/>
        </w:rPr>
        <w:tab/>
      </w:r>
      <w:r>
        <w:rPr>
          <w:rFonts w:ascii="Courier New" w:cs="Courier New" w:eastAsia="Courier New" w:hAnsi="Courier New"/>
          <w:sz w:val="14"/>
          <w:szCs w:val="14"/>
          <w:color w:val="auto"/>
        </w:rPr>
        <w:t>June 30, 2001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135,000</w:t>
            </w: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w:t>
            </w:r>
          </w:p>
        </w:tc>
        <w:tc>
          <w:tcPr>
            <w:tcW w:w="24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  11,250</w:t>
            </w:r>
          </w:p>
        </w:tc>
        <w:tc>
          <w:tcPr>
            <w:tcW w:w="1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45,000</w:t>
            </w:r>
          </w:p>
        </w:tc>
      </w:tr>
      <w:tr>
        <w:trPr>
          <w:trHeight w:val="171"/>
        </w:trPr>
        <w:tc>
          <w:tcPr>
            <w:tcW w:w="620" w:type="dxa"/>
            <w:vAlign w:val="bottom"/>
          </w:tcPr>
          <w:p>
            <w:pPr>
              <w:spacing w:after="0"/>
              <w:rPr>
                <w:sz w:val="14"/>
                <w:szCs w:val="14"/>
                <w:color w:val="auto"/>
              </w:rPr>
            </w:pPr>
          </w:p>
        </w:tc>
        <w:tc>
          <w:tcPr>
            <w:tcW w:w="15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1,002,000</w:t>
            </w: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w:t>
            </w:r>
          </w:p>
        </w:tc>
        <w:tc>
          <w:tcPr>
            <w:tcW w:w="24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50,100</w:t>
            </w:r>
          </w:p>
        </w:tc>
        <w:tc>
          <w:tcPr>
            <w:tcW w:w="1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200,400</w:t>
            </w:r>
          </w:p>
        </w:tc>
      </w:tr>
      <w:tr>
        <w:trPr>
          <w:trHeight w:val="171"/>
        </w:trPr>
        <w:tc>
          <w:tcPr>
            <w:tcW w:w="620" w:type="dxa"/>
            <w:vAlign w:val="bottom"/>
          </w:tcPr>
          <w:p>
            <w:pPr>
              <w:spacing w:after="0"/>
              <w:rPr>
                <w:sz w:val="14"/>
                <w:szCs w:val="14"/>
                <w:color w:val="auto"/>
              </w:rPr>
            </w:pPr>
          </w:p>
        </w:tc>
        <w:tc>
          <w:tcPr>
            <w:tcW w:w="156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4,643,000</w:t>
            </w:r>
          </w:p>
        </w:tc>
        <w:tc>
          <w:tcPr>
            <w:tcW w:w="7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15</w:t>
            </w:r>
          </w:p>
        </w:tc>
        <w:tc>
          <w:tcPr>
            <w:tcW w:w="24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77,383</w:t>
            </w:r>
          </w:p>
        </w:tc>
        <w:tc>
          <w:tcPr>
            <w:tcW w:w="1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309,533</w:t>
            </w:r>
          </w:p>
        </w:tc>
      </w:tr>
      <w:tr>
        <w:trPr>
          <w:trHeight w:val="171"/>
        </w:trPr>
        <w:tc>
          <w:tcPr>
            <w:tcW w:w="21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4"/>
                <w:szCs w:val="14"/>
                <w:color w:val="auto"/>
              </w:rPr>
            </w:pPr>
          </w:p>
        </w:tc>
        <w:tc>
          <w:tcPr>
            <w:tcW w:w="4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620" w:type="dxa"/>
            <w:vAlign w:val="bottom"/>
          </w:tcPr>
          <w:p>
            <w:pPr>
              <w:spacing w:after="0"/>
              <w:rPr>
                <w:sz w:val="14"/>
                <w:szCs w:val="14"/>
                <w:color w:val="auto"/>
              </w:rPr>
            </w:pPr>
          </w:p>
        </w:tc>
        <w:tc>
          <w:tcPr>
            <w:tcW w:w="1560" w:type="dxa"/>
            <w:vAlign w:val="bottom"/>
          </w:tcPr>
          <w:p>
            <w:pPr>
              <w:jc w:val="right"/>
              <w:ind w:right="506"/>
              <w:spacing w:after="0"/>
              <w:rPr>
                <w:sz w:val="20"/>
                <w:szCs w:val="20"/>
                <w:color w:val="auto"/>
              </w:rPr>
            </w:pPr>
            <w:r>
              <w:rPr>
                <w:rFonts w:ascii="Courier New" w:cs="Courier New" w:eastAsia="Courier New" w:hAnsi="Courier New"/>
                <w:sz w:val="15"/>
                <w:szCs w:val="15"/>
                <w:color w:val="auto"/>
                <w:w w:val="96"/>
              </w:rPr>
              <w:t>$ 5,780,000</w:t>
            </w:r>
          </w:p>
        </w:tc>
        <w:tc>
          <w:tcPr>
            <w:tcW w:w="740" w:type="dxa"/>
            <w:vAlign w:val="bottom"/>
          </w:tcPr>
          <w:p>
            <w:pPr>
              <w:spacing w:after="0"/>
              <w:rPr>
                <w:sz w:val="14"/>
                <w:szCs w:val="14"/>
                <w:color w:val="auto"/>
              </w:rPr>
            </w:pPr>
          </w:p>
        </w:tc>
        <w:tc>
          <w:tcPr>
            <w:tcW w:w="24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$138,733(i)</w:t>
            </w:r>
          </w:p>
        </w:tc>
        <w:tc>
          <w:tcPr>
            <w:tcW w:w="160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$ 554,933</w:t>
            </w:r>
          </w:p>
        </w:tc>
      </w:tr>
      <w:tr>
        <w:trPr>
          <w:trHeight w:val="171"/>
        </w:trPr>
        <w:tc>
          <w:tcPr>
            <w:tcW w:w="21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w w:val="97"/>
              </w:rPr>
              <w:t>=====================</w:t>
            </w:r>
          </w:p>
        </w:tc>
        <w:tc>
          <w:tcPr>
            <w:tcW w:w="740" w:type="dxa"/>
            <w:vAlign w:val="bottom"/>
          </w:tcPr>
          <w:p>
            <w:pPr>
              <w:spacing w:after="0"/>
              <w:rPr>
                <w:sz w:val="14"/>
                <w:szCs w:val="14"/>
                <w:color w:val="auto"/>
              </w:rPr>
            </w:pPr>
          </w:p>
        </w:tc>
        <w:tc>
          <w:tcPr>
            <w:tcW w:w="4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jc w:val="both"/>
        <w:ind w:left="1060" w:right="3119" w:hanging="349"/>
        <w:spacing w:after="0" w:line="239" w:lineRule="auto"/>
        <w:tabs>
          <w:tab w:leader="none" w:pos="1060"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expense from July 1, 2001 to October 2, 2001, the period prior to the acquisition of Ivron Systems by ClearOne.</w:t>
      </w:r>
    </w:p>
    <w:p>
      <w:pPr>
        <w:spacing w:after="0" w:line="175" w:lineRule="exact"/>
        <w:rPr>
          <w:rFonts w:ascii="Courier New" w:cs="Courier New" w:eastAsia="Courier New" w:hAnsi="Courier New"/>
          <w:sz w:val="15"/>
          <w:szCs w:val="15"/>
          <w:color w:val="auto"/>
        </w:rPr>
      </w:pPr>
    </w:p>
    <w:p>
      <w:pPr>
        <w:ind w:left="360" w:right="3119" w:hanging="359"/>
        <w:spacing w:after="0" w:line="238" w:lineRule="auto"/>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tax impact of amortization, as calculated using ClearOne's blended statutory rate of 37.2%.</w:t>
      </w:r>
    </w:p>
    <w:p>
      <w:pPr>
        <w:spacing w:after="0" w:line="174" w:lineRule="exact"/>
        <w:rPr>
          <w:rFonts w:ascii="Courier New" w:cs="Courier New" w:eastAsia="Courier New" w:hAnsi="Courier New"/>
          <w:sz w:val="15"/>
          <w:szCs w:val="15"/>
          <w:color w:val="auto"/>
        </w:rPr>
      </w:pPr>
    </w:p>
    <w:p>
      <w:pPr>
        <w:jc w:val="both"/>
        <w:ind w:left="360" w:right="3119" w:hanging="359"/>
        <w:spacing w:after="0" w:line="239" w:lineRule="auto"/>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consideration to be paid to former E.mergent shareholders of $7,300,000 plus ClearOne and E.mergent transaction costs of $1,740,000.</w:t>
      </w:r>
    </w:p>
    <w:p>
      <w:pPr>
        <w:spacing w:after="0" w:line="175" w:lineRule="exact"/>
        <w:rPr>
          <w:rFonts w:ascii="Courier New" w:cs="Courier New" w:eastAsia="Courier New" w:hAnsi="Courier New"/>
          <w:sz w:val="15"/>
          <w:szCs w:val="15"/>
          <w:color w:val="auto"/>
        </w:rPr>
      </w:pPr>
    </w:p>
    <w:p>
      <w:pPr>
        <w:jc w:val="both"/>
        <w:ind w:left="360" w:right="3119" w:hanging="359"/>
        <w:spacing w:after="0"/>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represents goodwill of $16,775,000 including capitalized acquisition costs of approximately $890,000 (including approximately $312,000 for anticipated severance payments to terminating E.mergent executives). For purposes of these pro forma financial statements and based upon a preliminary valuation by LECG, LLC, ClearOne's independent financial consulting firm, the excess of the purchase price over the fair value of the tangible assets acquired has been allocated to goodwill. Based on LECG, LLC'S preliminary analysis, ClearOne does not believe that any material value should be allocated to acquired intangible assets other than goodwill. Accordingly, pursuant to FAS No. 142, Goodwill and Other Intangible Assets, no related amortization has been reflected in the accompanying pro forma statements of operations.</w:t>
      </w:r>
    </w:p>
    <w:p>
      <w:pPr>
        <w:spacing w:after="0" w:line="180" w:lineRule="exact"/>
        <w:rPr>
          <w:rFonts w:ascii="Courier New" w:cs="Courier New" w:eastAsia="Courier New" w:hAnsi="Courier New"/>
          <w:sz w:val="15"/>
          <w:szCs w:val="15"/>
          <w:color w:val="auto"/>
        </w:rPr>
      </w:pPr>
    </w:p>
    <w:p>
      <w:pPr>
        <w:ind w:left="360" w:right="3119" w:hanging="359"/>
        <w:spacing w:after="0" w:line="238" w:lineRule="auto"/>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elimination of an investment that was deemed to have no future value to ClearOne.</w:t>
      </w:r>
    </w:p>
    <w:p>
      <w:pPr>
        <w:spacing w:after="0" w:line="174" w:lineRule="exact"/>
        <w:rPr>
          <w:rFonts w:ascii="Courier New" w:cs="Courier New" w:eastAsia="Courier New" w:hAnsi="Courier New"/>
          <w:sz w:val="15"/>
          <w:szCs w:val="15"/>
          <w:color w:val="auto"/>
        </w:rPr>
      </w:pPr>
    </w:p>
    <w:p>
      <w:pPr>
        <w:jc w:val="both"/>
        <w:ind w:left="360" w:right="3119" w:hanging="359"/>
        <w:spacing w:after="0"/>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fair value, as determined in accordance with FASB Interpretation No. 44, Accounting for Certain Transactions Involving Stock Compensation--An Interpretation of APB Opinion 25, of the vested options to purchase ClearOne common stock that were issued in exchange for vested options to purchase E.mergent common stock in conjunction with the agreement and plan of merger. The weighted average fair value of the ClearOne options is approximately $10.12, using the Black-Scholes method, as determined using the following assumptions: volatility of 62%, weighted average expected life of the options of approximately 2 years, dividend yield of 0%, and risk-free interest rate of 4.38%.</w:t>
      </w:r>
    </w:p>
    <w:p>
      <w:pPr>
        <w:spacing w:after="0" w:line="176" w:lineRule="exact"/>
        <w:rPr>
          <w:rFonts w:ascii="Courier New" w:cs="Courier New" w:eastAsia="Courier New" w:hAnsi="Courier New"/>
          <w:sz w:val="15"/>
          <w:szCs w:val="15"/>
          <w:color w:val="auto"/>
        </w:rPr>
      </w:pPr>
    </w:p>
    <w:p>
      <w:pPr>
        <w:ind w:left="360" w:hanging="359"/>
        <w:spacing w:after="0"/>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E.mergent's historical equity.</w:t>
      </w:r>
    </w:p>
    <w:p>
      <w:pPr>
        <w:spacing w:after="0" w:line="171" w:lineRule="exact"/>
        <w:rPr>
          <w:rFonts w:ascii="Courier New" w:cs="Courier New" w:eastAsia="Courier New" w:hAnsi="Courier New"/>
          <w:sz w:val="15"/>
          <w:szCs w:val="15"/>
          <w:color w:val="auto"/>
        </w:rPr>
      </w:pPr>
    </w:p>
    <w:p>
      <w:pPr>
        <w:ind w:left="360" w:hanging="359"/>
        <w:spacing w:after="0"/>
        <w:tabs>
          <w:tab w:leader="none" w:pos="36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the  agreement and plan of merger,  the treasury</w:t>
      </w:r>
    </w:p>
    <w:p>
      <w:pPr>
        <w:sectPr>
          <w:pgSz w:w="11900" w:h="16870" w:orient="portrait"/>
          <w:cols w:equalWidth="0" w:num="1">
            <w:col w:w="9519"/>
          </w:cols>
          <w:pgMar w:left="940" w:top="631" w:right="1440" w:bottom="0" w:gutter="0" w:footer="0" w:header="0"/>
        </w:sectPr>
      </w:pPr>
    </w:p>
    <w:bookmarkStart w:id="25" w:name="page26"/>
    <w:bookmarkEnd w:id="25"/>
    <w:p>
      <w:pPr>
        <w:jc w:val="both"/>
        <w:ind w:left="359" w:right="3119"/>
        <w:spacing w:after="0" w:line="239" w:lineRule="auto"/>
        <w:rPr>
          <w:sz w:val="20"/>
          <w:szCs w:val="20"/>
          <w:color w:val="auto"/>
        </w:rPr>
      </w:pPr>
      <w:r>
        <w:rPr>
          <w:rFonts w:ascii="Courier New" w:cs="Courier New" w:eastAsia="Courier New" w:hAnsi="Courier New"/>
          <w:sz w:val="15"/>
          <w:szCs w:val="15"/>
          <w:color w:val="auto"/>
        </w:rPr>
        <w:t>stock held by E.mergent, which consisted of 50,317 shares, will be distributed to E.mergent employees immediately prior to the consummation of the merger.</w:t>
      </w:r>
    </w:p>
    <w:p>
      <w:pPr>
        <w:spacing w:after="0" w:line="175" w:lineRule="exact"/>
        <w:rPr>
          <w:sz w:val="20"/>
          <w:szCs w:val="20"/>
          <w:color w:val="auto"/>
        </w:rPr>
      </w:pPr>
    </w:p>
    <w:p>
      <w:pPr>
        <w:jc w:val="both"/>
        <w:ind w:left="359" w:right="3119" w:hanging="359"/>
        <w:spacing w:after="0"/>
        <w:tabs>
          <w:tab w:leader="none" w:pos="35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value of the shares of ClearOne common stock issued to holders of E.mergent common stock as follows: (751,181 shares x $16.55 per share). The per share price is based on ClearOne's average closing price two days prior to and two days subsequent to January 21, 2002 (the announcement date for the acquisition and</w:t>
      </w:r>
    </w:p>
    <w:p>
      <w:pPr>
        <w:spacing w:after="0" w:line="342" w:lineRule="exact"/>
        <w:rPr>
          <w:sz w:val="20"/>
          <w:szCs w:val="20"/>
          <w:color w:val="auto"/>
        </w:rPr>
      </w:pPr>
    </w:p>
    <w:p>
      <w:pPr>
        <w:ind w:left="2759"/>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9518"/>
          </w:cols>
          <w:pgMar w:left="941" w:top="141" w:right="1440" w:bottom="1440" w:gutter="0" w:footer="0" w:header="0"/>
        </w:sectPr>
      </w:pPr>
    </w:p>
    <w:bookmarkStart w:id="26" w:name="page27"/>
    <w:bookmarkEnd w:id="26"/>
    <w:p>
      <w:pPr>
        <w:ind w:left="359" w:right="3119"/>
        <w:spacing w:after="0" w:line="238" w:lineRule="auto"/>
        <w:rPr>
          <w:sz w:val="20"/>
          <w:szCs w:val="20"/>
          <w:color w:val="auto"/>
        </w:rPr>
      </w:pPr>
      <w:r>
        <w:rPr>
          <w:rFonts w:ascii="Courier New" w:cs="Courier New" w:eastAsia="Courier New" w:hAnsi="Courier New"/>
          <w:sz w:val="15"/>
          <w:szCs w:val="15"/>
          <w:color w:val="auto"/>
        </w:rPr>
        <w:t>merger) and assumes that no E.mergent stock options outstanding on the date of the merger agreement have been exercised.</w:t>
      </w:r>
    </w:p>
    <w:p>
      <w:pPr>
        <w:spacing w:after="0" w:line="175" w:lineRule="exact"/>
        <w:rPr>
          <w:sz w:val="20"/>
          <w:szCs w:val="20"/>
          <w:color w:val="auto"/>
        </w:rPr>
      </w:pPr>
    </w:p>
    <w:p>
      <w:pPr>
        <w:ind w:left="359" w:right="3119" w:hanging="359"/>
        <w:spacing w:after="0" w:line="238" w:lineRule="auto"/>
        <w:tabs>
          <w:tab w:leader="none" w:pos="359"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Elimination of sales and related cost of sales between ClearOne and E.mergent.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2759"/>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9518"/>
          </w:cols>
          <w:pgMar w:left="941" w:top="631" w:right="1440" w:bottom="1440" w:gutter="0" w:footer="0" w:header="0"/>
        </w:sectPr>
      </w:pPr>
    </w:p>
    <w:bookmarkStart w:id="27" w:name="page28"/>
    <w:bookmarkEnd w:id="27"/>
    <w:p>
      <w:pPr>
        <w:ind w:left="1320"/>
        <w:spacing w:after="0"/>
        <w:rPr>
          <w:sz w:val="20"/>
          <w:szCs w:val="20"/>
          <w:color w:val="auto"/>
        </w:rPr>
      </w:pPr>
      <w:r>
        <w:rPr>
          <w:rFonts w:ascii="Courier New" w:cs="Courier New" w:eastAsia="Courier New" w:hAnsi="Courier New"/>
          <w:sz w:val="15"/>
          <w:szCs w:val="15"/>
          <w:color w:val="auto"/>
        </w:rPr>
        <w:t>HISTORICAL AND PRO FORMA COMPARATIVE PER SHARE DATA</w:t>
      </w:r>
    </w:p>
    <w:p>
      <w:pPr>
        <w:spacing w:after="0" w:line="174" w:lineRule="exact"/>
        <w:rPr>
          <w:sz w:val="20"/>
          <w:szCs w:val="20"/>
          <w:color w:val="auto"/>
        </w:rPr>
      </w:pPr>
    </w:p>
    <w:p>
      <w:pPr>
        <w:ind w:firstLine="710"/>
        <w:spacing w:after="0" w:line="260" w:lineRule="auto"/>
        <w:rPr>
          <w:sz w:val="20"/>
          <w:szCs w:val="20"/>
          <w:color w:val="auto"/>
        </w:rPr>
      </w:pPr>
      <w:r>
        <w:rPr>
          <w:rFonts w:ascii="Courier New" w:cs="Courier New" w:eastAsia="Courier New" w:hAnsi="Courier New"/>
          <w:sz w:val="14"/>
          <w:szCs w:val="14"/>
          <w:color w:val="auto"/>
        </w:rPr>
        <w:t>The following table compares historical and unaudited pro forma earnings (loss) per share and book value per share information for ClearOne and E.mergent. You should read the table together with the financial information for ClearOne and E.mergent incorporated by reference in this proxy statement/prospectus. You should not rely on the pro forma financial information as an indication of the results that ClearOne would have achieved if the merger had taken place earlier or of the results of ClearOne after the merger.</w:t>
      </w:r>
    </w:p>
    <w:p>
      <w:pPr>
        <w:spacing w:after="0" w:line="163" w:lineRule="exact"/>
        <w:rPr>
          <w:sz w:val="20"/>
          <w:szCs w:val="20"/>
          <w:color w:val="auto"/>
        </w:rPr>
      </w:pPr>
    </w:p>
    <w:p>
      <w:pPr>
        <w:ind w:firstLine="710"/>
        <w:spacing w:after="0" w:line="259" w:lineRule="auto"/>
        <w:rPr>
          <w:sz w:val="20"/>
          <w:szCs w:val="20"/>
          <w:color w:val="auto"/>
        </w:rPr>
      </w:pPr>
      <w:r>
        <w:rPr>
          <w:rFonts w:ascii="Courier New" w:cs="Courier New" w:eastAsia="Courier New" w:hAnsi="Courier New"/>
          <w:sz w:val="14"/>
          <w:szCs w:val="14"/>
          <w:color w:val="auto"/>
        </w:rPr>
        <w:t>The unaudited equivalent pro forma per share data are calculated based on the unaudited pro forma combined per share data (which gives effect to the Ivron acquisition and the E.mergent acquisition) multiplied by an exchange ratio of 0.20102 of a share of ClearOne common stock for each share of E.mergent common stock outstanding. This exchange ratio (i) reflects the average closing price of the ClearOne common stock two days prior to and two days subsequent to January 21, 2002 of $16.55, and (ii) assumes that no E.mergent stock options outstanding on the date of the merger agreement have been exercised. The actual exchange ratio will not be determined until shortly before the completion of the merger and will impact the pro forma per share amounts shown on this page. Neither ClearOne nor E.mergent has ever declared or paid dividends.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900" w:type="dxa"/>
            <w:vAlign w:val="bottom"/>
          </w:tcPr>
          <w:p>
            <w:pPr>
              <w:ind w:left="320"/>
              <w:spacing w:after="0"/>
              <w:rPr>
                <w:sz w:val="20"/>
                <w:szCs w:val="20"/>
                <w:color w:val="auto"/>
              </w:rPr>
            </w:pPr>
            <w:r>
              <w:rPr>
                <w:rFonts w:ascii="Courier New" w:cs="Courier New" w:eastAsia="Courier New" w:hAnsi="Courier New"/>
                <w:sz w:val="15"/>
                <w:szCs w:val="15"/>
                <w:color w:val="auto"/>
              </w:rPr>
              <w:t>Fiscal</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Year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w w:val="93"/>
              </w:rPr>
              <w:t>Ended</w:t>
            </w:r>
          </w:p>
        </w:tc>
      </w:tr>
      <w:tr>
        <w:trPr>
          <w:trHeight w:val="171"/>
        </w:trPr>
        <w:tc>
          <w:tcPr>
            <w:tcW w:w="1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340" w:type="dxa"/>
            <w:vAlign w:val="bottom"/>
            <w:gridSpan w:val="2"/>
          </w:tcPr>
          <w:p>
            <w:pPr>
              <w:ind w:left="580"/>
              <w:spacing w:after="0"/>
              <w:rPr>
                <w:sz w:val="20"/>
                <w:szCs w:val="20"/>
                <w:color w:val="auto"/>
              </w:rPr>
            </w:pPr>
            <w:r>
              <w:rPr>
                <w:rFonts w:ascii="Courier New" w:cs="Courier New" w:eastAsia="Courier New" w:hAnsi="Courier New"/>
                <w:sz w:val="15"/>
                <w:szCs w:val="15"/>
                <w:color w:val="auto"/>
              </w:rPr>
              <w:t>June 30,</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2001</w:t>
            </w:r>
          </w:p>
        </w:tc>
      </w:tr>
      <w:tr>
        <w:trPr>
          <w:trHeight w:val="171"/>
        </w:trPr>
        <w:tc>
          <w:tcPr>
            <w:tcW w:w="12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820" w:type="dxa"/>
            <w:vAlign w:val="bottom"/>
            <w:gridSpan w:val="3"/>
          </w:tcPr>
          <w:p>
            <w:pPr>
              <w:ind w:left="320"/>
              <w:spacing w:after="0"/>
              <w:rPr>
                <w:sz w:val="20"/>
                <w:szCs w:val="20"/>
                <w:color w:val="auto"/>
              </w:rPr>
            </w:pPr>
            <w:r>
              <w:rPr>
                <w:rFonts w:ascii="Courier New" w:cs="Courier New" w:eastAsia="Courier New" w:hAnsi="Courier New"/>
                <w:sz w:val="15"/>
                <w:szCs w:val="15"/>
                <w:color w:val="auto"/>
                <w:w w:val="96"/>
              </w:rPr>
              <w:t>-----------------</w:t>
            </w:r>
          </w:p>
        </w:tc>
      </w:tr>
      <w:tr>
        <w:trPr>
          <w:trHeight w:val="341"/>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CLEARONE HISTORICAL:</w:t>
            </w: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Basic earnings</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per share from continuing operations</w:t>
            </w:r>
          </w:p>
        </w:tc>
        <w:tc>
          <w:tcPr>
            <w:tcW w:w="90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0.64</w:t>
            </w:r>
          </w:p>
        </w:tc>
        <w:tc>
          <w:tcPr>
            <w:tcW w:w="480" w:type="dxa"/>
            <w:vAlign w:val="bottom"/>
          </w:tcPr>
          <w:p>
            <w:pPr>
              <w:spacing w:after="0"/>
              <w:rPr>
                <w:sz w:val="14"/>
                <w:szCs w:val="14"/>
                <w:color w:val="auto"/>
              </w:rPr>
            </w:pPr>
          </w:p>
        </w:tc>
      </w:tr>
      <w:tr>
        <w:trPr>
          <w:trHeight w:val="171"/>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per share from continuing</w:t>
            </w:r>
          </w:p>
        </w:tc>
        <w:tc>
          <w:tcPr>
            <w:tcW w:w="90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0.61</w:t>
            </w:r>
          </w:p>
        </w:tc>
        <w:tc>
          <w:tcPr>
            <w:tcW w:w="480" w:type="dxa"/>
            <w:vAlign w:val="bottom"/>
          </w:tcPr>
          <w:p>
            <w:pPr>
              <w:spacing w:after="0"/>
              <w:rPr>
                <w:sz w:val="14"/>
                <w:szCs w:val="14"/>
                <w:color w:val="auto"/>
              </w:rPr>
            </w:pPr>
          </w:p>
        </w:tc>
      </w:tr>
      <w:tr>
        <w:trPr>
          <w:trHeight w:val="171"/>
        </w:trPr>
        <w:tc>
          <w:tcPr>
            <w:tcW w:w="1280" w:type="dxa"/>
            <w:vAlign w:val="bottom"/>
          </w:tcPr>
          <w:p>
            <w:pPr>
              <w:ind w:left="260"/>
              <w:spacing w:after="0"/>
              <w:rPr>
                <w:sz w:val="20"/>
                <w:szCs w:val="20"/>
                <w:color w:val="auto"/>
              </w:rPr>
            </w:pPr>
            <w:r>
              <w:rPr>
                <w:rFonts w:ascii="Courier New" w:cs="Courier New" w:eastAsia="Courier New" w:hAnsi="Courier New"/>
                <w:sz w:val="15"/>
                <w:szCs w:val="15"/>
                <w:color w:val="auto"/>
              </w:rPr>
              <w:t>operations</w:t>
            </w:r>
          </w:p>
        </w:tc>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Book value per</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90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2.84</w:t>
            </w:r>
          </w:p>
        </w:tc>
        <w:tc>
          <w:tcPr>
            <w:tcW w:w="480" w:type="dxa"/>
            <w:vAlign w:val="bottom"/>
          </w:tcPr>
          <w:p>
            <w:pPr>
              <w:spacing w:after="0"/>
              <w:rPr>
                <w:sz w:val="14"/>
                <w:szCs w:val="14"/>
                <w:color w:val="auto"/>
              </w:rPr>
            </w:pP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rPr>
              <w:t>E.MERGENT:</w:t>
            </w:r>
          </w:p>
        </w:tc>
        <w:tc>
          <w:tcPr>
            <w:tcW w:w="35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Basic earnings</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per share (unaudited)</w:t>
            </w:r>
          </w:p>
        </w:tc>
        <w:tc>
          <w:tcPr>
            <w:tcW w:w="90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0.13</w:t>
            </w:r>
          </w:p>
        </w:tc>
        <w:tc>
          <w:tcPr>
            <w:tcW w:w="480" w:type="dxa"/>
            <w:vAlign w:val="bottom"/>
          </w:tcPr>
          <w:p>
            <w:pPr>
              <w:spacing w:after="0"/>
              <w:rPr>
                <w:sz w:val="14"/>
                <w:szCs w:val="14"/>
                <w:color w:val="auto"/>
              </w:rPr>
            </w:pPr>
          </w:p>
        </w:tc>
      </w:tr>
      <w:tr>
        <w:trPr>
          <w:trHeight w:val="171"/>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per share (unaudited)</w:t>
            </w:r>
          </w:p>
        </w:tc>
        <w:tc>
          <w:tcPr>
            <w:tcW w:w="90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0.12</w:t>
            </w:r>
          </w:p>
        </w:tc>
        <w:tc>
          <w:tcPr>
            <w:tcW w:w="480" w:type="dxa"/>
            <w:vAlign w:val="bottom"/>
          </w:tcPr>
          <w:p>
            <w:pPr>
              <w:spacing w:after="0"/>
              <w:rPr>
                <w:sz w:val="14"/>
                <w:szCs w:val="14"/>
                <w:color w:val="auto"/>
              </w:rPr>
            </w:pP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Book value per</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share (unaudited)</w:t>
            </w:r>
          </w:p>
        </w:tc>
        <w:tc>
          <w:tcPr>
            <w:tcW w:w="90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1.25</w:t>
            </w:r>
          </w:p>
        </w:tc>
        <w:tc>
          <w:tcPr>
            <w:tcW w:w="480" w:type="dxa"/>
            <w:vAlign w:val="bottom"/>
          </w:tcPr>
          <w:p>
            <w:pPr>
              <w:spacing w:after="0"/>
              <w:rPr>
                <w:sz w:val="14"/>
                <w:szCs w:val="14"/>
                <w:color w:val="auto"/>
              </w:rPr>
            </w:pPr>
          </w:p>
        </w:tc>
      </w:tr>
      <w:tr>
        <w:trPr>
          <w:trHeight w:val="171"/>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UNAUDITED PRO FORMA COMBINED:</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Basic earnings</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90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0.29</w:t>
            </w:r>
          </w:p>
        </w:tc>
        <w:tc>
          <w:tcPr>
            <w:tcW w:w="480" w:type="dxa"/>
            <w:vAlign w:val="bottom"/>
          </w:tcPr>
          <w:p>
            <w:pPr>
              <w:spacing w:after="0"/>
              <w:rPr>
                <w:sz w:val="14"/>
                <w:szCs w:val="14"/>
                <w:color w:val="auto"/>
              </w:rPr>
            </w:pPr>
          </w:p>
        </w:tc>
      </w:tr>
      <w:tr>
        <w:trPr>
          <w:trHeight w:val="171"/>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per share</w:t>
            </w:r>
          </w:p>
        </w:tc>
        <w:tc>
          <w:tcPr>
            <w:tcW w:w="90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0.27</w:t>
            </w:r>
          </w:p>
        </w:tc>
        <w:tc>
          <w:tcPr>
            <w:tcW w:w="480" w:type="dxa"/>
            <w:vAlign w:val="bottom"/>
          </w:tcPr>
          <w:p>
            <w:pPr>
              <w:spacing w:after="0"/>
              <w:rPr>
                <w:sz w:val="14"/>
                <w:szCs w:val="14"/>
                <w:color w:val="auto"/>
              </w:rPr>
            </w:pP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Book value per</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90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r>
      <w:tr>
        <w:trPr>
          <w:trHeight w:val="171"/>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UNAUDITED EQUIVALENT PRO FORMA COMBINED:</w:t>
            </w: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Basic earnings</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per share</w:t>
            </w:r>
          </w:p>
        </w:tc>
        <w:tc>
          <w:tcPr>
            <w:tcW w:w="90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0.06</w:t>
            </w:r>
          </w:p>
        </w:tc>
        <w:tc>
          <w:tcPr>
            <w:tcW w:w="480" w:type="dxa"/>
            <w:vAlign w:val="bottom"/>
          </w:tcPr>
          <w:p>
            <w:pPr>
              <w:spacing w:after="0"/>
              <w:rPr>
                <w:sz w:val="14"/>
                <w:szCs w:val="14"/>
                <w:color w:val="auto"/>
              </w:rPr>
            </w:pPr>
          </w:p>
        </w:tc>
      </w:tr>
      <w:tr>
        <w:trPr>
          <w:trHeight w:val="171"/>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earnings per share</w:t>
            </w:r>
          </w:p>
        </w:tc>
        <w:tc>
          <w:tcPr>
            <w:tcW w:w="90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0.05</w:t>
            </w:r>
          </w:p>
        </w:tc>
        <w:tc>
          <w:tcPr>
            <w:tcW w:w="480" w:type="dxa"/>
            <w:vAlign w:val="bottom"/>
          </w:tcPr>
          <w:p>
            <w:pPr>
              <w:spacing w:after="0"/>
              <w:rPr>
                <w:sz w:val="14"/>
                <w:szCs w:val="14"/>
                <w:color w:val="auto"/>
              </w:rPr>
            </w:pPr>
          </w:p>
        </w:tc>
      </w:tr>
      <w:tr>
        <w:trPr>
          <w:trHeight w:val="171"/>
        </w:trPr>
        <w:tc>
          <w:tcPr>
            <w:tcW w:w="1280" w:type="dxa"/>
            <w:vAlign w:val="bottom"/>
          </w:tcPr>
          <w:p>
            <w:pPr>
              <w:spacing w:after="0"/>
              <w:rPr>
                <w:sz w:val="20"/>
                <w:szCs w:val="20"/>
                <w:color w:val="auto"/>
              </w:rPr>
            </w:pPr>
            <w:r>
              <w:rPr>
                <w:rFonts w:ascii="Courier New" w:cs="Courier New" w:eastAsia="Courier New" w:hAnsi="Courier New"/>
                <w:sz w:val="15"/>
                <w:szCs w:val="15"/>
                <w:color w:val="auto"/>
                <w:w w:val="99"/>
              </w:rPr>
              <w:t>Book value per</w:t>
            </w:r>
          </w:p>
        </w:tc>
        <w:tc>
          <w:tcPr>
            <w:tcW w:w="3540" w:type="dxa"/>
            <w:vAlign w:val="bottom"/>
          </w:tcPr>
          <w:p>
            <w:pPr>
              <w:ind w:left="40"/>
              <w:spacing w:after="0"/>
              <w:rPr>
                <w:sz w:val="20"/>
                <w:szCs w:val="20"/>
                <w:color w:val="auto"/>
              </w:rPr>
            </w:pPr>
            <w:r>
              <w:rPr>
                <w:rFonts w:ascii="Courier New" w:cs="Courier New" w:eastAsia="Courier New" w:hAnsi="Courier New"/>
                <w:sz w:val="15"/>
                <w:szCs w:val="15"/>
                <w:color w:val="auto"/>
              </w:rPr>
              <w:t>share</w:t>
            </w:r>
          </w:p>
        </w:tc>
        <w:tc>
          <w:tcPr>
            <w:tcW w:w="900" w:type="dxa"/>
            <w:vAlign w:val="bottom"/>
          </w:tcPr>
          <w:p>
            <w:pPr>
              <w:spacing w:after="0"/>
              <w:rPr>
                <w:sz w:val="14"/>
                <w:szCs w:val="14"/>
                <w:color w:val="auto"/>
              </w:rPr>
            </w:pPr>
          </w:p>
        </w:tc>
        <w:tc>
          <w:tcPr>
            <w:tcW w:w="44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December 31, 2001</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51" w:lineRule="exact"/>
        <w:rPr>
          <w:sz w:val="20"/>
          <w:szCs w:val="20"/>
          <w:color w:val="auto"/>
        </w:rPr>
      </w:pPr>
    </w:p>
    <w:p>
      <w:pPr>
        <w:ind w:left="800" w:hanging="353"/>
        <w:spacing w:after="0"/>
        <w:tabs>
          <w:tab w:leader="none" w:pos="80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0.33</w:t>
      </w: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0.31</w:t>
      </w:r>
    </w:p>
    <w:p>
      <w:pPr>
        <w:spacing w:after="0" w:line="171"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5.08</w:t>
      </w:r>
    </w:p>
    <w:p>
      <w:pPr>
        <w:spacing w:after="0" w:line="171"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0.08</w:t>
      </w: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0.08</w:t>
      </w: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1.29</w:t>
      </w:r>
    </w:p>
    <w:p>
      <w:pPr>
        <w:spacing w:after="0" w:line="171"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0.17</w:t>
      </w: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0.16</w:t>
      </w: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5.97</w:t>
      </w:r>
    </w:p>
    <w:p>
      <w:pPr>
        <w:spacing w:after="0" w:line="171"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0.03</w:t>
      </w: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0.03</w:t>
      </w: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1.20</w:t>
      </w:r>
    </w:p>
    <w:p>
      <w:pPr>
        <w:sectPr>
          <w:pgSz w:w="11900" w:h="16838" w:orient="portrait"/>
          <w:cols w:equalWidth="0" w:num="2">
            <w:col w:w="7100" w:space="520"/>
            <w:col w:w="2599"/>
          </w:cols>
          <w:pgMar w:left="240" w:top="628" w:right="1440" w:bottom="1440" w:gutter="0" w:footer="0" w:header="0"/>
        </w:sectPr>
      </w:pPr>
    </w:p>
    <w:bookmarkStart w:id="28" w:name="page29"/>
    <w:bookmarkEnd w:id="28"/>
    <w:p>
      <w:pPr>
        <w:ind w:left="1869"/>
        <w:spacing w:after="0"/>
        <w:rPr>
          <w:sz w:val="20"/>
          <w:szCs w:val="20"/>
          <w:color w:val="auto"/>
        </w:rPr>
      </w:pPr>
      <w:r>
        <w:rPr>
          <w:rFonts w:ascii="Courier New" w:cs="Courier New" w:eastAsia="Courier New" w:hAnsi="Courier New"/>
          <w:sz w:val="15"/>
          <w:szCs w:val="15"/>
          <w:color w:val="auto"/>
        </w:rPr>
        <w:t>COMPARATIVE PER SHARE MARKET PRICE DATA</w:t>
      </w:r>
    </w:p>
    <w:p>
      <w:pPr>
        <w:spacing w:after="0" w:line="174" w:lineRule="exact"/>
        <w:rPr>
          <w:sz w:val="20"/>
          <w:szCs w:val="20"/>
          <w:color w:val="auto"/>
        </w:rPr>
      </w:pPr>
    </w:p>
    <w:p>
      <w:pPr>
        <w:ind w:left="9" w:right="3119" w:firstLine="710"/>
        <w:spacing w:after="0" w:line="239" w:lineRule="auto"/>
        <w:rPr>
          <w:sz w:val="20"/>
          <w:szCs w:val="20"/>
          <w:color w:val="auto"/>
        </w:rPr>
      </w:pPr>
      <w:r>
        <w:rPr>
          <w:rFonts w:ascii="Courier New" w:cs="Courier New" w:eastAsia="Courier New" w:hAnsi="Courier New"/>
          <w:sz w:val="15"/>
          <w:szCs w:val="15"/>
          <w:color w:val="auto"/>
        </w:rPr>
        <w:t>E.mergent common stock is traded on the Nasdaq SmallCap Market under the symbol "EMRT." ClearOne common stock is traded on the Nasdaq National Market under the symbol "CLRO."</w:t>
      </w:r>
    </w:p>
    <w:p>
      <w:pPr>
        <w:spacing w:after="0" w:line="175" w:lineRule="exact"/>
        <w:rPr>
          <w:sz w:val="20"/>
          <w:szCs w:val="20"/>
          <w:color w:val="auto"/>
        </w:rPr>
      </w:pPr>
    </w:p>
    <w:p>
      <w:pPr>
        <w:ind w:left="9" w:right="3119" w:firstLine="710"/>
        <w:spacing w:after="0"/>
        <w:rPr>
          <w:sz w:val="20"/>
          <w:szCs w:val="20"/>
          <w:color w:val="auto"/>
        </w:rPr>
      </w:pPr>
      <w:r>
        <w:rPr>
          <w:rFonts w:ascii="Courier New" w:cs="Courier New" w:eastAsia="Courier New" w:hAnsi="Courier New"/>
          <w:sz w:val="15"/>
          <w:szCs w:val="15"/>
          <w:color w:val="auto"/>
        </w:rPr>
        <w:t>The following table shows the closing prices per share of E.mergent common stock and ClearOne common stock as reported on the Nasdaq SmallCap Market and the Nasdaq National Market, respectively, on (1) January 18, 2002, the business day preceding the public announcement that ClearOne and E.mergent had entered into the merger agreement and (2) May 3, 2002.</w:t>
      </w:r>
    </w:p>
    <w:p>
      <w:pPr>
        <w:spacing w:after="0" w:line="174" w:lineRule="exact"/>
        <w:rPr>
          <w:sz w:val="20"/>
          <w:szCs w:val="20"/>
          <w:color w:val="auto"/>
        </w:rPr>
      </w:pPr>
    </w:p>
    <w:p>
      <w:pPr>
        <w:ind w:left="9" w:right="3219" w:firstLine="710"/>
        <w:spacing w:after="0"/>
        <w:rPr>
          <w:sz w:val="20"/>
          <w:szCs w:val="20"/>
          <w:color w:val="auto"/>
        </w:rPr>
      </w:pPr>
      <w:r>
        <w:rPr>
          <w:rFonts w:ascii="Courier New" w:cs="Courier New" w:eastAsia="Courier New" w:hAnsi="Courier New"/>
          <w:sz w:val="15"/>
          <w:szCs w:val="15"/>
          <w:color w:val="auto"/>
        </w:rPr>
        <w:t>The following table also includes the equivalent price per share of E.mergent common stock on those dates. This equivalent per share price reflects the combined value of the ClearOne common stock and cash that you would receive for each share of your E.mergent common stock if the merger had been completed on any of these dates.</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tcPr>
          <w:p>
            <w:pPr>
              <w:jc w:val="center"/>
              <w:ind w:left="426"/>
              <w:spacing w:after="0"/>
              <w:rPr>
                <w:sz w:val="20"/>
                <w:szCs w:val="20"/>
                <w:color w:val="auto"/>
              </w:rPr>
            </w:pPr>
            <w:r>
              <w:rPr>
                <w:rFonts w:ascii="Courier New" w:cs="Courier New" w:eastAsia="Courier New" w:hAnsi="Courier New"/>
                <w:sz w:val="15"/>
                <w:szCs w:val="15"/>
                <w:color w:val="auto"/>
                <w:w w:val="98"/>
              </w:rPr>
              <w:t>E.mergent</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ClearOne</w:t>
            </w:r>
          </w:p>
        </w:tc>
        <w:tc>
          <w:tcPr>
            <w:tcW w:w="152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Equivalent</w:t>
            </w:r>
          </w:p>
        </w:tc>
      </w:tr>
      <w:tr>
        <w:trPr>
          <w:trHeight w:val="171"/>
        </w:trPr>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tcPr>
          <w:p>
            <w:pPr>
              <w:ind w:left="580"/>
              <w:spacing w:after="0"/>
              <w:rPr>
                <w:sz w:val="20"/>
                <w:szCs w:val="20"/>
                <w:color w:val="auto"/>
              </w:rPr>
            </w:pPr>
            <w:r>
              <w:rPr>
                <w:rFonts w:ascii="Courier New" w:cs="Courier New" w:eastAsia="Courier New" w:hAnsi="Courier New"/>
                <w:sz w:val="15"/>
                <w:szCs w:val="15"/>
                <w:color w:val="auto"/>
              </w:rPr>
              <w:t>Common Stock</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Common Stock</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Price Per Share</w:t>
            </w:r>
          </w:p>
        </w:tc>
      </w:tr>
      <w:tr>
        <w:trPr>
          <w:trHeight w:val="171"/>
        </w:trPr>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2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1"/>
        </w:trPr>
        <w:tc>
          <w:tcPr>
            <w:tcW w:w="1020" w:type="dxa"/>
            <w:vAlign w:val="bottom"/>
          </w:tcPr>
          <w:p>
            <w:pPr>
              <w:spacing w:after="0"/>
              <w:rPr>
                <w:sz w:val="20"/>
                <w:szCs w:val="20"/>
                <w:color w:val="auto"/>
              </w:rPr>
            </w:pPr>
            <w:r>
              <w:rPr>
                <w:rFonts w:ascii="Courier New" w:cs="Courier New" w:eastAsia="Courier New" w:hAnsi="Courier New"/>
                <w:sz w:val="15"/>
                <w:szCs w:val="15"/>
                <w:color w:val="auto"/>
              </w:rPr>
              <w:t>January 18,</w:t>
            </w:r>
          </w:p>
        </w:tc>
        <w:tc>
          <w:tcPr>
            <w:tcW w:w="96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2002</w:t>
            </w:r>
          </w:p>
        </w:tc>
        <w:tc>
          <w:tcPr>
            <w:tcW w:w="1820" w:type="dxa"/>
            <w:vAlign w:val="bottom"/>
          </w:tcPr>
          <w:p>
            <w:pPr>
              <w:jc w:val="center"/>
              <w:ind w:left="426"/>
              <w:spacing w:after="0"/>
              <w:rPr>
                <w:sz w:val="20"/>
                <w:szCs w:val="20"/>
                <w:color w:val="auto"/>
              </w:rPr>
            </w:pPr>
            <w:r>
              <w:rPr>
                <w:rFonts w:ascii="Courier New" w:cs="Courier New" w:eastAsia="Courier New" w:hAnsi="Courier New"/>
                <w:sz w:val="15"/>
                <w:szCs w:val="15"/>
                <w:color w:val="auto"/>
                <w:w w:val="97"/>
              </w:rPr>
              <w:t>$2.95</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$17.16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$3.41</w:t>
            </w:r>
          </w:p>
        </w:tc>
        <w:tc>
          <w:tcPr>
            <w:tcW w:w="5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w:t>
            </w:r>
          </w:p>
        </w:tc>
      </w:tr>
      <w:tr>
        <w:trPr>
          <w:trHeight w:val="171"/>
        </w:trPr>
        <w:tc>
          <w:tcPr>
            <w:tcW w:w="1020" w:type="dxa"/>
            <w:vAlign w:val="bottom"/>
          </w:tcPr>
          <w:p>
            <w:pPr>
              <w:spacing w:after="0"/>
              <w:rPr>
                <w:sz w:val="20"/>
                <w:szCs w:val="20"/>
                <w:color w:val="auto"/>
              </w:rPr>
            </w:pPr>
            <w:r>
              <w:rPr>
                <w:rFonts w:ascii="Courier New" w:cs="Courier New" w:eastAsia="Courier New" w:hAnsi="Courier New"/>
                <w:sz w:val="15"/>
                <w:szCs w:val="15"/>
                <w:color w:val="auto"/>
              </w:rPr>
              <w:t>May 3, 2002</w:t>
            </w:r>
          </w:p>
        </w:tc>
        <w:tc>
          <w:tcPr>
            <w:tcW w:w="960" w:type="dxa"/>
            <w:vAlign w:val="bottom"/>
          </w:tcPr>
          <w:p>
            <w:pPr>
              <w:spacing w:after="0"/>
              <w:rPr>
                <w:sz w:val="14"/>
                <w:szCs w:val="14"/>
                <w:color w:val="auto"/>
              </w:rPr>
            </w:pPr>
          </w:p>
        </w:tc>
        <w:tc>
          <w:tcPr>
            <w:tcW w:w="1820" w:type="dxa"/>
            <w:vAlign w:val="bottom"/>
          </w:tcPr>
          <w:p>
            <w:pPr>
              <w:jc w:val="center"/>
              <w:ind w:left="426"/>
              <w:spacing w:after="0"/>
              <w:rPr>
                <w:sz w:val="20"/>
                <w:szCs w:val="20"/>
                <w:color w:val="auto"/>
              </w:rPr>
            </w:pPr>
            <w:r>
              <w:rPr>
                <w:rFonts w:ascii="Courier New" w:cs="Courier New" w:eastAsia="Courier New" w:hAnsi="Courier New"/>
                <w:sz w:val="15"/>
                <w:szCs w:val="15"/>
                <w:color w:val="auto"/>
                <w:w w:val="97"/>
              </w:rPr>
              <w:t>$3.40</w:t>
            </w:r>
          </w:p>
        </w:tc>
        <w:tc>
          <w:tcPr>
            <w:tcW w:w="142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$17.20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$3.41</w:t>
            </w:r>
          </w:p>
        </w:tc>
        <w:tc>
          <w:tcPr>
            <w:tcW w:w="58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w:t>
            </w:r>
          </w:p>
        </w:tc>
      </w:tr>
    </w:tbl>
    <w:p>
      <w:pPr>
        <w:spacing w:after="0" w:line="171" w:lineRule="exact"/>
        <w:rPr>
          <w:sz w:val="20"/>
          <w:szCs w:val="20"/>
          <w:color w:val="auto"/>
        </w:rPr>
      </w:pPr>
    </w:p>
    <w:p>
      <w:pPr>
        <w:ind w:left="349" w:hanging="349"/>
        <w:spacing w:after="0"/>
        <w:tabs>
          <w:tab w:leader="none" w:pos="34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combined value of cash ($1.23) and stock ($2.18).</w:t>
      </w:r>
    </w:p>
    <w:p>
      <w:pPr>
        <w:spacing w:after="0" w:line="3" w:lineRule="exact"/>
        <w:rPr>
          <w:rFonts w:ascii="Courier New" w:cs="Courier New" w:eastAsia="Courier New" w:hAnsi="Courier New"/>
          <w:sz w:val="15"/>
          <w:szCs w:val="15"/>
          <w:color w:val="auto"/>
        </w:rPr>
      </w:pPr>
    </w:p>
    <w:p>
      <w:pPr>
        <w:ind w:left="9" w:right="3479" w:hanging="9"/>
        <w:spacing w:after="0" w:line="271" w:lineRule="auto"/>
        <w:tabs>
          <w:tab w:leader="none" w:pos="364"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the combined value of cash ($1.23) and stock ($2.18). Assumes that no E.mergent stock options were exercised after January 18, 2002.</w:t>
      </w:r>
    </w:p>
    <w:p>
      <w:pPr>
        <w:spacing w:after="0" w:line="154" w:lineRule="exact"/>
        <w:rPr>
          <w:sz w:val="20"/>
          <w:szCs w:val="20"/>
          <w:color w:val="auto"/>
        </w:rPr>
      </w:pPr>
    </w:p>
    <w:p>
      <w:pPr>
        <w:ind w:left="9" w:right="3119"/>
        <w:spacing w:after="0" w:line="239" w:lineRule="auto"/>
        <w:rPr>
          <w:sz w:val="20"/>
          <w:szCs w:val="20"/>
          <w:color w:val="auto"/>
        </w:rPr>
      </w:pPr>
      <w:r>
        <w:rPr>
          <w:rFonts w:ascii="Courier New" w:cs="Courier New" w:eastAsia="Courier New" w:hAnsi="Courier New"/>
          <w:sz w:val="15"/>
          <w:szCs w:val="15"/>
          <w:color w:val="auto"/>
        </w:rPr>
        <w:t>Because the market price of E.mergent common stock and ClearOne common stock may increase or decrease before the completion of the merger, you are urged to obtain current market quotations.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8"/>
          </w:cols>
          <w:pgMar w:left="231" w:top="628" w:right="1440" w:bottom="1440" w:gutter="0" w:footer="0" w:header="0"/>
        </w:sectPr>
      </w:pPr>
    </w:p>
    <w:bookmarkStart w:id="29" w:name="page30"/>
    <w:bookmarkEnd w:id="29"/>
    <w:p>
      <w:pPr>
        <w:ind w:left="3000"/>
        <w:spacing w:after="0"/>
        <w:rPr>
          <w:sz w:val="20"/>
          <w:szCs w:val="20"/>
          <w:color w:val="auto"/>
        </w:rPr>
      </w:pPr>
      <w:r>
        <w:rPr>
          <w:rFonts w:ascii="Courier New" w:cs="Courier New" w:eastAsia="Courier New" w:hAnsi="Courier New"/>
          <w:sz w:val="15"/>
          <w:szCs w:val="15"/>
          <w:color w:val="auto"/>
        </w:rPr>
        <w:t>RISK FACTORS</w:t>
      </w:r>
    </w:p>
    <w:p>
      <w:pPr>
        <w:spacing w:after="0" w:line="174"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By voting in favor of the approval of the merger agreement and merger, E.mergent stockholders will be choosing to invest in ClearOne common stock. An investment in ClearOne common stock involves a high degree of risk. In addition to the other information contained in this proxy statement/prospectus, E.mergent stockholders should carefully consider the following risk factors in deciding whether to vote for the merger. Any of the following risks could seriously harm ClearOne's or E.mergent's business and financial results and cause the value of ClearOne's or E.mergent's securities to decline which, in turn, could cause you to lose all or part of your investment.</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the Merger</w:t>
      </w:r>
    </w:p>
    <w:p>
      <w:pPr>
        <w:spacing w:after="0" w:line="345"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The ClearOne common stock to be received by E.mergent stockholders in the merger and E.mergent's common stock will fluctuate in value.</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Upon completion of the merger, each share of common stock of E.mergent will be exchanged for a specific amount of cash and a fraction of a share of ClearOne common stock. The cash portion and the share portion that you receive as merger consideration will depend on a number of factors including the weighted-average closing price of ClearOne stock during the ten (10) trading days ending one day prior to the completion of the merger and the number of E.mergent stock options exercised prior to the merger. (See page 47 of this document for a description of the merger consideration). The specific dollar value of ClearOne common stock that you will receive upon completion of the merger will depend on the market value of ClearOne common stock on the date of completion of the merger, and could vary significantly from its current value. The specific dollar value of the E.mergent common stock that you will exchange in the merger could also vary from its current value. The value of both companies' stock has been volatile and you should expect them to continue to fluctuate. These values may substantially decrease from the date you submit your proxy. We urge you to obtain recent market quotations for ClearOne common stock and E.mergent common stock. Neither ClearOne nor E.mergent can predict or give any assurance as to the respective market prices of its common stock at any time before or after completion of the merger.</w:t>
      </w:r>
    </w:p>
    <w:p>
      <w:pPr>
        <w:spacing w:after="0" w:line="356"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ClearOne may experience problems integrating the businesses of ClearOne and E.mergent. Difficulties in integrating the businesses, operations, product lines and personnel of ClearOne and E.mergent could cause ClearOne to not realize the expected benefits of the merger and incur unanticipated costs.</w:t>
      </w:r>
    </w:p>
    <w:p>
      <w:pPr>
        <w:spacing w:after="0" w:line="176" w:lineRule="exact"/>
        <w:rPr>
          <w:sz w:val="20"/>
          <w:szCs w:val="20"/>
          <w:color w:val="auto"/>
        </w:rPr>
      </w:pPr>
    </w:p>
    <w:p>
      <w:pPr>
        <w:ind w:right="3119" w:firstLine="710"/>
        <w:spacing w:after="0" w:line="260" w:lineRule="auto"/>
        <w:rPr>
          <w:sz w:val="20"/>
          <w:szCs w:val="20"/>
          <w:color w:val="auto"/>
        </w:rPr>
      </w:pPr>
      <w:r>
        <w:rPr>
          <w:rFonts w:ascii="Courier New" w:cs="Courier New" w:eastAsia="Courier New" w:hAnsi="Courier New"/>
          <w:sz w:val="14"/>
          <w:szCs w:val="14"/>
          <w:color w:val="auto"/>
        </w:rPr>
        <w:t>If ClearOne fails to successfully integrate E.mergent's business into ClearOne's business, ClearOne will incur substantial costs, which will increase its expenses and potentially decrease profitability. ClearOne's ability to achieve the benefits of the merger will depend in part on the integration of technology, operations, products and personnel of ClearOne and E.mergent. The integration process will be a complex, time-consuming and expensive process. The challenges involved in this integration include the following:</w:t>
      </w:r>
    </w:p>
    <w:p>
      <w:pPr>
        <w:spacing w:after="0" w:line="163" w:lineRule="exact"/>
        <w:rPr>
          <w:sz w:val="20"/>
          <w:szCs w:val="20"/>
          <w:color w:val="auto"/>
        </w:rPr>
      </w:pPr>
    </w:p>
    <w:p>
      <w:pPr>
        <w:jc w:val="both"/>
        <w:ind w:left="1060" w:right="3119" w:hanging="359"/>
        <w:spacing w:after="0" w:line="239" w:lineRule="auto"/>
        <w:tabs>
          <w:tab w:leader="none" w:pos="10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retaining the combined company's customers and suppliers by maintaining client service standards, business focus and product quality during the period of integration;</w:t>
      </w:r>
    </w:p>
    <w:p>
      <w:pPr>
        <w:spacing w:after="0" w:line="175"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retaining certain key employees that are important to the profitable growth of ClearOne's and E.mergent's combined business;</w:t>
      </w:r>
    </w:p>
    <w:p>
      <w:pPr>
        <w:spacing w:after="0" w:line="174"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developing and implementing uniform standards, controls, procedures and policies;</w:t>
      </w:r>
    </w:p>
    <w:p>
      <w:pPr>
        <w:spacing w:after="0" w:line="174"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implementing potential cost savings measures by eliminating redundant operations and expenses without causing customer service and employee morale to suffer; and</w:t>
      </w:r>
    </w:p>
    <w:p>
      <w:pPr>
        <w:spacing w:after="0" w:line="175"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effectively integrating different administrative and information systems at multiple, geographically dispersed locations in an efficient and timely manner.</w:t>
      </w:r>
    </w:p>
    <w:p>
      <w:pPr>
        <w:spacing w:after="0" w:line="175"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If ClearOne is unsuccessful in integrating E.mergent's business into its own, the combined revenues could fall or grow at a slower rate than anticipated, ClearOne could incur substantial unexpected expenses, and ClearOne could fail to realize the anticipated benefits of the merger.</w:t>
      </w:r>
    </w:p>
    <w:p>
      <w:pPr>
        <w:spacing w:after="0" w:line="176" w:lineRule="exact"/>
        <w:rPr>
          <w:sz w:val="20"/>
          <w:szCs w:val="20"/>
          <w:color w:val="auto"/>
        </w:rPr>
      </w:pPr>
    </w:p>
    <w:p>
      <w:pPr>
        <w:ind w:right="3219" w:firstLine="710"/>
        <w:spacing w:after="0" w:line="264" w:lineRule="auto"/>
        <w:rPr>
          <w:sz w:val="20"/>
          <w:szCs w:val="20"/>
          <w:color w:val="auto"/>
        </w:rPr>
      </w:pPr>
      <w:r>
        <w:rPr>
          <w:rFonts w:ascii="Courier New" w:cs="Courier New" w:eastAsia="Courier New" w:hAnsi="Courier New"/>
          <w:sz w:val="14"/>
          <w:szCs w:val="14"/>
          <w:color w:val="auto"/>
        </w:rPr>
        <w:t>In addition, any integration problems ClearOne experiences could divert ClearOne management's attention from other business opportunities, which could result in slower revenue growth than anticipated or in declines in revenue.</w:t>
      </w:r>
    </w:p>
    <w:p>
      <w:pPr>
        <w:spacing w:after="0" w:line="32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628" w:right="1440" w:bottom="1440" w:gutter="0" w:footer="0" w:header="0"/>
        </w:sectPr>
      </w:pPr>
    </w:p>
    <w:bookmarkStart w:id="30" w:name="page31"/>
    <w:bookmarkEnd w:id="30"/>
    <w:p>
      <w:pPr>
        <w:ind w:right="3119"/>
        <w:spacing w:after="0" w:line="271" w:lineRule="auto"/>
        <w:rPr>
          <w:sz w:val="20"/>
          <w:szCs w:val="20"/>
          <w:color w:val="auto"/>
        </w:rPr>
      </w:pPr>
      <w:r>
        <w:rPr>
          <w:rFonts w:ascii="Courier New" w:cs="Courier New" w:eastAsia="Courier New" w:hAnsi="Courier New"/>
          <w:sz w:val="14"/>
          <w:szCs w:val="14"/>
          <w:color w:val="auto"/>
        </w:rPr>
        <w:t>ClearOne may not realize the expected benefits of the merger due to difficulties with maximizing the anticipated advantages of combining the businesses.</w:t>
      </w:r>
    </w:p>
    <w:p>
      <w:pPr>
        <w:spacing w:after="0" w:line="154"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ClearOne's ability to achieve the benefits of the merger will also depend in part on its ability to take advantage of the combined company's product and customer base. There is no assurance that ClearOne will be able to efficiently and effectively utilize the company's combined customer base to take advantage of cross-selling opportunities that will result in the sale of more products than if the companies were separate. ClearOne will need to successfully integrate and adapt each company's product line to create new product offerings that are attractive to customers. The challenges faced by ClearOne and E.mergent in maximizing the anticipated advantages of combining the businesses include:</w:t>
      </w:r>
    </w:p>
    <w:p>
      <w:pPr>
        <w:spacing w:after="0" w:line="166" w:lineRule="exact"/>
        <w:rPr>
          <w:sz w:val="20"/>
          <w:szCs w:val="20"/>
          <w:color w:val="auto"/>
        </w:rPr>
      </w:pPr>
    </w:p>
    <w:p>
      <w:pPr>
        <w:jc w:val="both"/>
        <w:ind w:left="1060" w:right="3119" w:hanging="359"/>
        <w:spacing w:after="0" w:line="239" w:lineRule="auto"/>
        <w:tabs>
          <w:tab w:leader="none" w:pos="10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combining sales efforts and procedures so that customers can easily do business with the combined company, and sales agents can effectively access the customers of the other company; and</w:t>
      </w:r>
    </w:p>
    <w:p>
      <w:pPr>
        <w:spacing w:after="0" w:line="175"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combining product offerings and product lines effectively and quickly, including technical integration by each company's respective engineering teams.</w:t>
      </w:r>
    </w:p>
    <w:p>
      <w:pPr>
        <w:spacing w:after="0" w:line="346"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Customer uncertainty or concerns about the merger could have an adverse effect on revenues and profitability in near-term quarters for either or both companies.</w:t>
      </w:r>
    </w:p>
    <w:p>
      <w:pPr>
        <w:spacing w:after="0" w:line="175"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ClearOne's and E.mergent's customers may, in response to the announcement or consummation of the merger, delay or defer purchasing decisions. This could occur because they may be reluctant to purchase either company's product if they are uncertain about the direction of the combined company's product offerings and its willingness to support and service existing products. Specifically, certain customers of E.mergent are competitive with ClearOne in certain product markets and such customers could be reluctant to continue its historical purchasing patterns with the involvement of ClearOne. Similarly, certain customers of ClearOne have been competitive with E.mergent and there could be concerns that the combined company would result in additional competition for them. Since announcement of the merger, ClearOne and E.mergent have received questions from current and prospective customers about the status of the merger and anticipated product integration plans, which have not yet been determined. If one large customer, or a significant group of small customers, were to delay their purchase decisions pending resolution of the merger or seek products from other vendors, the quarterly revenues of either ClearOne or E.mergent could be below expectations.</w:t>
      </w:r>
    </w:p>
    <w:p>
      <w:pPr>
        <w:spacing w:after="0" w:line="200" w:lineRule="exact"/>
        <w:rPr>
          <w:sz w:val="20"/>
          <w:szCs w:val="20"/>
          <w:color w:val="auto"/>
        </w:rPr>
      </w:pPr>
    </w:p>
    <w:p>
      <w:pPr>
        <w:spacing w:after="0" w:line="304"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The merger could impair existing company relationships with employees, thereby increasing employee related expenses.</w:t>
      </w:r>
    </w:p>
    <w:p>
      <w:pPr>
        <w:spacing w:after="0" w:line="175"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E.mergent's and ClearOne's employees may experience uncertainty about their future role with the combined company. ClearOne has yet to announce its strategies with regard to employee changes resulting from the merger. This may adversely affect the combined company's ability to retain or attract key management, marketing and technical personnel. Such employee uncertainty could also cause employee productivity to suffer.</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and directors of E.mergent have potential conflicts of interest.</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E.mergent stockholders should be aware of potential conflicts of interest and the benefits available to E.mergent directors when considering E.mergent's board of directors' recommendation to approve the transaction. E.mergent officers and directors have stock options, indemnification rights and/or employment agreements that provide them with interests in the transaction that are different from, or in addition to, interests of E.mergent stockholders. These interests include the following:</w:t>
      </w:r>
    </w:p>
    <w:p>
      <w:pPr>
        <w:spacing w:after="0" w:line="176" w:lineRule="exact"/>
        <w:rPr>
          <w:sz w:val="20"/>
          <w:szCs w:val="20"/>
          <w:color w:val="auto"/>
        </w:rPr>
      </w:pPr>
    </w:p>
    <w:p>
      <w:pPr>
        <w:ind w:left="1060" w:right="3119" w:hanging="359"/>
        <w:spacing w:after="0" w:line="238" w:lineRule="auto"/>
        <w:tabs>
          <w:tab w:leader="none" w:pos="10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accelerated vesting of stock options upon completion of the merger;</w:t>
      </w:r>
    </w:p>
    <w:p>
      <w:pPr>
        <w:spacing w:after="0" w:line="174"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receipt of severance benefits under employment agreements upon termination of employment following the merger; and</w:t>
      </w:r>
    </w:p>
    <w:p>
      <w:pPr>
        <w:spacing w:after="0" w:line="174"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indemnification and insurance coverage with respect to acts taken</w:t>
      </w:r>
    </w:p>
    <w:p>
      <w:pPr>
        <w:spacing w:after="0" w:line="4" w:lineRule="exact"/>
        <w:rPr>
          <w:sz w:val="20"/>
          <w:szCs w:val="20"/>
          <w:color w:val="auto"/>
        </w:rPr>
      </w:pPr>
    </w:p>
    <w:p>
      <w:pPr>
        <w:ind w:left="960" w:right="3479"/>
        <w:spacing w:after="0" w:line="238" w:lineRule="auto"/>
        <w:rPr>
          <w:sz w:val="20"/>
          <w:szCs w:val="20"/>
          <w:color w:val="auto"/>
        </w:rPr>
      </w:pPr>
      <w:r>
        <w:rPr>
          <w:rFonts w:ascii="Courier New" w:cs="Courier New" w:eastAsia="Courier New" w:hAnsi="Courier New"/>
          <w:sz w:val="15"/>
          <w:szCs w:val="15"/>
          <w:color w:val="auto"/>
        </w:rPr>
        <w:t>and omissions to take action in their capacities as directors and officers of E.mergent.</w:t>
      </w:r>
    </w:p>
    <w:p>
      <w:pPr>
        <w:spacing w:after="0" w:line="17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The E.mergent board of directors was aware of these interests when it approved the merger agreement and merger. For a more detailed description of these interests, see "Interests of E.mergent Officers and Directors in the Transaction" on page 39.</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631" w:right="1440" w:bottom="1440" w:gutter="0" w:footer="0" w:header="0"/>
        </w:sectPr>
      </w:pPr>
    </w:p>
    <w:bookmarkStart w:id="31" w:name="page32"/>
    <w:bookmarkEnd w:id="31"/>
    <w:p>
      <w:pPr>
        <w:ind w:right="3399"/>
        <w:spacing w:after="0" w:line="239" w:lineRule="auto"/>
        <w:rPr>
          <w:sz w:val="20"/>
          <w:szCs w:val="20"/>
          <w:color w:val="auto"/>
        </w:rPr>
      </w:pPr>
      <w:r>
        <w:rPr>
          <w:rFonts w:ascii="Courier New" w:cs="Courier New" w:eastAsia="Courier New" w:hAnsi="Courier New"/>
          <w:sz w:val="15"/>
          <w:szCs w:val="15"/>
          <w:color w:val="auto"/>
        </w:rPr>
        <w:t>Due to the preliminary nature of the purchase price allocation, the impact of additional amortization of intangibles other than goodwill and subsequent impairment analyses of goodwill relating to the merger could adversely affect ClearOne's future operating results.</w:t>
      </w:r>
    </w:p>
    <w:p>
      <w:pPr>
        <w:spacing w:after="0" w:line="176" w:lineRule="exact"/>
        <w:rPr>
          <w:sz w:val="20"/>
          <w:szCs w:val="20"/>
          <w:color w:val="auto"/>
        </w:rPr>
      </w:pPr>
    </w:p>
    <w:p>
      <w:pPr>
        <w:ind w:right="3399" w:firstLine="710"/>
        <w:spacing w:after="0" w:line="262" w:lineRule="auto"/>
        <w:rPr>
          <w:sz w:val="20"/>
          <w:szCs w:val="20"/>
          <w:color w:val="auto"/>
        </w:rPr>
      </w:pPr>
      <w:r>
        <w:rPr>
          <w:rFonts w:ascii="Courier New" w:cs="Courier New" w:eastAsia="Courier New" w:hAnsi="Courier New"/>
          <w:sz w:val="14"/>
          <w:szCs w:val="14"/>
          <w:color w:val="auto"/>
        </w:rPr>
        <w:t>In accordance with United States generally accepted accounting principles that apply to ClearOne, ClearOne will account for the merger using the purchase method of accounting. Under purchase accounting, ClearOne will record the following as the cost of acquiring the business of E.mergent:</w:t>
      </w:r>
    </w:p>
    <w:p>
      <w:pPr>
        <w:spacing w:after="0" w:line="158" w:lineRule="exact"/>
        <w:rPr>
          <w:sz w:val="20"/>
          <w:szCs w:val="20"/>
          <w:color w:val="auto"/>
        </w:rPr>
      </w:pPr>
    </w:p>
    <w:p>
      <w:pPr>
        <w:ind w:left="1060" w:hanging="359"/>
        <w:spacing w:after="0"/>
        <w:tabs>
          <w:tab w:leader="none" w:pos="10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cash paid to E.mergent stockholders in the merger;</w:t>
      </w:r>
    </w:p>
    <w:p>
      <w:pPr>
        <w:spacing w:after="0" w:line="174"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market value of ClearOne common stock issued in connection with the merger;</w:t>
      </w:r>
    </w:p>
    <w:p>
      <w:pPr>
        <w:spacing w:after="0" w:line="174"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value, using the Black-Scholes model, of the options to acquire ClearOne common stock that are issued to holders of options to purchase E.mergent common stock in connection with the merger; and</w:t>
      </w:r>
    </w:p>
    <w:p>
      <w:pPr>
        <w:spacing w:after="0" w:line="173"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direct transaction costs paid by ClearOne.</w:t>
      </w:r>
    </w:p>
    <w:p>
      <w:pPr>
        <w:spacing w:after="0" w:line="174" w:lineRule="exact"/>
        <w:rPr>
          <w:sz w:val="20"/>
          <w:szCs w:val="20"/>
          <w:color w:val="auto"/>
        </w:rPr>
      </w:pPr>
    </w:p>
    <w:p>
      <w:pPr>
        <w:jc w:val="both"/>
        <w:ind w:right="3119" w:firstLine="710"/>
        <w:spacing w:after="0"/>
        <w:rPr>
          <w:sz w:val="20"/>
          <w:szCs w:val="20"/>
          <w:color w:val="auto"/>
        </w:rPr>
      </w:pPr>
      <w:r>
        <w:rPr>
          <w:rFonts w:ascii="Courier New" w:cs="Courier New" w:eastAsia="Courier New" w:hAnsi="Courier New"/>
          <w:sz w:val="15"/>
          <w:szCs w:val="15"/>
          <w:color w:val="auto"/>
        </w:rPr>
        <w:t>ClearOne will allocate the cost of the items described above to the individual assets acquired and liabilities assumed, including intangible assets such as acquired technology based on their respective fair values. Any excess of the consideration paid over the fair values of tangible and identifiable intangible assets will be recorded as goodwill. Intangible assets other than goodwill, if any, will be amortized over their respective useful lives. In accordance with the provisions of FASB Statement No. 142, "Goodwill and Other Intangible Assets," ClearOne will not amortize any goodwill recorded. Instead, such goodwill will be evaluated for potential impairment on at least an annual basis. Any impairment will be recorded in the period in which it is determined to exist. The amount of purchase cost allocated to goodwill and other intangibles is estimated to be approximately $16.8 million, computed using the estimated purchase price of $21.9 million which is based on the average closing price ($16.55) of ClearOne's common stock two days prior to and two days subsequent to January 21, 2002.</w:t>
      </w:r>
    </w:p>
    <w:p>
      <w:pPr>
        <w:spacing w:after="0" w:line="182"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Although ClearOne does not anticipate that a material change will occur, the estimated goodwill reflected in the unaudited condensed combined balance sheet as of December 31, 2001 could change upon completion of the merger and the receipt of a final independent valuation of intangible assets based on the final purchase price, which will subsequently be requested by ClearOne. In the event the final purchase price valuation results in an allocation of a portion of the purchase price to other intangible assets, which are subject to amortization, pro forma amortization expense could be higher than the amount currently reflected in the pro forma statements of operations.</w:t>
      </w:r>
    </w:p>
    <w:p>
      <w:pPr>
        <w:spacing w:after="0" w:line="337"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ClearOne and E.mergent expect to incur significant costs associated with the merger.</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ClearOne estimates that it will incur direct transaction costs of approximately $890,000 associated with the merger (including approximately $312,000 for anticipated severance payments to terminating E.mergent executives), which will be included as a part of the total purchase price for accounting purposes. In addition, E.mergent estimates that it will incur direct transaction costs of approximately $850,000, including the fees and expenses payable to Goldsmith, Agio, Helms in connection with the merger (which fees will be in large part determined by the value of the ClearOne common stock and cash paid by ClearOne, calculated at the time of the merger). See "The Merger and Related Transaction - Opinion of E.mergent's Financial Advisor beginning on page 35 of this document. ClearOne believes the combined company may incur charges to operations, which currently cannot be reasonably estimated, in the quarter in which the merger is completed or the following quarters, to reflect costs associated with integrating the businesses and operations of ClearOne and E.mergent. There can be no assurance that the combined company will not incur additional material charges in subsequent quarters to reflect additional costs associated with the merger.</w:t>
      </w:r>
    </w:p>
    <w:p>
      <w:pPr>
        <w:spacing w:after="0" w:line="354" w:lineRule="exact"/>
        <w:rPr>
          <w:sz w:val="20"/>
          <w:szCs w:val="20"/>
          <w:color w:val="auto"/>
        </w:rPr>
      </w:pPr>
    </w:p>
    <w:p>
      <w:pPr>
        <w:ind w:right="3399"/>
        <w:spacing w:after="0" w:line="271" w:lineRule="auto"/>
        <w:rPr>
          <w:sz w:val="20"/>
          <w:szCs w:val="20"/>
          <w:color w:val="auto"/>
        </w:rPr>
      </w:pPr>
      <w:r>
        <w:rPr>
          <w:rFonts w:ascii="Courier New" w:cs="Courier New" w:eastAsia="Courier New" w:hAnsi="Courier New"/>
          <w:sz w:val="14"/>
          <w:szCs w:val="14"/>
          <w:color w:val="auto"/>
        </w:rPr>
        <w:t>The merger may be terminated by either ClearOne or E.mergent in the event the closing price of ClearOne common stock does not fall within a certain range.</w:t>
      </w:r>
    </w:p>
    <w:p>
      <w:pPr>
        <w:spacing w:after="0" w:line="15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Under the terms of the merger agreement, if the weighted-average closing price of ClearOne common stock as quoted on the Nasdaq National Market for the fifteen (15) trading days ending one day prior to the date of the scheduled completion of the merger is greater than $23 or less than $14, either ClearOne or E.mergent may terminate the merger agreement. As a result, the merger may not be completed if either company concludes it is not in its best interest to complete the merger because of a substantial increase or decrease in the closing price of the ClearOne common stock.</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631" w:right="1440" w:bottom="1140" w:gutter="0" w:footer="0" w:header="0"/>
        </w:sectPr>
      </w:pPr>
    </w:p>
    <w:bookmarkStart w:id="32" w:name="page33"/>
    <w:bookmarkEnd w:id="32"/>
    <w:p>
      <w:pPr>
        <w:ind w:right="3399"/>
        <w:spacing w:after="0" w:line="238" w:lineRule="auto"/>
        <w:rPr>
          <w:sz w:val="20"/>
          <w:szCs w:val="20"/>
          <w:color w:val="auto"/>
        </w:rPr>
      </w:pPr>
      <w:r>
        <w:rPr>
          <w:rFonts w:ascii="Courier New" w:cs="Courier New" w:eastAsia="Courier New" w:hAnsi="Courier New"/>
          <w:sz w:val="15"/>
          <w:szCs w:val="15"/>
          <w:color w:val="auto"/>
        </w:rPr>
        <w:t>Failure to complete the merger could have a negative impact on ClearOne's and E.mergent's stock price and future business.</w:t>
      </w:r>
    </w:p>
    <w:p>
      <w:pPr>
        <w:spacing w:after="0" w:line="175" w:lineRule="exact"/>
        <w:rPr>
          <w:sz w:val="20"/>
          <w:szCs w:val="20"/>
          <w:color w:val="auto"/>
        </w:rPr>
      </w:pPr>
    </w:p>
    <w:p>
      <w:pPr>
        <w:ind w:right="3119" w:firstLine="710"/>
        <w:spacing w:after="0" w:line="238" w:lineRule="auto"/>
        <w:rPr>
          <w:sz w:val="20"/>
          <w:szCs w:val="20"/>
          <w:color w:val="auto"/>
        </w:rPr>
      </w:pPr>
      <w:r>
        <w:rPr>
          <w:rFonts w:ascii="Courier New" w:cs="Courier New" w:eastAsia="Courier New" w:hAnsi="Courier New"/>
          <w:sz w:val="15"/>
          <w:szCs w:val="15"/>
          <w:color w:val="auto"/>
        </w:rPr>
        <w:t>If the merger is not completed, ClearOne and E.mergent may be subject to the following material risks, among others:</w:t>
      </w:r>
    </w:p>
    <w:p>
      <w:pPr>
        <w:spacing w:after="0" w:line="175" w:lineRule="exact"/>
        <w:rPr>
          <w:sz w:val="20"/>
          <w:szCs w:val="20"/>
          <w:color w:val="auto"/>
        </w:rPr>
      </w:pPr>
    </w:p>
    <w:p>
      <w:pPr>
        <w:ind w:left="1060" w:right="3119" w:hanging="359"/>
        <w:spacing w:after="0" w:line="238" w:lineRule="auto"/>
        <w:tabs>
          <w:tab w:leader="none" w:pos="10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may be required to pay E.mergent up to $500,000 of E.mergent's expenses incurred in connection with the merger;</w:t>
      </w:r>
    </w:p>
    <w:p>
      <w:pPr>
        <w:spacing w:after="0" w:line="174"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may be required to pay ClearOne a termination fee of $1,000,000 plus an additional amount of up to $500,000 of ClearOne's expenses incurred in connection with the merger;</w:t>
      </w:r>
    </w:p>
    <w:p>
      <w:pPr>
        <w:spacing w:after="0" w:line="175"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of ClearOne and E.mergent common stock may decline to the extent that the current market price of their respective common stock reflects a market assumption that the merger will be completed;</w:t>
      </w:r>
    </w:p>
    <w:p>
      <w:pPr>
        <w:spacing w:after="0" w:line="176"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costs related to the merger, such as legal and accounting fees and some of the fees of E.mergent's financial advisor, must be paid even if the merger is not completed; and</w:t>
      </w:r>
    </w:p>
    <w:p>
      <w:pPr>
        <w:spacing w:after="0" w:line="175" w:lineRule="exact"/>
        <w:rPr>
          <w:rFonts w:ascii="Courier New" w:cs="Courier New" w:eastAsia="Courier New" w:hAnsi="Courier New"/>
          <w:sz w:val="15"/>
          <w:szCs w:val="15"/>
          <w:color w:val="auto"/>
        </w:rPr>
      </w:pPr>
    </w:p>
    <w:p>
      <w:pPr>
        <w:jc w:val="both"/>
        <w:ind w:left="1060" w:right="3119" w:hanging="359"/>
        <w:spacing w:after="0"/>
        <w:tabs>
          <w:tab w:leader="none" w:pos="106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diversion of management attention from the day-to-day businesses of ClearOne and E.mergent and the unavoidable disruption to their employees and their relationships with customers and suppliers during the period before consummation of the merger may make it difficult for ClearOne or E.mergent to regain their respective financial market positions if the merger does not occur.</w:t>
      </w:r>
    </w:p>
    <w:p>
      <w:pPr>
        <w:spacing w:after="0" w:line="175"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Further, if the merger agreement is terminated and the E.mergent board of directors determines to seek another merger or business combination, E.mergent may not be able to find a partner willing to pay an equivalent or more attractive price than that which would be paid in the merger.</w:t>
      </w:r>
    </w:p>
    <w:p>
      <w:pPr>
        <w:spacing w:after="0" w:line="347" w:lineRule="exact"/>
        <w:rPr>
          <w:sz w:val="20"/>
          <w:szCs w:val="20"/>
          <w:color w:val="auto"/>
        </w:rPr>
      </w:pPr>
    </w:p>
    <w:p>
      <w:pPr>
        <w:ind w:right="3479"/>
        <w:spacing w:after="0" w:line="271" w:lineRule="auto"/>
        <w:rPr>
          <w:sz w:val="20"/>
          <w:szCs w:val="20"/>
          <w:color w:val="auto"/>
        </w:rPr>
      </w:pPr>
      <w:r>
        <w:rPr>
          <w:rFonts w:ascii="Courier New" w:cs="Courier New" w:eastAsia="Courier New" w:hAnsi="Courier New"/>
          <w:sz w:val="14"/>
          <w:szCs w:val="14"/>
          <w:color w:val="auto"/>
        </w:rPr>
        <w:t>The termination fee and restrictions on solicitation contained in the merger agreement may discourage other companies from trying to acquire E.mergent.</w:t>
      </w:r>
    </w:p>
    <w:p>
      <w:pPr>
        <w:spacing w:after="0" w:line="154"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Until completion of the merger, with some exceptions, E.mergent is prohibited from initiating or engaging in discussions with a third party regarding some types of extraordinary transactions, such as a merger, business, combination or sale of a material amount of assets or capital stock. In addition, E.mergent agreed to pay a termination fee to ClearOne in specified circumstances. These provisions could discourage other companies from trying to acquire E.mergent even though those other companies might be willing to offer greater value to E.mergent stockholders than ClearOne has offered in the merger. The payment of the termination fee could also have a material adverse effect on E.mergent's financial condition and results of operations.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Relating to ClearOne's Business</w:t>
      </w:r>
    </w:p>
    <w:p>
      <w:pPr>
        <w:spacing w:after="0" w:line="345"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ClearOne faces intense competition in the audio and videoconferencing industries, and its operating results will be harmed if ClearOne cannot compete effectively against other companies.</w:t>
      </w:r>
    </w:p>
    <w:p>
      <w:pPr>
        <w:spacing w:after="0" w:line="175"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The markets for ClearOne products and services are highly competitive. These markets include ClearOne's traditional dealer channel, the market for its conferencing services, and its retail channel. ClearOne competes with businesses having substantially greater financial, research and development, manufacturing, marketing, and other resources. ClearOne expects its competitors to continue to improve the performance of their current products or services, to reduce their current products or service sales prices and to introduce new products or services that may offer greater performance and improved pricing. To remain competitive, ClearOne is required to devote substantial resources to maintaining product and services offerings that include current technology and advance features, but it is possible these efforts will not be sufficient to keep pace with competitors' efforts to improve their technology and product features. If ClearOne is not able to continually design, manufacture, and successfully introduce new or enhanced products or services that are comparable or superior to those provided by other companies, ClearOne could experience pricing pressures and reduced sales, margin, profits, and market share, each of which could materially harm its business.</w:t>
      </w:r>
    </w:p>
    <w:p>
      <w:pPr>
        <w:spacing w:after="0" w:line="200" w:lineRule="exact"/>
        <w:rPr>
          <w:sz w:val="20"/>
          <w:szCs w:val="20"/>
          <w:color w:val="auto"/>
        </w:rPr>
      </w:pPr>
    </w:p>
    <w:p>
      <w:pPr>
        <w:spacing w:after="0" w:line="304" w:lineRule="exact"/>
        <w:rPr>
          <w:sz w:val="20"/>
          <w:szCs w:val="20"/>
          <w:color w:val="auto"/>
        </w:rPr>
      </w:pPr>
    </w:p>
    <w:p>
      <w:pPr>
        <w:ind w:right="3479"/>
        <w:spacing w:after="0" w:line="238" w:lineRule="auto"/>
        <w:rPr>
          <w:sz w:val="20"/>
          <w:szCs w:val="20"/>
          <w:color w:val="auto"/>
        </w:rPr>
      </w:pPr>
      <w:r>
        <w:rPr>
          <w:rFonts w:ascii="Courier New" w:cs="Courier New" w:eastAsia="Courier New" w:hAnsi="Courier New"/>
          <w:sz w:val="15"/>
          <w:szCs w:val="15"/>
          <w:color w:val="auto"/>
        </w:rPr>
        <w:t>Difficulties in estimating customer demand in its product segment could harm ClearOne's profit margins.</w:t>
      </w:r>
    </w:p>
    <w:p>
      <w:pPr>
        <w:spacing w:after="0" w:line="175" w:lineRule="exact"/>
        <w:rPr>
          <w:sz w:val="20"/>
          <w:szCs w:val="20"/>
          <w:color w:val="auto"/>
        </w:rPr>
      </w:pPr>
    </w:p>
    <w:p>
      <w:pPr>
        <w:ind w:right="3119" w:firstLine="710"/>
        <w:spacing w:after="0" w:line="262" w:lineRule="auto"/>
        <w:rPr>
          <w:sz w:val="20"/>
          <w:szCs w:val="20"/>
          <w:color w:val="auto"/>
        </w:rPr>
      </w:pPr>
      <w:r>
        <w:rPr>
          <w:rFonts w:ascii="Courier New" w:cs="Courier New" w:eastAsia="Courier New" w:hAnsi="Courier New"/>
          <w:sz w:val="14"/>
          <w:szCs w:val="14"/>
          <w:color w:val="auto"/>
        </w:rPr>
        <w:t>Orders from ClearOne's resellers are based on demand from end-users. Prospective end-user demand is difficult to measure. This means that any period could be adversely impacted by low ClearOne end-user demand, which could in turn negatively affect orders ClearOne receives from resellers. ClearOne's</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631" w:right="1440" w:bottom="969" w:gutter="0" w:footer="0" w:header="0"/>
        </w:sectPr>
      </w:pPr>
    </w:p>
    <w:bookmarkStart w:id="33" w:name="page34"/>
    <w:bookmarkEnd w:id="33"/>
    <w:p>
      <w:pPr>
        <w:ind w:right="3219"/>
        <w:spacing w:after="0"/>
        <w:rPr>
          <w:sz w:val="20"/>
          <w:szCs w:val="20"/>
          <w:color w:val="auto"/>
        </w:rPr>
      </w:pPr>
      <w:r>
        <w:rPr>
          <w:rFonts w:ascii="Courier New" w:cs="Courier New" w:eastAsia="Courier New" w:hAnsi="Courier New"/>
          <w:sz w:val="15"/>
          <w:szCs w:val="15"/>
          <w:color w:val="auto"/>
        </w:rPr>
        <w:t>expectations for both short- and long-term future net revenues are based on its own estimates of future demand as well as backlog based on its blanket purchase order program in which certain dealers commit to purchase specified quantities of products over a twelve month period. ClearOne also bases expense levels on those revenue estimates. If ClearOne's estimates of sales are not accurate and it experiences unforeseen variability in its revenues and operating results, it will hamper ClearOne's ability to manage expense levels accordingly, thereby adversely affecting profit margins.</w:t>
      </w:r>
    </w:p>
    <w:p>
      <w:pPr>
        <w:spacing w:after="0" w:line="347"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ClearOne's profitability may be adversely affected by its continuing dependence on its distribution channels.</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ClearOne markets its products primarily through a network of dealers and master distributors. All of its agreements regarding such dealers and distributors are non-exclusive and terminable at will by either party. It cannot be assured that any or all such dealers or distributors will continue to offer ClearOne products.</w:t>
      </w:r>
    </w:p>
    <w:p>
      <w:pPr>
        <w:spacing w:after="0" w:line="174"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Price discounts to ClearOne's distribution channels are based on performance. However, there are no obligations on the part of such dealers and distributors to provide any specified level of support to ClearOne's products or to devote any specified time, resources or efforts to the marketing of ClearOne's products. There are no prohibitions on dealers or distributors offering products that are competitive with ClearOne's products. Most dealers do offer competitive products. ClearOne reserves the right to maintain house accounts, which are for products sold directly to customers. The loss of dealers or distributors could have a material adverse effect on ClearOne's business.</w:t>
      </w:r>
    </w:p>
    <w:p>
      <w:pPr>
        <w:spacing w:after="0" w:line="337"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ClearOne's reseller customer contracts are typically short-term and early terminations of its contracts may cause its revenues to decline and harm its profit margins.</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ClearOne does not typically enter into long-term contracts with its reseller customers, and ClearOne cannot be certain as to future order levels from its reseller customers. When ClearOne does enter into a long-term contract, the contract is generally terminable at the convenience of the customer. In the event of an early or unanticipated termination by one or more of ClearOne's larger reseller customers, it is unlikely that ClearOne will be able to rapidly replace that revenue source or rapidly reduce its expense levels to compensate for such loss of revenues, both of which would harm its net revenues and profit margins.</w:t>
      </w:r>
    </w:p>
    <w:p>
      <w:pPr>
        <w:spacing w:after="0" w:line="348" w:lineRule="exact"/>
        <w:rPr>
          <w:sz w:val="20"/>
          <w:szCs w:val="20"/>
          <w:color w:val="auto"/>
        </w:rPr>
      </w:pPr>
    </w:p>
    <w:p>
      <w:pPr>
        <w:ind w:right="4019"/>
        <w:spacing w:after="0" w:line="238" w:lineRule="auto"/>
        <w:rPr>
          <w:sz w:val="20"/>
          <w:szCs w:val="20"/>
          <w:color w:val="auto"/>
        </w:rPr>
      </w:pPr>
      <w:r>
        <w:rPr>
          <w:rFonts w:ascii="Courier New" w:cs="Courier New" w:eastAsia="Courier New" w:hAnsi="Courier New"/>
          <w:sz w:val="15"/>
          <w:szCs w:val="15"/>
          <w:color w:val="auto"/>
        </w:rPr>
        <w:t>Service interruptions could negatively affect revenues from ClearOne's conference calling service business.</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ClearOne relies heavily on its network equipment, telecommunications providers, data, and software to support all of its functions. ClearOne's conference calling services, which produced 29.3% of ClearOne's revenues during its last fiscal year, relies 100 percent on its network equipment for its revenues. ClearOne cannot guarantee that its back-up systems and procedures will operate satisfactorily in an emergency. Should ClearOne experience such a material failure of its equipment or the services of its telecommunications providers, it would substantially affect revenues and could seriously jeopardize ClearOne's ability to continue operations. In particular, should ClearOne's conference calling service experience even a short-term interruption of its network or telecommunication providers, ClearOne's ongoing customers may choose a different provider, and its reputation may be damaged, reducing its ability to retain current customers and attract new customers.</w:t>
      </w:r>
    </w:p>
    <w:p>
      <w:pPr>
        <w:spacing w:after="0" w:line="351" w:lineRule="exact"/>
        <w:rPr>
          <w:sz w:val="20"/>
          <w:szCs w:val="20"/>
          <w:color w:val="auto"/>
        </w:rPr>
      </w:pPr>
    </w:p>
    <w:p>
      <w:pPr>
        <w:ind w:right="3479"/>
        <w:spacing w:after="0" w:line="239" w:lineRule="auto"/>
        <w:rPr>
          <w:sz w:val="20"/>
          <w:szCs w:val="20"/>
          <w:color w:val="auto"/>
        </w:rPr>
      </w:pPr>
      <w:r>
        <w:rPr>
          <w:rFonts w:ascii="Courier New" w:cs="Courier New" w:eastAsia="Courier New" w:hAnsi="Courier New"/>
          <w:sz w:val="15"/>
          <w:szCs w:val="15"/>
          <w:color w:val="auto"/>
        </w:rPr>
        <w:t>ClearOne depends on a limited number of suppliers for components and the inability to obtain sufficient components could adversely affect its product sales.</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Certain electronic components used in connection with ClearOne's products can only be obtained from single manufacturers and ClearOne is dependent upon the ability of these manufacturers to deliver such components to its suppliers so that they can meet ClearOne's delivery schedules. ClearOne does not have a written commitment from such suppliers to fulfill ClearOne's future requirements. ClearOne's suppliers maintain an inventory of such components, but ClearOne has no assurance that such components will always be readily available, available at reasonable prices, available in sufficient quantities, or deliverable in a timely fashion. If such key components become unavailable, it is likely that ClearOne will experience delays, which could be significant, in production and delivery of its products unless and until ClearOne can otherwise procure the required component or components at competitive prices, if at all. The lack of availability of these components could have a materially adverse effect on ClearOne ability to sell products.</w:t>
      </w:r>
    </w:p>
    <w:p>
      <w:pPr>
        <w:spacing w:after="0" w:line="181"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ClearOne has experienced long component lead times in the past, but it is experiencing improved lead times on many products. Even though ClearOne has purchased more of these "longer-lead-time" parts to ensure continued delivery of products, reduction in these inventories has tracked with the reduction of lead times. Suppliers of some of these components are currently or may become competitors of ClearOne, which might also affect the availability of key components to ClearOne. It is possible that other components required in the</w:t>
      </w:r>
    </w:p>
    <w:p>
      <w:pPr>
        <w:spacing w:after="0" w:line="3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631" w:right="1440" w:bottom="0" w:gutter="0" w:footer="0" w:header="0"/>
        </w:sectPr>
      </w:pPr>
    </w:p>
    <w:bookmarkStart w:id="34" w:name="page35"/>
    <w:bookmarkEnd w:id="34"/>
    <w:p>
      <w:pPr>
        <w:ind w:right="3119"/>
        <w:spacing w:after="0"/>
        <w:rPr>
          <w:sz w:val="20"/>
          <w:szCs w:val="20"/>
          <w:color w:val="auto"/>
        </w:rPr>
      </w:pPr>
      <w:r>
        <w:rPr>
          <w:rFonts w:ascii="Courier New" w:cs="Courier New" w:eastAsia="Courier New" w:hAnsi="Courier New"/>
          <w:sz w:val="15"/>
          <w:szCs w:val="15"/>
          <w:color w:val="auto"/>
        </w:rPr>
        <w:t>future may necessitate custom fabrication in accordance with specifications developed or to be developed by ClearOne. Also, in the event ClearOne, or any of the manufacturers whose products ClearOne expects to utilize in the manufacture of its products, are unable to develop or acquire components in a timely fashion, ClearOne's ability to achieve production yields, revenues and net income may be adversely affected.</w:t>
      </w:r>
    </w:p>
    <w:p>
      <w:pPr>
        <w:spacing w:after="0" w:line="346"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Product development delays could harm ClearOne's competitive position and reduce its revenues.</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ClearOne may experience technical difficulties and delays with the development and introduction of new products. The products developed by ClearOne involve sophisticated and complicated components and manufacturing techniques involving new technologies. Potential difficulties in the development process that could be experienced by ClearOne include difficulty in meeting required specifications, hiring a sufficient number of developers, discovery of software bugs, and achieving necessary manufacturing efficiencies. ClearOne has experienced product development delays associated with its video conferencing products. If ClearOne is not able to manage and minimize such potential difficulties, its sales could be negatively affected.</w:t>
      </w:r>
    </w:p>
    <w:p>
      <w:pPr>
        <w:spacing w:after="0" w:line="349"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Delays in the distribution process could have an adverse effect on ClearOne's sales.</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ClearOne's sales results are dependent in part on its ability to provide prompt, accurate, and complete services to customers on a timely and competitive basis. Delays in distribution in ClearOne's day-to-day operations or material increases in costs of procuring and delivering products could have an adverse effect on ClearOne's ability to generate revenues from product sales. Any failure of ClearOne's computer operating systems, the Internet or its telephone system could adversely affect its ability to receive and process customers' orders and ship products on a timely basis. Strikes, termination of air travel, or other service interruptions affecting Federal Express Corporation, United Parcel Service of America, Inc., or other common carriers used by ClearOne to receive necessary components or other materials or to ship its products also could impair its ability to deliver products on a timely and cost-effective basis. Such failures would likely negatively affect ClearOne's sales and net revenues.</w:t>
      </w:r>
    </w:p>
    <w:p>
      <w:pPr>
        <w:spacing w:after="0" w:line="352" w:lineRule="exact"/>
        <w:rPr>
          <w:sz w:val="20"/>
          <w:szCs w:val="20"/>
          <w:color w:val="auto"/>
        </w:rPr>
      </w:pPr>
    </w:p>
    <w:p>
      <w:pPr>
        <w:ind w:right="3579"/>
        <w:spacing w:after="0" w:line="239" w:lineRule="auto"/>
        <w:rPr>
          <w:sz w:val="20"/>
          <w:szCs w:val="20"/>
          <w:color w:val="auto"/>
        </w:rPr>
      </w:pPr>
      <w:r>
        <w:rPr>
          <w:rFonts w:ascii="Courier New" w:cs="Courier New" w:eastAsia="Courier New" w:hAnsi="Courier New"/>
          <w:sz w:val="15"/>
          <w:szCs w:val="15"/>
          <w:color w:val="auto"/>
        </w:rPr>
        <w:t>If ClearOne is unable to protect its intellectual property rights, its competitive position could be harmed or ClearOne could be required to incur expenses to enforce its rights.</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ClearOne currently relies primarily on a combination of trade secrets, copyrights, trademarks, and nondisclosure agreements to establish and protect its proprietary rights in its products. ClearOne cannot assure that others will not independently develop similar technologies, or duplicate or design around aspects of its technology. ClearOne believes that its products and other proprietary rights do not infringe upon any proprietary rights of third parties. ClearOne cannot assure you, however, that third parties will not assert infringement claims in the future. Such claims could divert ClearOne's management's attention and be expensive, regardless of their merit. In the event of a claim, ClearOne might be required to license third party technology or redesign its products, which may not be possible or economically feasible.</w:t>
      </w: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directors and officers can exert considerable control over ClearOne.</w:t>
      </w:r>
    </w:p>
    <w:p>
      <w:pPr>
        <w:spacing w:after="0" w:line="174"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The officers and directors of ClearOne together had beneficial ownership of approximately 21.5% of its common stock (including options that are currently exercisable or exercisable within sixty (60) days) as of March 1, 2002. Assuming the ClearOne officers' and directors' actual beneficial ownership remained unchanged until completion of the merger, together they would have beneficial ownership of approximately 19.8% of ClearOne's common stock after the merger. This significant holding in the aggregate places the officers and directors in a position, when acting together, to have substantial control over ClearOne and could delay or prevent a change in control.</w:t>
      </w:r>
    </w:p>
    <w:p>
      <w:pPr>
        <w:spacing w:after="0" w:line="337"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International sales are accounting for an increasing portion of ClearOne's net revenue, and risks inherent in international sales could harm its profitability.</w:t>
      </w:r>
    </w:p>
    <w:p>
      <w:pPr>
        <w:ind w:right="3119" w:firstLine="710"/>
        <w:spacing w:after="0"/>
        <w:rPr>
          <w:sz w:val="20"/>
          <w:szCs w:val="20"/>
          <w:color w:val="auto"/>
        </w:rPr>
      </w:pPr>
      <w:r>
        <w:rPr>
          <w:rFonts w:ascii="Courier New" w:cs="Courier New" w:eastAsia="Courier New" w:hAnsi="Courier New"/>
          <w:sz w:val="15"/>
          <w:szCs w:val="15"/>
          <w:color w:val="auto"/>
        </w:rPr>
        <w:t>International sales represent a significant portion of ClearOne's total revenue from continuing operations. For example, international sales represented 13% of its total sales from continuing operations for fiscal 2001 and 12% for fiscal 2000. ClearOne's international business is subject to the financial and operating risks of conducting business internationally, including: unexpected changes in, or imposition of, legislative or regulatory requirements; fluctuating exchange rates, tariffs and other barriers; difficulties in staffing and managing foreign subsidiary operations; export restrictions; greater difficulties in accounts receivable collection and longer payment cycles; potentially adverse tax consequences; and, potential hostilities and changes in diplomatic and trade relationships.</w:t>
      </w:r>
    </w:p>
    <w:p>
      <w:pPr>
        <w:spacing w:after="0" w:line="34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631" w:right="1440" w:bottom="628" w:gutter="0" w:footer="0" w:header="0"/>
        </w:sectPr>
      </w:pPr>
    </w:p>
    <w:bookmarkStart w:id="35" w:name="page36"/>
    <w:bookmarkEnd w:id="35"/>
    <w:p>
      <w:pPr>
        <w:ind w:right="3219" w:firstLine="710"/>
        <w:spacing w:after="0"/>
        <w:rPr>
          <w:sz w:val="20"/>
          <w:szCs w:val="20"/>
          <w:color w:val="auto"/>
        </w:rPr>
      </w:pPr>
      <w:r>
        <w:rPr>
          <w:rFonts w:ascii="Courier New" w:cs="Courier New" w:eastAsia="Courier New" w:hAnsi="Courier New"/>
          <w:sz w:val="15"/>
          <w:szCs w:val="15"/>
          <w:color w:val="auto"/>
        </w:rPr>
        <w:t>ClearOne's sales in the international market are denominated in U.S. Dollars and ClearOne EuMEA transacts business in U.S. Dollars, however, its financial statements are prepared in the Euro, according to German accounting principles. Although conversion to the Euro has eliminated currency exchange rate risk for transactions between the member countries, consolidation of ClearOne EuMEA's financial statements with those of ClearOne, under United States generally accepted accounting principles, requires remeasurement to U.S. Dollars which is subject to exchange rate risks. ClearOne currently does not undertake any hedging activities that might protect against such risks.</w:t>
      </w:r>
    </w:p>
    <w:p>
      <w:pPr>
        <w:spacing w:after="0" w:line="348" w:lineRule="exact"/>
        <w:rPr>
          <w:sz w:val="20"/>
          <w:szCs w:val="20"/>
          <w:color w:val="auto"/>
        </w:rPr>
      </w:pPr>
    </w:p>
    <w:p>
      <w:pPr>
        <w:ind w:right="3219"/>
        <w:spacing w:after="0" w:line="238" w:lineRule="auto"/>
        <w:rPr>
          <w:sz w:val="20"/>
          <w:szCs w:val="20"/>
          <w:color w:val="auto"/>
        </w:rPr>
      </w:pPr>
      <w:r>
        <w:rPr>
          <w:rFonts w:ascii="Courier New" w:cs="Courier New" w:eastAsia="Courier New" w:hAnsi="Courier New"/>
          <w:sz w:val="15"/>
          <w:szCs w:val="15"/>
          <w:color w:val="auto"/>
        </w:rPr>
        <w:t>The continued integration of ClearOne's subsidiaries and the integration of any additional acquired businesses involve uncertainty and risk.</w:t>
      </w:r>
    </w:p>
    <w:p>
      <w:pPr>
        <w:spacing w:after="0" w:line="175"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Following the acquisition of Ivron Systems in October 2001, ClearOne has dedicated substantial management resources in order to achieve the anticipated operating efficiencies from integrating Ivron Systems with ClearOne. The merger with E.mergent will result in additional demands on management resources that could prolong or adversely affect the successful integration of Ivron Systems. In addition, ClearOne intends to pursue acquisition opportunities in the future. The integration of such acquired businesses could require substantial management resources. There can be no assurance that any such integration will be accomplished without having a short or potentially long-term adverse impact on the business, results of operations or financial condition of ClearOne or that the benefits expected from any such integration will be fully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631"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CAUTIONARY STATEMENTS REGARDING FORWARD-LOOKING STATEMENTS IN THIS DOCUMENT</w:t>
      </w:r>
    </w:p>
    <w:p>
      <w:pPr>
        <w:spacing w:after="0" w:line="34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This document and the documents incorporated by reference into this document contain forward-looking statements about ClearOne and E.mergent as described in Section 27A of the Securities Act of 1933 and Section 21E of the Securities Exchange Act of 1934, and are subject to the Safe Harbor provisions created by those statutes. Statements about ClearOne and E.mergent containing words such as "anticipates," "expects," "intends," "plans," "believes," "seeks," "estimates," "will," "may," "should," "would," "projects," "predicts," "continues" and similar expressions, or the negative of these terms, identify these forward-looking statements. This document also includes forward-looking statements about the consummation and anticipated timing of the merger, the actual exchange ratio for E.mergent common stock in the merger and the anticipated partially tax-free nature of the merger. Such statements are based on current expectations and are subject to risk, uncertainties and changes in condition, significance, value and effect, including those discussed in the section entitled "Risk Factors" beginning on the page 21 of this document, and reports filed with the Securities and Exchange Commission, specifically Forms</w:t>
      </w:r>
    </w:p>
    <w:p>
      <w:pPr>
        <w:spacing w:after="0" w:line="1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8-K, 10-K and 10-Q for ClearOne and Forms 10-KSB and 10-QSB for E.mergent. Such risks, uncertainties and changes in condition, significance, value and effect could cause each company's actual results to differ materially from those anticipated events. In evaluating the merger agreement and the merger, you should carefully consider the discussion of risks and uncertainties discussed in the Risk Factor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628" w:right="1440" w:bottom="1440" w:gutter="0" w:footer="0" w:header="0"/>
        </w:sectPr>
      </w:pPr>
    </w:p>
    <w:bookmarkStart w:id="37" w:name="page38"/>
    <w:bookmarkEnd w:id="37"/>
    <w:p>
      <w:pPr>
        <w:ind w:left="2300"/>
        <w:spacing w:after="0"/>
        <w:rPr>
          <w:sz w:val="20"/>
          <w:szCs w:val="20"/>
          <w:color w:val="auto"/>
        </w:rPr>
      </w:pPr>
      <w:r>
        <w:rPr>
          <w:rFonts w:ascii="Courier New" w:cs="Courier New" w:eastAsia="Courier New" w:hAnsi="Courier New"/>
          <w:sz w:val="15"/>
          <w:szCs w:val="15"/>
          <w:color w:val="auto"/>
        </w:rPr>
        <w:t>THE E.MERGENT SPECIAL MEETING</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E.mergent is furnishing this document to all stockholders of record of E.mergent common stock in connection with the solicitation of proxies by the E.mergent board of directors for use at the special meeting of E.mergent stockholders to be held on May 31, 2002. This document also is being furnished by ClearOne to E.mergent stockholders as a prospectus for ClearOne common stock to be issued in connection with the merger.</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Place, and Time</w:t>
      </w:r>
    </w:p>
    <w:p>
      <w:pPr>
        <w:spacing w:after="0" w:line="174"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The special meeting will be held at 10:00 a.m., local time, on May 31, 2002, at E.mergent's offices located at 6110 Golden Hills Drive, Golden Valley, MN 55416.</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 of Special Meeting</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At the special meeting, E.mergent stockholders will be asked:</w:t>
      </w:r>
    </w:p>
    <w:p>
      <w:pPr>
        <w:spacing w:after="0" w:line="174" w:lineRule="exact"/>
        <w:rPr>
          <w:sz w:val="20"/>
          <w:szCs w:val="20"/>
          <w:color w:val="auto"/>
        </w:rPr>
      </w:pPr>
    </w:p>
    <w:p>
      <w:pPr>
        <w:ind w:left="1060" w:right="3119" w:hanging="359"/>
        <w:spacing w:after="0" w:line="238" w:lineRule="auto"/>
        <w:tabs>
          <w:tab w:leader="none" w:pos="10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consider and vote upon a proposal to adopt and approve the merger agreement and approve the merger; and</w:t>
      </w:r>
    </w:p>
    <w:p>
      <w:pPr>
        <w:spacing w:after="0" w:line="174"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transact other business that may properly come before the special meeting.</w:t>
      </w:r>
    </w:p>
    <w:p>
      <w:pPr>
        <w:spacing w:after="0" w:line="175"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A copy of the merger agreement is attached to this document as Annex A. E.mergent stockholders are encouraged to read the merger agreement in its entirety and the other information contained in this document carefully before deciding how to vote.</w:t>
      </w:r>
    </w:p>
    <w:p>
      <w:pPr>
        <w:spacing w:after="0" w:line="176" w:lineRule="exact"/>
        <w:rPr>
          <w:sz w:val="20"/>
          <w:szCs w:val="20"/>
          <w:color w:val="auto"/>
        </w:rPr>
      </w:pPr>
    </w:p>
    <w:p>
      <w:pPr>
        <w:ind w:right="3479" w:firstLine="710"/>
        <w:spacing w:after="0" w:line="238" w:lineRule="auto"/>
        <w:rPr>
          <w:sz w:val="20"/>
          <w:szCs w:val="20"/>
          <w:color w:val="auto"/>
        </w:rPr>
      </w:pPr>
      <w:r>
        <w:rPr>
          <w:rFonts w:ascii="Courier New" w:cs="Courier New" w:eastAsia="Courier New" w:hAnsi="Courier New"/>
          <w:sz w:val="15"/>
          <w:szCs w:val="15"/>
          <w:color w:val="auto"/>
        </w:rPr>
        <w:t>Under Delaware law, stockholders can consider at the special meeting only the matters contained in the notice for the special meeting.</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Record Date for the Special Meeting</w:t>
      </w:r>
    </w:p>
    <w:p>
      <w:pPr>
        <w:spacing w:after="0" w:line="174" w:lineRule="exact"/>
        <w:rPr>
          <w:sz w:val="20"/>
          <w:szCs w:val="20"/>
          <w:color w:val="auto"/>
        </w:rPr>
      </w:pPr>
    </w:p>
    <w:p>
      <w:pPr>
        <w:ind w:right="3399" w:firstLine="710"/>
        <w:spacing w:after="0" w:line="239" w:lineRule="auto"/>
        <w:rPr>
          <w:sz w:val="20"/>
          <w:szCs w:val="20"/>
          <w:color w:val="auto"/>
        </w:rPr>
      </w:pPr>
      <w:r>
        <w:rPr>
          <w:rFonts w:ascii="Courier New" w:cs="Courier New" w:eastAsia="Courier New" w:hAnsi="Courier New"/>
          <w:sz w:val="15"/>
          <w:szCs w:val="15"/>
          <w:color w:val="auto"/>
        </w:rPr>
        <w:t>The E.mergent board of directors has fixed the close of business on April 5, 2002, as the record date for determination of E.mergent stockholders entitled to notice of and to vote at the special meeting.</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Voting Rights; Quorum</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E.mergent has one class of common stock outstanding, which has a par value of $.01 per share. Each holder of E.mergent common stock outstanding on the record date is entitled to one vote for each share held. The holders of a majority of the outstanding shares of E.mergent capital stock entitled to vote must be present at the special meeting, in person or by proxy, to constitute a quorum to transact business.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Required Vote; Abstentions and Broker Non-Votes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As a condition to completion of the merger, the Delaware General Corporation Law and the merger agreement require that the holders of a majority of all the outstanding shares of E.mergent common stock as of the record date must vote in favor of the merger and merger agreement in order to approve the merger. On the record date, 5,931,280 shares of E.mergent common stock were outstanding, held by approximately 280 holders of record.</w:t>
      </w:r>
    </w:p>
    <w:p>
      <w:pPr>
        <w:spacing w:after="0" w:line="175" w:lineRule="exact"/>
        <w:rPr>
          <w:sz w:val="20"/>
          <w:szCs w:val="20"/>
          <w:color w:val="auto"/>
        </w:rPr>
      </w:pPr>
    </w:p>
    <w:p>
      <w:pPr>
        <w:ind w:right="3299" w:firstLine="710"/>
        <w:spacing w:after="0" w:line="260" w:lineRule="auto"/>
        <w:rPr>
          <w:sz w:val="20"/>
          <w:szCs w:val="20"/>
          <w:color w:val="auto"/>
        </w:rPr>
      </w:pPr>
      <w:r>
        <w:rPr>
          <w:rFonts w:ascii="Courier New" w:cs="Courier New" w:eastAsia="Courier New" w:hAnsi="Courier New"/>
          <w:sz w:val="14"/>
          <w:szCs w:val="14"/>
          <w:color w:val="auto"/>
        </w:rPr>
        <w:t>As of the close of business on the record date for the special meeting of E.mergent stockholders at which the merger agreement and the merger will be presented and voted upon, directors and executive officers of E.mergent (and their respective affiliates) collectively owned approximately 41% of the outstanding shares of E.mergent common stock entitled to vote at the special meeting on the merger agreement and the merger. This does not include 342,000 shares of E.mergent common stock issuable upon the exercise of presently exercisable options which these directors and officers beneficially own.</w:t>
      </w:r>
    </w:p>
    <w:p>
      <w:pPr>
        <w:spacing w:after="0" w:line="161"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Four of E.mergent's directors and one officer, holding 2,393,800 shares (approximately 40% of the outstanding shares of E.mergent common stock) have entered into voting agreements and delivered irrevocable proxies, pursuant to which they have agreed to vote their E.mergent shares in favor of adoption and approval of the merger agreement and approval of the merger, in favor of any matter that could reasonably be expected to facilitate the merger, and against</w:t>
      </w:r>
    </w:p>
    <w:p>
      <w:pPr>
        <w:spacing w:after="0" w:line="33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628" w:right="1440" w:bottom="1440" w:gutter="0" w:footer="0" w:header="0"/>
        </w:sectPr>
      </w:pPr>
    </w:p>
    <w:bookmarkStart w:id="38" w:name="page39"/>
    <w:bookmarkEnd w:id="38"/>
    <w:p>
      <w:pPr>
        <w:ind w:right="3119"/>
        <w:spacing w:after="0" w:line="264" w:lineRule="auto"/>
        <w:rPr>
          <w:sz w:val="20"/>
          <w:szCs w:val="20"/>
          <w:color w:val="auto"/>
        </w:rPr>
      </w:pPr>
      <w:r>
        <w:rPr>
          <w:rFonts w:ascii="Courier New" w:cs="Courier New" w:eastAsia="Courier New" w:hAnsi="Courier New"/>
          <w:sz w:val="14"/>
          <w:szCs w:val="14"/>
          <w:color w:val="auto"/>
        </w:rPr>
        <w:t>any matter which could reasonably be expected to result in a breach by E.mergent of the merger agreement or which could reasonably be expected to result in E.mergent's obligations under the merger agreement to fail to be satisfied.</w:t>
      </w:r>
    </w:p>
    <w:p>
      <w:pPr>
        <w:spacing w:after="0" w:line="159"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Abstentions will be treated as shares present in determining whether E.mergent has a quorum for the special meeting, but will not be voted. Accordingly, abstentions will have the same effect as a vote against approval of the merger. In addition, the failure of an E.mergent stockholder to return a proxy will have the effect of a vote against the proposal to adopt and approve the merger agreement and to approve the merger.</w:t>
      </w:r>
    </w:p>
    <w:p>
      <w:pPr>
        <w:spacing w:after="0" w:line="175"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Under the rules that govern brokers who have record ownership of shares that are held in "street name" for their clients, who are the beneficial owners of the shares, brokers have discretion to vote these shares on routine matters but not on non-routine matters. The adoption and approval of the merger agreement and the approval of the merger at the special meeting are not considered routine matters. Accordingly, brokers will not have discretionary voting authority to vote your shares at the special meeting. A "broker non-vote" occurs when brokers do not have discretionary voting authority and have not received instructions from the beneficial owners of the shares. At the special meeting, broker non-votes will be counted for the purpose of determining the presence of a quorum but will not be counted for the purpose of determining the number of votes cast on the merger agreement and the merger. Accordingly, at the special meeting, broker non-votes will have the same effect as a vote against the proposal to adopt and approve the merger agreement and to approve the merger. Consequently, E.mergent stockholders are urged to return the enclosed proxy card marked to indicate their vote.</w:t>
      </w:r>
    </w:p>
    <w:p>
      <w:pPr>
        <w:spacing w:after="0" w:line="334"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The board of directors of ClearOne has approved the merger and the issuance of shares of ClearOne common stock in the merger. See "The Merger and Related Transactions - Background of the Merger." Utah law does not require that ClearOne's stockholders approve the merger.</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the Board of Directors of E.mergent</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E.mergent board of directors has determined that the merger is advisable, in the best interests of E.mergent stockholders and on terms that are fair to the stockholders of E.mergent. Accordingly, except for one director who abstained due to a conflict of interest, the E.mergent board of directors has unanimously approved the merger agreement and the merger and recommends that stockholders vote "FOR" adoption and approval of the merger agreement and approval of the merger. The director who abstained chose to do so because he was previously employed by E.mergent's financial advisor, who rendered an opinion on the fairness of the merger as described below. See "The Merger and Related Transactions- Interests of E.mergent's Directors and Officers in the Merger" for a discussion of conflicts of interest that certain directors and members of management may have in connection with the merger.</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 of Appraisal</w:t>
      </w:r>
    </w:p>
    <w:p>
      <w:pPr>
        <w:spacing w:after="0" w:line="174"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Under Delaware law, holders of E.mergent common stock that comply with the applicable statutory procedures under Delaware law will be entitled to appraisal rights and to receive payment in cash for the fair value of their shares as determined by the Delaware Chancery Court. A summary of the applicable requirements of Delaware law is contained in this proxy statement/prospectus under the caption "The Merger and Related Transactions - Dissenters Rights of Appraisal ." In addition, the text of the applicable provisions of the Delaware General Corporate Law is attached as Annex D. The exercise of appraisal rights is a complicated legal act and you should not rely solely on the disclosure in this document to inform you how to perfect your rights.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Proxies; Revocation</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A proxy card is enclosed for use by E.mergent stockholders. The board of directors of E.mergent requests that stockholders sign and return the proxy card in the accompanying envelope or vote your proxy by phone or the Internet. No postage is required if mailed within the United States. You may vote your proxy by phone twenty-four (24) hours a day, 7 days a week, until 11:00 a.m., Central Time, on May 30, 2002, by dialing 800-240-6326 and following the instructions. You may vote your proxy via the Internet twenty-four (24) hours a day, 7 days a week, until 11:00 a.m., Central Time, on May 30, 2002 by going to http://www.eproxy.com/emrt and following the instructions. If you have questions or requests for assistance in voting your proxy, please contact Jill Larson, Secretary of E.mergent, by telephone at 763-542-0061 or by email at proxy@emergentincorporated.com.</w:t>
      </w:r>
    </w:p>
    <w:p>
      <w:pPr>
        <w:spacing w:after="0" w:line="180" w:lineRule="exact"/>
        <w:rPr>
          <w:sz w:val="20"/>
          <w:szCs w:val="20"/>
          <w:color w:val="auto"/>
        </w:rPr>
      </w:pPr>
    </w:p>
    <w:p>
      <w:pPr>
        <w:jc w:val="both"/>
        <w:ind w:right="3219" w:firstLine="710"/>
        <w:spacing w:after="0" w:line="262" w:lineRule="auto"/>
        <w:rPr>
          <w:sz w:val="20"/>
          <w:szCs w:val="20"/>
          <w:color w:val="auto"/>
        </w:rPr>
      </w:pPr>
      <w:r>
        <w:rPr>
          <w:rFonts w:ascii="Courier New" w:cs="Courier New" w:eastAsia="Courier New" w:hAnsi="Courier New"/>
          <w:sz w:val="14"/>
          <w:szCs w:val="14"/>
          <w:color w:val="auto"/>
        </w:rPr>
        <w:t>All properly executed proxies that E.mergent receives prior to the vote at the special meeting, and which are not revoked, will be voted at the special meeting as instructed on those proxies. Proxies containing no instructions will be voted for adoption and approval of the merger agreement and approval of the</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19"/>
          </w:cols>
          <w:pgMar w:left="240" w:top="631" w:right="1440" w:bottom="969" w:gutter="0" w:footer="0" w:header="0"/>
        </w:sectPr>
      </w:pPr>
    </w:p>
    <w:bookmarkStart w:id="39" w:name="page40"/>
    <w:bookmarkEnd w:id="39"/>
    <w:p>
      <w:pPr>
        <w:ind w:right="3119"/>
        <w:spacing w:after="0"/>
        <w:rPr>
          <w:sz w:val="20"/>
          <w:szCs w:val="20"/>
          <w:color w:val="auto"/>
        </w:rPr>
      </w:pPr>
      <w:r>
        <w:rPr>
          <w:rFonts w:ascii="Courier New" w:cs="Courier New" w:eastAsia="Courier New" w:hAnsi="Courier New"/>
          <w:sz w:val="15"/>
          <w:szCs w:val="15"/>
          <w:color w:val="auto"/>
        </w:rPr>
        <w:t>merger. A stockholder who executes and returns a proxy or votes a proxy by phone or the Internet, may revoke it at any time before it is voted, but only revoting by phone or the Internet, by executing and returning to E.mergent a proxy bearing a later date, by giving written notice of revocation to an officer of E.mergent, or by attending the special meeting and voting in person. Attendance at the special meeting does not in itself constitute the revocation of a previously submitted proxy. You may deliver written notice of a revocation of a proxy or a changed proxy to:</w:t>
      </w:r>
    </w:p>
    <w:p>
      <w:pPr>
        <w:spacing w:after="0" w:line="174"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E.mergent, Inc.</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6110 Golden Hills Drive</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Golden Valley, MN 55416</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Telephone (763) 542-0061</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Facsimile: (763) 542-0069</w:t>
      </w:r>
    </w:p>
    <w:p>
      <w:pPr>
        <w:spacing w:after="0" w:line="1"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Attention: Jill Larson, Secretary</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Brokers holding voting shares in "street name" may vote the shares only if the stockholder provides instructions on how to vote. Brokers will provide directions to stockholders on how to instruct the broker to vote the shares. Please note, however, that if the holder of record of your shares is your broker, bank or other nominee and you wish to vote at the special meeting, you must bring a letter from the broker, bank or other nominee confirming that you are the beneficial owner of the shares.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SHAREHOLDERS SHOULD NOT SEND THEIR STOCK CERTIFICATES WITH THEIR PROXY CARDS.</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Solicitation of Proxies</w:t>
      </w:r>
    </w:p>
    <w:p>
      <w:pPr>
        <w:spacing w:after="0" w:line="174"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In addition to soliciting proxies by mail, E.mergent's directors, officers, and employees may, if they do not receive extra compensation for doing so, solicit proxies personally or by telephone, email or fax.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631" w:right="1440" w:bottom="1440" w:gutter="0" w:footer="0" w:header="0"/>
        </w:sectPr>
      </w:pPr>
    </w:p>
    <w:bookmarkStart w:id="40" w:name="page41"/>
    <w:bookmarkEnd w:id="40"/>
    <w:p>
      <w:pPr>
        <w:ind w:left="2040"/>
        <w:spacing w:after="0"/>
        <w:rPr>
          <w:sz w:val="20"/>
          <w:szCs w:val="20"/>
          <w:color w:val="auto"/>
        </w:rPr>
      </w:pPr>
      <w:r>
        <w:rPr>
          <w:rFonts w:ascii="Courier New" w:cs="Courier New" w:eastAsia="Courier New" w:hAnsi="Courier New"/>
          <w:sz w:val="15"/>
          <w:szCs w:val="15"/>
          <w:color w:val="auto"/>
        </w:rPr>
        <w:t>THE MERGER AND RELATED TRANSACTIONS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This section of the proxy statement/prospectus and the following two sections entitled "Agreement and Plan of Merger" and "Ancillary Agreements" contain descriptions of the material aspects of the merger and related transactions, including the merger agreement and certain other agreements entered into in connection therewith. While we believe that the following description covers the material terms of the merger, the merger agreement and the related transactions and agreements, the description may not contain all of the information that is important to you. You should read carefully this entire document and the other documents that we refer to for a more complete understanding of the merger and the related transactions.</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Background of the Merger</w:t>
      </w:r>
    </w:p>
    <w:p>
      <w:pPr>
        <w:spacing w:after="0" w:line="174"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The terms of the merger agreement are the result of arm's-length negotiations between representatives of ClearOne and E.mergent. The following is a brief discussion of the background of these negotiations, the merger and related transactions:</w:t>
      </w:r>
    </w:p>
    <w:p>
      <w:pPr>
        <w:spacing w:after="0" w:line="17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During 2001, E.mergent's board of directors and senior management explored methods of enhancing shareholder value through internal growth in the videoconferencing channel, raising new capital, development of the audiovisual channel, the acquisition of technology or acquiring other conferencing services companies.</w:t>
      </w:r>
    </w:p>
    <w:p>
      <w:pPr>
        <w:spacing w:after="0" w:line="174" w:lineRule="exact"/>
        <w:rPr>
          <w:sz w:val="20"/>
          <w:szCs w:val="20"/>
          <w:color w:val="auto"/>
        </w:rPr>
      </w:pPr>
    </w:p>
    <w:p>
      <w:pPr>
        <w:ind w:right="3119" w:firstLine="710"/>
        <w:spacing w:after="0" w:line="260" w:lineRule="auto"/>
        <w:rPr>
          <w:sz w:val="20"/>
          <w:szCs w:val="20"/>
          <w:color w:val="auto"/>
        </w:rPr>
      </w:pPr>
      <w:r>
        <w:rPr>
          <w:rFonts w:ascii="Courier New" w:cs="Courier New" w:eastAsia="Courier New" w:hAnsi="Courier New"/>
          <w:sz w:val="14"/>
          <w:szCs w:val="14"/>
          <w:color w:val="auto"/>
        </w:rPr>
        <w:t>In July 2001, the CEO of E.mergent, Jim Hansen, and one of its directors approached a substantial industry partner concerning expanding its existing supplier relationship, forming a joint venture or having the partner acquire E.mergent due to the growing importance of the relationship. The companies conducted a video call on August 30, 2001, further discussing potential synergies, and senior technical officers of both companies met to explore their respective plans. This party continued its discussions with E.mergent, signing a confidentiality agreement in October 2001 as described below.</w:t>
      </w:r>
    </w:p>
    <w:p>
      <w:pPr>
        <w:spacing w:after="0" w:line="161" w:lineRule="exact"/>
        <w:rPr>
          <w:sz w:val="20"/>
          <w:szCs w:val="20"/>
          <w:color w:val="auto"/>
        </w:rPr>
      </w:pPr>
    </w:p>
    <w:p>
      <w:pPr>
        <w:ind w:right="3299" w:firstLine="710"/>
        <w:spacing w:after="0" w:line="262" w:lineRule="auto"/>
        <w:rPr>
          <w:sz w:val="20"/>
          <w:szCs w:val="20"/>
          <w:color w:val="auto"/>
        </w:rPr>
      </w:pPr>
      <w:r>
        <w:rPr>
          <w:rFonts w:ascii="Courier New" w:cs="Courier New" w:eastAsia="Courier New" w:hAnsi="Courier New"/>
          <w:sz w:val="14"/>
          <w:szCs w:val="14"/>
          <w:color w:val="auto"/>
        </w:rPr>
        <w:t>In late August 2001, the CEO of E.mergent was approached by a director of a public company, not in the audio-visual industry, about the interest or willingness of E.mergent to consider being acquired. That discussion was very preliminary in nature and no further discussions with this company occurred.</w:t>
      </w:r>
    </w:p>
    <w:p>
      <w:pPr>
        <w:spacing w:after="0" w:line="161"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During the first week of September 2001, the CEO of E.mergent discussed with E.mergent's board of directors the possibility of engaging in more serious business combination discussions with both companies. The discussions held with these companies regarding possible acquisitions of E.mergent suggested to the CEO and E.mergent's board that such interest in acquiring E.mergent increased the likelihood of maximizing shareholder value through an acquisition rather than internal growth. Following the events of September 11, 2001, management and the board of directors of E.mergent determined that it was in the best interests of shareholders to explore strategic alternatives, including the possible sale of E.mergent. The Board concluded this because it believed that the events of September 11, 2001 would further slow the economy and reduce the availability of investment capital, making it more difficult to maximize shareholder value through internal growth.</w:t>
      </w:r>
    </w:p>
    <w:p>
      <w:pPr>
        <w:spacing w:after="0" w:line="335"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Thereafter, E.mergent interviewed several investment banking firms and on September 28, 2001, E.mergent engaged Goldsmith, Agio, Helms on an exclusive basis to explore various strategic alternatives for E.mergent, including the sale of E.mergent to a third-party. E.mergent selected Goldsmith, Agio, Helms because of their extensive experience representing selling companies of a size similar to E.mergent and the presence of their principal office in Minneapolis. In addition, one of E.mergent's directors was a managing director of Goldsmith, Agio, Helms at that time, and the E.mergent board was familiar with many of its principals. In connection with its engagement, Goldsmith, Agio, Helms prepared a Confidential Executive Summary and worked with E.mergent's senior management team to prepare a list of potential buyers.</w:t>
      </w:r>
    </w:p>
    <w:p>
      <w:pPr>
        <w:spacing w:after="0" w:line="16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In early to mid October 2001, Goldsmith, Agio, Helms contacted a select group of potential buyers regarding their interest in acquiring E.mergent. The parties that were approached were believed to have both strategic interest and the financial ability to consummate a transaction. As part of this effort, Robin Sheeley, the Chief Technical Officer of E.mergent, telephoned the CEO of ClearOne, Frances Flood, on October 10 and they discussed very briefly whether ClearOne had an interest in acquiring E.mergent. After that conversation, ClearOne asked Wedbush Morgan Securities, Inc. to initiate a preliminary review of E.mergent and to handle preliminary discussions about a potential acquisition with Goldsmith, Agio, Helms.</w:t>
      </w:r>
    </w:p>
    <w:p>
      <w:pPr>
        <w:spacing w:after="0" w:line="178" w:lineRule="exact"/>
        <w:rPr>
          <w:sz w:val="20"/>
          <w:szCs w:val="20"/>
          <w:color w:val="auto"/>
        </w:rPr>
      </w:pPr>
    </w:p>
    <w:p>
      <w:pPr>
        <w:ind w:right="3219" w:firstLine="710"/>
        <w:spacing w:after="0" w:line="262" w:lineRule="auto"/>
        <w:rPr>
          <w:sz w:val="20"/>
          <w:szCs w:val="20"/>
          <w:color w:val="auto"/>
        </w:rPr>
      </w:pPr>
      <w:r>
        <w:rPr>
          <w:rFonts w:ascii="Courier New" w:cs="Courier New" w:eastAsia="Courier New" w:hAnsi="Courier New"/>
          <w:sz w:val="14"/>
          <w:szCs w:val="14"/>
          <w:color w:val="auto"/>
        </w:rPr>
        <w:t>Six of the potential buyers Goldsmith, Agio, Helms contacted, including ClearOne, subsequently signed Confidentiality Agreements to permit the exchange of confidential information for the purpose of evaluating the merits of a potential acquisition of E.mergent. ClearOne entered into its Confidentiality</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628" w:right="1440" w:bottom="1140" w:gutter="0" w:footer="0" w:header="0"/>
        </w:sectPr>
      </w:pPr>
    </w:p>
    <w:bookmarkStart w:id="41" w:name="page42"/>
    <w:bookmarkEnd w:id="41"/>
    <w:p>
      <w:pPr>
        <w:ind w:right="3119"/>
        <w:spacing w:after="0"/>
        <w:rPr>
          <w:sz w:val="20"/>
          <w:szCs w:val="20"/>
          <w:color w:val="auto"/>
        </w:rPr>
      </w:pPr>
      <w:r>
        <w:rPr>
          <w:rFonts w:ascii="Courier New" w:cs="Courier New" w:eastAsia="Courier New" w:hAnsi="Courier New"/>
          <w:sz w:val="15"/>
          <w:szCs w:val="15"/>
          <w:color w:val="auto"/>
        </w:rPr>
        <w:t>Agreement with E.mergent on October 10, 2001. Shortly after signing the Confidentiality Agreements, Goldsmith, Agio, Helms distributed the Confidential Executive Summary to the six potential buyers, including ClearOne. After further review of the opportunity, one of the other potential buyers declined to further participate in any discussions regarding an acquisition of E.mergent. After receiving the Confidential Executive Summary on or about October 12, ClearOne began its review of the summary and other publicly available information on E.mergent.</w:t>
      </w:r>
    </w:p>
    <w:p>
      <w:pPr>
        <w:spacing w:after="0" w:line="177" w:lineRule="exact"/>
        <w:rPr>
          <w:sz w:val="20"/>
          <w:szCs w:val="20"/>
          <w:color w:val="auto"/>
        </w:rPr>
      </w:pPr>
    </w:p>
    <w:p>
      <w:pPr>
        <w:ind w:right="3119" w:firstLine="710"/>
        <w:spacing w:after="0" w:line="260" w:lineRule="auto"/>
        <w:rPr>
          <w:sz w:val="20"/>
          <w:szCs w:val="20"/>
          <w:color w:val="auto"/>
        </w:rPr>
      </w:pPr>
      <w:r>
        <w:rPr>
          <w:rFonts w:ascii="Courier New" w:cs="Courier New" w:eastAsia="Courier New" w:hAnsi="Courier New"/>
          <w:sz w:val="14"/>
          <w:szCs w:val="14"/>
          <w:color w:val="auto"/>
        </w:rPr>
        <w:t>On October 23, 2001, five of the potential buyers who executed Confidentiality Agreements, including ClearOne, met with E.mergent's senior management team at the Telcom Conference in Anaheim, California. Two of these buyers expressed interest in buying one of E.mergent's divisions rather than the entire company. E.mergent, with the advice of Goldsmith, Agio, Helms, decided to terminate further discussions with these two buyers as the sale of a division could adversely impact the future of the remaining parts of E.mergent's business and could also result in significant tax expenses to E.mergent.</w:t>
      </w:r>
    </w:p>
    <w:p>
      <w:pPr>
        <w:spacing w:after="0" w:line="161"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October 23, 2001 meeting between E.mergent and ClearOne was attended by: Frances Flood, Randy Wichinski, CFO of ClearOne, and Gene Kuntz, COO of ClearOne; Michael Gardner and Robert Cherry from Wedbush Morgan Securities; Jim Hansen, Robin Sheeley, and Jill Larson, the Vice President of Administration, from E.mergent; and Jerry Caruso and Roger Redmond from Goldsmith, Agio, Helms. The participants discussed some of the key characteristics of both companies and opportunities within the industry in general. A follow-up meeting for the first week of November was discussed and subsequently, over the next several days, scheduled for November 6.</w:t>
      </w:r>
    </w:p>
    <w:p>
      <w:pPr>
        <w:spacing w:after="0" w:line="177"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Following the meetings in Anaheim, California in late October and early November 2001, E.mergent's senior management team and Goldsmith, Agio, Helms held additional meetings with three of the remaining potential buyers, including ClearOne on November 6. On that date, Frances Flood, Randy Wichinski, and Robert Cherry met with Jim Hansen, Robin Sheeley and Jill Larson at the E.mergent corporate offices and continued discussions regarding the potential benefits of the proposed acquisition, including a presentation by E.mergent covering the product and marketing opportunities possible from the proposed combination of the two companies.</w:t>
      </w:r>
    </w:p>
    <w:p>
      <w:pPr>
        <w:spacing w:after="0" w:line="177"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In late November and early December, E.mergent and Goldsmith, Agio, Helms held subsequent meetings and video conference calls with the three remaining potential buyers, including ClearOne. Meetings and calls with ClearOne involved further discussions regarding E.mergent's business, recent financial results, and financial prospects, as well as aspects of the possible transaction, including possible transaction structures and price. Also during this period, E.mergent and ClearOne continued to exchange additional information about their respective companies. ClearOne continued its investigation of E.mergent. On December 4, 2001, at the request of ClearOne management, Wedbush Morgan Securities provided ClearOne with certain financial analyses regarding the potential acquisition of E.mergent.</w:t>
      </w:r>
    </w:p>
    <w:p>
      <w:pPr>
        <w:spacing w:after="0" w:line="179"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On December 7, 2001, Wedbush Morgan Securities delivered to E.mergent, for discussion purposes only, a tentative proposal on behalf of ClearOne for the acquisition of E.mergent. On December 10, 2001, one other potential buyer made a proposal to purchase E.mergent. That proposal was verbal and not at a specific price but rather a range of multiples of E.mergent's earnings. There was no definition of what the potential buyer meant by "earnings." The proposal also did not contain a cash component. Because E.mergent had received specific proposals and was considering them, and to avoid concerns regarding premature disclosure of the proposed acquisition, on December 12, 2001, E.mergent issued a press release stating that it had engaged Goldsmith, Agio, Helms to explore strategic options.</w:t>
      </w:r>
    </w:p>
    <w:p>
      <w:pPr>
        <w:spacing w:after="0" w:line="179"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Between December 12, 2001 and December 18, 2001, E.mergent focused its negotiations with ClearOne, as ClearOne appeared to represent the best potential transaction to E.mergent's shareholders. The negotiations with ClearOne involved further discussion of the structure of the transaction and the consideration offered by ClearOne. ClearOne's proposal was determined to be superior due to its strategic fit with E.mergent, ClearOne's desire to rapidly consummate a transaction, and because ClearOne's proposal was superior both in value and structure, due to the potentially tax-free exchange of stock component to its proposal. Strategically, ClearOne and E.mergent would be able to sell each other's products in their respective distribution channels. ClearOne sold more equipment in the audio visual channel than the other potential buyer and that offered more opportunity for cross selling products. This was viewed as a considerable advantage. Also, E.mergent's board, with the advice of its financial advisor, concluded that the price range proposed by the other prospective buyer was likely to result in a price that was less than the specific price proposed by ClearOne. The board concluded that considerable negotiation of both the specific multiple and the definition of E.mergent's "earnings" was likely. ClearOne's proposal did not depend on a definition of "earnings" to which a multiple would be applied.</w:t>
      </w:r>
    </w:p>
    <w:p>
      <w:pPr>
        <w:spacing w:after="0" w:line="35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631" w:right="1440" w:bottom="1440" w:gutter="0" w:footer="0" w:header="0"/>
        </w:sectPr>
      </w:pPr>
    </w:p>
    <w:bookmarkStart w:id="42" w:name="page43"/>
    <w:bookmarkEnd w:id="42"/>
    <w:p>
      <w:pPr>
        <w:ind w:right="3119" w:firstLine="710"/>
        <w:spacing w:after="0"/>
        <w:rPr>
          <w:sz w:val="20"/>
          <w:szCs w:val="20"/>
          <w:color w:val="auto"/>
        </w:rPr>
      </w:pPr>
      <w:r>
        <w:rPr>
          <w:rFonts w:ascii="Courier New" w:cs="Courier New" w:eastAsia="Courier New" w:hAnsi="Courier New"/>
          <w:sz w:val="15"/>
          <w:szCs w:val="15"/>
          <w:color w:val="auto"/>
        </w:rPr>
        <w:t>During this period of time, E.mergent also received an unsolicited inquiry by an institutional investor interested in potentially investing $10 million for newly issued E.mergent stock with the proceeds to be used for internal growth. This proposal was verbal and nonspecific with regard to terms and conditions. None of the investment proceeds were to go to existing stockholders. E.mergent had undertaken no due diligence with respect to this potential investor and was on the verge of signing an exclusivity agreement with ClearOne. For these reasons, E.mergent decided not to proceed with further discussions with this institutional investor until it determined whether or not a satisfactory transaction could be negotiated with ClearOne.</w:t>
      </w:r>
    </w:p>
    <w:p>
      <w:pPr>
        <w:spacing w:after="0" w:line="178" w:lineRule="exact"/>
        <w:rPr>
          <w:sz w:val="20"/>
          <w:szCs w:val="20"/>
          <w:color w:val="auto"/>
        </w:rPr>
      </w:pPr>
    </w:p>
    <w:p>
      <w:pPr>
        <w:ind w:right="3399" w:firstLine="710"/>
        <w:spacing w:after="0" w:line="260" w:lineRule="auto"/>
        <w:rPr>
          <w:sz w:val="20"/>
          <w:szCs w:val="20"/>
          <w:color w:val="auto"/>
        </w:rPr>
      </w:pPr>
      <w:r>
        <w:rPr>
          <w:rFonts w:ascii="Courier New" w:cs="Courier New" w:eastAsia="Courier New" w:hAnsi="Courier New"/>
          <w:sz w:val="14"/>
          <w:szCs w:val="14"/>
          <w:color w:val="auto"/>
        </w:rPr>
        <w:t>On December 18, 2001, E.mergent entered into an exclusivity agreement with ClearOne. Pursuant to this agreement, E.mergent agreed to cease all acquisition negotiations with all other parties and to negotiate exclusively with ClearOne for 30 days. Shortly thereafter, ClearOne and E.mergent began negotiation of the specific terms of a transaction and the definitive merger agreement and exchanged drafts of the proposed definitive agreement.</w:t>
      </w:r>
    </w:p>
    <w:p>
      <w:pPr>
        <w:spacing w:after="0" w:line="16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On December 27, 2001, Randy Wichinski met with Jim Hansen and Jill Larson at E.mergent corporate headquarters in Minneapolis to initiate a formal due diligence process. On December 28, 2001, the ClearOne board of directors met in person and by telephone with members of ClearOne management and representatives of Jones Waldo Holbrook &amp; McDonough, P.C., ClearOne's legal counsel, to discuss the status of the proposed transaction with E.mergent and ClearOne management's due diligence findings to date.</w:t>
      </w:r>
    </w:p>
    <w:p>
      <w:pPr>
        <w:spacing w:after="0" w:line="176"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On January 3 and 4, 2002, members of ClearOne's management and representatives of ClearOne's independent auditors, Ernst &amp; Young LLP, a representative of Jones Waldo, Holbrook &amp; McDonough, P.C. and a representative from Wedbush Morgan Securities visited E.mergent's offices and also met with E.mergent's independent auditors, Deloitte &amp; Touche LLP, to conduct business, financial, accounting tax, and legal due diligence and participate in discussions with E.mergent management, E.mergent's legal counsel and its independent auditors on various issues.</w:t>
      </w:r>
    </w:p>
    <w:p>
      <w:pPr>
        <w:spacing w:after="0" w:line="177"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Between January 4 and January 18, ClearOne continued its investigation and analysis of E.mergent, requesting additional information from E.mergent. Also during this period, ClearOne and E.mergent continued negotiation of the definitive merger agreement.</w:t>
      </w:r>
    </w:p>
    <w:p>
      <w:pPr>
        <w:spacing w:after="0" w:line="17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On January 17, 2002, E.mergent and ClearOne essentially completed their negotiations with respect to the merger agreement. On that date, the ClearOne board of directors met telephonically, together with representatives of Jones Waldo Holbrook &amp; McDonough P.C. and Robert Cherry of Wedbush Morgan Securities, to informally discuss in detail the terms and negotiations of the definitive merger agreement and the final results of ClearOne management's due diligence investigation.</w:t>
      </w:r>
    </w:p>
    <w:p>
      <w:pPr>
        <w:spacing w:after="0" w:line="176"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On January 18, 2002, E.mergent's board of directors conducted a meeting at which, among other things, Goldsmith, Agio, Helms delivered its opinion as to the fairness, from a financial point of view, of the proposed merger consideration. The board of directors approved the merger agreement with ClearOne. On January 21, 2002, ClearOne's board of directors held a meeting attended by ClearOne management and legal counsel from Jones Waldo Holbrook &amp; McDonough. After reviewing in further detail the proposed acquisition and the terms and conditions of the merger agreement, the ClearOne board of directors approved the merger agreement with E.mergent. On January 21, 2002, ClearOne and E.mergent executed the Merger Agreement and certain E.mergent shareholders executed the related Voting Agreement, Irrevocable Proxies and Affiliate Agreements. ClearOne and E.mergent issued separate press releases early in the morning on January 22, 2002 announcing execution of the merger agreement.</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E.mergent's Reasons for the Merger</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board of directors of E.mergent has determined that the terms of the merger and the merger agreement are fair to, and in the best interests of, E.mergent and its stockholders. In reaching its decision, E.mergent `s board of directors consulted with senior management and E.mergent `s financial and legal advisors and considered the material factors set forth below in reaching its decision to approve the merger agreement and the transactions contemplated by the merger agreement, and to recommend that E.mergent `s stockholders vote FOR adoption and approval of the merger agreement and approval of the merger:</w:t>
      </w:r>
    </w:p>
    <w:p>
      <w:pPr>
        <w:spacing w:after="0" w:line="177" w:lineRule="exact"/>
        <w:rPr>
          <w:sz w:val="20"/>
          <w:szCs w:val="20"/>
          <w:color w:val="auto"/>
        </w:rPr>
      </w:pPr>
    </w:p>
    <w:p>
      <w:pPr>
        <w:jc w:val="both"/>
        <w:ind w:left="1060" w:right="3119" w:hanging="359"/>
        <w:spacing w:after="0"/>
        <w:tabs>
          <w:tab w:leader="none" w:pos="106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was viewed as a quicker and more certain method to enhance shareholder value than E.mergent's strategic alternatives, each of which involved a considerable degree of uncertainty of success, including raising additional capital, acquisition of E.mergent by another party, a merger of equals or a joint venture with another party;</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631" w:right="1440" w:bottom="1440" w:gutter="0" w:footer="0" w:header="0"/>
        </w:sectPr>
      </w:pPr>
    </w:p>
    <w:bookmarkStart w:id="43" w:name="page44"/>
    <w:bookmarkEnd w:id="43"/>
    <w:p>
      <w:pPr>
        <w:jc w:val="both"/>
        <w:ind w:left="1060" w:right="3119" w:hanging="359"/>
        <w:spacing w:after="0"/>
        <w:tabs>
          <w:tab w:leader="none" w:pos="10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difficulties, due to E.mergent's relatively small size and limited resources, in independently responding successfully to pervading competitive factors in the audio and videoconferencing industry, including the cost of developing sales channels, pricing competition and the need to develop complete product lines in order to compete;</w:t>
      </w:r>
    </w:p>
    <w:p>
      <w:pPr>
        <w:spacing w:after="0" w:line="175"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overall strategic fit between E.mergent and ClearOne in view of their respective product lines, markets, and distribution channels and the potential synergies, efficiencies, and cost savings that could be realized through a combination of E.mergent and ClearOne;</w:t>
      </w:r>
    </w:p>
    <w:p>
      <w:pPr>
        <w:spacing w:after="0" w:line="176"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opportunity  for  E.mergent  shareholders  to  continue  equity</w:t>
      </w:r>
    </w:p>
    <w:p>
      <w:pPr>
        <w:spacing w:after="0" w:line="12" w:lineRule="exact"/>
        <w:rPr>
          <w:rFonts w:ascii="Courier New" w:cs="Courier New" w:eastAsia="Courier New" w:hAnsi="Courier New"/>
          <w:sz w:val="14"/>
          <w:szCs w:val="14"/>
          <w:color w:val="auto"/>
        </w:rPr>
      </w:pPr>
    </w:p>
    <w:p>
      <w:pPr>
        <w:jc w:val="both"/>
        <w:ind w:left="1060" w:right="3119"/>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participation in a larger, more diversified audio and videoconferencing company at a premium over market prices for E.mergent common stock prior to announcement of the merger;</w:t>
      </w:r>
    </w:p>
    <w:p>
      <w:pPr>
        <w:spacing w:after="0" w:line="175" w:lineRule="exact"/>
        <w:rPr>
          <w:rFonts w:ascii="Courier New" w:cs="Courier New" w:eastAsia="Courier New" w:hAnsi="Courier New"/>
          <w:sz w:val="14"/>
          <w:szCs w:val="14"/>
          <w:color w:val="auto"/>
        </w:rPr>
      </w:pPr>
    </w:p>
    <w:p>
      <w:pPr>
        <w:jc w:val="both"/>
        <w:ind w:left="1060" w:right="3119" w:hanging="359"/>
        <w:spacing w:after="0" w:line="264" w:lineRule="auto"/>
        <w:tabs>
          <w:tab w:leader="none" w:pos="106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financial advice provided to E.mergent by Goldsmith, Agio, Helms and its opinion that the consideration to be received by E.mergent shareholders in the merger is fair from a financial point of view;</w:t>
      </w:r>
    </w:p>
    <w:p>
      <w:pPr>
        <w:spacing w:after="0" w:line="159" w:lineRule="exact"/>
        <w:rPr>
          <w:rFonts w:ascii="Courier New" w:cs="Courier New" w:eastAsia="Courier New" w:hAnsi="Courier New"/>
          <w:sz w:val="14"/>
          <w:szCs w:val="14"/>
          <w:color w:val="auto"/>
        </w:rPr>
      </w:pPr>
    </w:p>
    <w:p>
      <w:pPr>
        <w:jc w:val="both"/>
        <w:ind w:left="1060" w:right="3119" w:hanging="359"/>
        <w:spacing w:after="0"/>
        <w:tabs>
          <w:tab w:leader="none" w:pos="10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advice of its accounting and legal advisors that the merger is expected to be a partially tax-free and partially taxable transaction for federal income tax purposes to E.mergent shareholders receiving ClearOne common stock--in this regard, E.mergent `s board of directors considered the possibility that all the merger consideration could be taxable to E.mergent's shareholders under certain circumstances; and</w:t>
      </w:r>
    </w:p>
    <w:p>
      <w:pPr>
        <w:spacing w:after="0" w:line="175"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and conditions of the merger agreement, which were viewed to be fair to E.mergent and its shareholders.</w:t>
      </w:r>
    </w:p>
    <w:p>
      <w:pPr>
        <w:spacing w:after="0" w:line="175" w:lineRule="exact"/>
        <w:rPr>
          <w:sz w:val="20"/>
          <w:szCs w:val="20"/>
          <w:color w:val="auto"/>
        </w:rPr>
      </w:pPr>
    </w:p>
    <w:p>
      <w:pPr>
        <w:ind w:right="3299" w:firstLine="444"/>
        <w:spacing w:after="0" w:line="239" w:lineRule="auto"/>
        <w:rPr>
          <w:sz w:val="20"/>
          <w:szCs w:val="20"/>
          <w:color w:val="auto"/>
        </w:rPr>
      </w:pPr>
      <w:r>
        <w:rPr>
          <w:rFonts w:ascii="Courier New" w:cs="Courier New" w:eastAsia="Courier New" w:hAnsi="Courier New"/>
          <w:sz w:val="15"/>
          <w:szCs w:val="15"/>
          <w:color w:val="auto"/>
        </w:rPr>
        <w:t>E.mergent's board of directors also identified and considered a number of uncertainties and risks in its deliberations concerning the merger, including the following:</w:t>
      </w:r>
    </w:p>
    <w:p>
      <w:pPr>
        <w:spacing w:after="0" w:line="175" w:lineRule="exact"/>
        <w:rPr>
          <w:sz w:val="20"/>
          <w:szCs w:val="20"/>
          <w:color w:val="auto"/>
        </w:rPr>
      </w:pPr>
    </w:p>
    <w:p>
      <w:pPr>
        <w:ind w:left="1060" w:right="3119" w:hanging="359"/>
        <w:spacing w:after="0" w:line="238" w:lineRule="auto"/>
        <w:tabs>
          <w:tab w:leader="none" w:pos="10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potential benefits sought in the merger may not be fully realized, if at all;</w:t>
      </w:r>
    </w:p>
    <w:p>
      <w:pPr>
        <w:spacing w:after="0" w:line="174"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of management and employee disruption as a result of the merger, including the risk that key personnel may choose not to remain employed with the combined company; and</w:t>
      </w:r>
    </w:p>
    <w:p>
      <w:pPr>
        <w:spacing w:after="0" w:line="175"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applicable risks associated with the businesses of E.mergent and ClearOne described in this proxy statement/prospectus.</w:t>
      </w:r>
    </w:p>
    <w:p>
      <w:pPr>
        <w:spacing w:after="0" w:line="175"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The foregoing discussion of the information and factors considered by E.mergent `s board of directors includes all material factors considered by the E.mergent board of directors. In view of the variety of factors considered in connection with its evaluation of the merger, E.mergent `s board of directors did not find it practicable to, and did not, quantify or otherwise assign relative or specific weight or values to any of these factors, and individual directors may have given different weights to different factors.</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Opinion of E.mergent's Financial Advisor</w:t>
      </w:r>
    </w:p>
    <w:p>
      <w:pPr>
        <w:spacing w:after="0" w:line="174" w:lineRule="exact"/>
        <w:rPr>
          <w:sz w:val="20"/>
          <w:szCs w:val="20"/>
          <w:color w:val="auto"/>
        </w:rPr>
      </w:pPr>
    </w:p>
    <w:p>
      <w:pPr>
        <w:ind w:right="3119" w:firstLine="710"/>
        <w:spacing w:after="0" w:line="260" w:lineRule="auto"/>
        <w:rPr>
          <w:sz w:val="20"/>
          <w:szCs w:val="20"/>
          <w:color w:val="auto"/>
        </w:rPr>
      </w:pPr>
      <w:r>
        <w:rPr>
          <w:rFonts w:ascii="Courier New" w:cs="Courier New" w:eastAsia="Courier New" w:hAnsi="Courier New"/>
          <w:sz w:val="14"/>
          <w:szCs w:val="14"/>
          <w:color w:val="auto"/>
        </w:rPr>
        <w:t>Goldsmith, Agio, Helms has acted as E.mergent's exclusive financial advisor in connection with the proposed merger. E.mergent selected Goldsmith, Agio, Helms based on Goldsmith, Agio, Helms' experience, expertise, and reputation. Goldsmith, Agio, Helms is a nationally recognized investment banking firm which, as a customary part of its business, is engaged in the valuation of businesses and securities in connection with mergers and acquisitions, private placements, and valuations for corporate and other purposes.</w:t>
      </w:r>
    </w:p>
    <w:p>
      <w:pPr>
        <w:spacing w:after="0" w:line="163"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In connection with Goldsmith, Agio, Helms' engagement, E.mergent requested that Goldsmith, Agio, Helms evaluate the fairness, from a financial point of view, to the holders of E.mergent common stock of the merger consideration. On January 18, 2002, at a meeting of the E.mergent board of directors held to evaluate the merger, Goldsmith, Agio, Helms delivered to the E.mergent board of directors an oral opinion, which was confirmed thereafter by delivery of a written opinion dated January 18, 2002, to the effect that, as of such date, and based upon and subject to the assumptions, procedures, and limitations set forth therein, the proposed merger consideration was fair, from a financial point of view, to the holders of E.mergent common stock.</w:t>
      </w:r>
    </w:p>
    <w:p>
      <w:pPr>
        <w:spacing w:after="0" w:line="166" w:lineRule="exact"/>
        <w:rPr>
          <w:sz w:val="20"/>
          <w:szCs w:val="20"/>
          <w:color w:val="auto"/>
        </w:rPr>
      </w:pPr>
    </w:p>
    <w:p>
      <w:pPr>
        <w:ind w:right="3219" w:firstLine="710"/>
        <w:spacing w:after="0" w:line="264" w:lineRule="auto"/>
        <w:rPr>
          <w:sz w:val="20"/>
          <w:szCs w:val="20"/>
          <w:color w:val="auto"/>
        </w:rPr>
      </w:pPr>
      <w:r>
        <w:rPr>
          <w:rFonts w:ascii="Courier New" w:cs="Courier New" w:eastAsia="Courier New" w:hAnsi="Courier New"/>
          <w:sz w:val="14"/>
          <w:szCs w:val="14"/>
          <w:color w:val="auto"/>
        </w:rPr>
        <w:t>The full text of Goldsmith, Agio, Helms' written opinion, dated January 18, 2002, to the E.mergent board of directors, which sets forth the procedures followed, assumptions made, matters considered, and limitations on the review</w:t>
      </w:r>
    </w:p>
    <w:p>
      <w:pPr>
        <w:spacing w:after="0" w:line="32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631" w:right="1440" w:bottom="1440" w:gutter="0" w:footer="0" w:header="0"/>
        </w:sectPr>
      </w:pPr>
    </w:p>
    <w:bookmarkStart w:id="44" w:name="page45"/>
    <w:bookmarkEnd w:id="44"/>
    <w:p>
      <w:pPr>
        <w:ind w:right="3119"/>
        <w:spacing w:after="0"/>
        <w:rPr>
          <w:sz w:val="20"/>
          <w:szCs w:val="20"/>
          <w:color w:val="auto"/>
        </w:rPr>
      </w:pPr>
      <w:r>
        <w:rPr>
          <w:rFonts w:ascii="Courier New" w:cs="Courier New" w:eastAsia="Courier New" w:hAnsi="Courier New"/>
          <w:sz w:val="15"/>
          <w:szCs w:val="15"/>
          <w:color w:val="auto"/>
        </w:rPr>
        <w:t>undertaken, is attached to this document as Annex C and is incorporated into this document by reference. You are urged to read the Goldsmith, Agio, Helms opinion in its entirety. The description of the Goldsmith, Agio, Helms opinion set forth in this proxy statement/prospectus is qualified in its entirety by reference to the full text of such opinion. Goldsmith, Agio, Helms' opinion is rendered for the benefit and use of the board of directors of E.mergent in connection with the board of directors' consideration of the merger, relates only to the fairness of the merger consideration from a financial point of view, does not address any other aspect of the merger or any related transaction and does not constitute a recommendation to any holder of E.mergent common stock with respect to any matters, including the shareholder vote, relating to the proposed merger.</w:t>
      </w:r>
    </w:p>
    <w:p>
      <w:pPr>
        <w:spacing w:after="0" w:line="180" w:lineRule="exact"/>
        <w:rPr>
          <w:sz w:val="20"/>
          <w:szCs w:val="20"/>
          <w:color w:val="auto"/>
        </w:rPr>
      </w:pPr>
    </w:p>
    <w:p>
      <w:pPr>
        <w:ind w:right="3399" w:firstLine="710"/>
        <w:spacing w:after="0" w:line="239" w:lineRule="auto"/>
        <w:rPr>
          <w:sz w:val="20"/>
          <w:szCs w:val="20"/>
          <w:color w:val="auto"/>
        </w:rPr>
      </w:pPr>
      <w:r>
        <w:rPr>
          <w:rFonts w:ascii="Courier New" w:cs="Courier New" w:eastAsia="Courier New" w:hAnsi="Courier New"/>
          <w:sz w:val="15"/>
          <w:szCs w:val="15"/>
          <w:color w:val="auto"/>
        </w:rPr>
        <w:t>In arriving at its opinion, Goldsmith, Agio, Helms undertook such reviews, analyses, and inquiries as it deemed necessary and appropriate under the circumstances. Among other things, Goldsmith, Agio, Helms:</w:t>
      </w:r>
    </w:p>
    <w:p>
      <w:pPr>
        <w:spacing w:after="0" w:line="175" w:lineRule="exact"/>
        <w:rPr>
          <w:sz w:val="20"/>
          <w:szCs w:val="20"/>
          <w:color w:val="auto"/>
        </w:rPr>
      </w:pPr>
    </w:p>
    <w:p>
      <w:pPr>
        <w:jc w:val="both"/>
        <w:ind w:left="1060" w:right="3119" w:hanging="359"/>
        <w:spacing w:after="0" w:line="260" w:lineRule="auto"/>
        <w:tabs>
          <w:tab w:leader="none" w:pos="106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reviewed the latest draft of the merger agreement made available to Goldsmith, Agio, Helms, dated January 17, 2002, and assumed that the final form of the merger agreement would not vary in any material respect from the January 17th draft, and that the terms of the consideration to be paid to the holders of E.mergent common stock will be identical to those set forth in the January 17th draft;</w:t>
      </w:r>
    </w:p>
    <w:p>
      <w:pPr>
        <w:spacing w:after="0" w:line="163" w:lineRule="exact"/>
        <w:rPr>
          <w:rFonts w:ascii="Courier New" w:cs="Courier New" w:eastAsia="Courier New" w:hAnsi="Courier New"/>
          <w:sz w:val="14"/>
          <w:szCs w:val="14"/>
          <w:color w:val="auto"/>
        </w:rPr>
      </w:pPr>
    </w:p>
    <w:p>
      <w:pPr>
        <w:ind w:left="1060" w:right="3119" w:hanging="359"/>
        <w:spacing w:after="0" w:line="238" w:lineRule="auto"/>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financial and other information that is publicly available relating to E.mergent;</w:t>
      </w:r>
    </w:p>
    <w:p>
      <w:pPr>
        <w:spacing w:after="0" w:line="174"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financial and other information that is publicly available relating to ClearOne;</w:t>
      </w:r>
    </w:p>
    <w:p>
      <w:pPr>
        <w:spacing w:after="0" w:line="174"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certain internal financial and operating data of E.mergent that was made available to Goldsmith, Agio, Helms by E.mergent;</w:t>
      </w:r>
    </w:p>
    <w:p>
      <w:pPr>
        <w:spacing w:after="0" w:line="174"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discussed with senior management of E.mergent the financial condition, operating results, business outlook and prospects of E.mergent;</w:t>
      </w:r>
    </w:p>
    <w:p>
      <w:pPr>
        <w:spacing w:after="0" w:line="175"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discussed with senior management of ClearOne the present financial condition, operating results, and near term business outlook of ClearOne;</w:t>
      </w:r>
    </w:p>
    <w:p>
      <w:pPr>
        <w:spacing w:after="0" w:line="175"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E.mergent's and ClearOne's historical common stock price trends;</w:t>
      </w:r>
    </w:p>
    <w:p>
      <w:pPr>
        <w:spacing w:after="0" w:line="174"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analyzed the stock price premiums paid in recent mergers and acquisitions of publicly traded companies with transaction values ranging from $10 to $50 million, and compared those premiums to the premium implied by the consideration in the proposed merger;</w:t>
      </w:r>
    </w:p>
    <w:p>
      <w:pPr>
        <w:spacing w:after="0" w:line="176"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performed a discounted cash flow analysis of E.mergent's projected financial performance as a stand-alone entity, based on financial projections that E.mergent management provided to Goldsmith, Agio, Helms;</w:t>
      </w:r>
    </w:p>
    <w:p>
      <w:pPr>
        <w:spacing w:after="0" w:line="176"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valuations of publicly traded companies that Goldsmith, Agio, Helms deemed generally comparable (for such purposes) to E.mergent; and</w:t>
      </w:r>
    </w:p>
    <w:p>
      <w:pPr>
        <w:spacing w:after="0" w:line="175" w:lineRule="exact"/>
        <w:rPr>
          <w:rFonts w:ascii="Courier New" w:cs="Courier New" w:eastAsia="Courier New" w:hAnsi="Courier New"/>
          <w:sz w:val="15"/>
          <w:szCs w:val="15"/>
          <w:color w:val="auto"/>
        </w:rPr>
      </w:pPr>
    </w:p>
    <w:p>
      <w:pPr>
        <w:jc w:val="both"/>
        <w:ind w:left="1060" w:right="3119" w:hanging="359"/>
        <w:spacing w:after="0" w:line="239" w:lineRule="auto"/>
        <w:tabs>
          <w:tab w:leader="none" w:pos="10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financial terms of certain transactions Goldsmith, Agio, Helms deemed comparable to the merger that recently have been effected.</w:t>
      </w:r>
    </w:p>
    <w:p>
      <w:pPr>
        <w:spacing w:after="0" w:line="175" w:lineRule="exact"/>
        <w:rPr>
          <w:sz w:val="20"/>
          <w:szCs w:val="20"/>
          <w:color w:val="auto"/>
        </w:rPr>
      </w:pPr>
    </w:p>
    <w:p>
      <w:pPr>
        <w:ind w:right="3119" w:firstLine="710"/>
        <w:spacing w:after="0" w:line="258" w:lineRule="auto"/>
        <w:rPr>
          <w:sz w:val="20"/>
          <w:szCs w:val="20"/>
          <w:color w:val="auto"/>
        </w:rPr>
      </w:pPr>
      <w:r>
        <w:rPr>
          <w:rFonts w:ascii="Courier New" w:cs="Courier New" w:eastAsia="Courier New" w:hAnsi="Courier New"/>
          <w:sz w:val="14"/>
          <w:szCs w:val="14"/>
          <w:color w:val="auto"/>
        </w:rPr>
        <w:t>In arriving at its opinion, Goldsmith, Agio, Helms relied upon and assumed, without independent verification, the accuracy and completeness of the financial statements and other information furnished by, or publicly available relating to, E.mergent or ClearOne, or otherwise made available to Goldsmith, Agio, Helms. Goldsmith, Agio, Helms also relied upon the representations and warranties of E.mergent and ClearOne contained in the merger agreement and have assumed, without independent verification, that they are true and correct. Goldsmith, Agio, Helms was not engaged to, and did not attempt to, or assume responsibility to, verify independently such information. Goldsmith, Agio, Helms further relied upon assurances by E.mergent that the information provided to Goldsmith, Agio, Helms had a reasonable basis, and with respect to projections and other business outlook information, reflected the best then-currently available estimates and judgments of future financial performance of E.mergent, and that E.mergent was not aware of any information or fact that would make the information provided to Goldsmith, Agio, Helms incomplete or misleading. Goldsmith, Agio, Helms also assumed that E.mergent and ClearOne each would perform all of the covenants and agreements to be performed by it under the merger agreement, that the conditions to the merger set forth in the merger agreement would be satisfied and that the merger would be consummated on a timely basis in the manner contemplated by the merger agreement. Goldsmith,</w:t>
      </w:r>
    </w:p>
    <w:p>
      <w:pPr>
        <w:spacing w:after="0" w:line="200" w:lineRule="exact"/>
        <w:rPr>
          <w:sz w:val="20"/>
          <w:szCs w:val="20"/>
          <w:color w:val="auto"/>
        </w:rPr>
      </w:pPr>
    </w:p>
    <w:p>
      <w:pPr>
        <w:spacing w:after="0" w:line="31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631" w:right="1440" w:bottom="1140" w:gutter="0" w:footer="0" w:header="0"/>
        </w:sectPr>
      </w:pPr>
    </w:p>
    <w:bookmarkStart w:id="45" w:name="page46"/>
    <w:bookmarkEnd w:id="45"/>
    <w:p>
      <w:pPr>
        <w:ind w:right="3299"/>
        <w:spacing w:after="0" w:line="238" w:lineRule="auto"/>
        <w:rPr>
          <w:sz w:val="20"/>
          <w:szCs w:val="20"/>
          <w:color w:val="auto"/>
        </w:rPr>
      </w:pPr>
      <w:r>
        <w:rPr>
          <w:rFonts w:ascii="Courier New" w:cs="Courier New" w:eastAsia="Courier New" w:hAnsi="Courier New"/>
          <w:sz w:val="15"/>
          <w:szCs w:val="15"/>
          <w:color w:val="auto"/>
        </w:rPr>
        <w:t>Agio, Helms also assumed that, once consummated, the merger would qualify as a partially tax-free reorganization for federal income tax purposes.</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In arriving at its opinion, Goldsmith, Agio, Helms did not perform any appraisals or valuations of specific assets or liabilities of E.mergent, nor was Goldsmith, Agio, Helms furnished with any such appraisals. The Goldsmith, Agio, Helms opinion is necessarily based upon the information available to Goldsmith, Agio, Helms and the facts and circumstances as they existed and are subject to evaluation on the date of the opinion, including the financial, economic, market and other conditions as in effect on the date of the opinion; events and conditions occurring or existing after the date of the opinion could materially affect the assumptions used in preparing the opinion.</w:t>
      </w:r>
    </w:p>
    <w:p>
      <w:pPr>
        <w:spacing w:after="0" w:line="177"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Goldsmith, Agio, Helms did not analyze the tax consequences of the merger, including tax consequences to any holder of E.mergent common stock. Goldsmith, Agio, Helms was not asked to, nor did it, express any opinion as to the relative merits of the merger as compared to any alternative business strategies that might exist for E.mergent, the effect of any other transaction in which E.mergent might engage, or the form of the merger agreement or the terms contained therein. Furthermore, Goldsmith, Agio, Helms expressed no opinion as to the prices at which either E.mergent or ClearOne stock may trade following the date of its opinion. Goldsmith, Agio, Helms' opinion was rendered as of the date thereof, and Goldsmith, Agio, Helms did not express any opinion as to whether, on or about the effective time of the merger, the merger consideration would be fair, from a financial point of view, to E.mergent's shareholders.</w:t>
      </w:r>
    </w:p>
    <w:p>
      <w:pPr>
        <w:spacing w:after="0" w:line="180"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Goldsmith, Agio, Helms analyses set forth below are a complete description of the analyses performed by Goldsmith, Agio, Helms in arriving at its opinion. In arriving at its opinion, Goldsmith, Agio, Helms did not attribute any particular weight to any analysis or factor considered by it, but rather considered the results of its analyses as a whole. Accordingly, Goldsmith, Agio, Helms believes that its analyses and the summary set forth below must be considered as a whole and that selecting portions of its analyses, or of the summary, without considering all factors and analyses, could create an incomplete view of the processes underlying its analyses.</w:t>
      </w:r>
    </w:p>
    <w:p>
      <w:pPr>
        <w:spacing w:after="0" w:line="177" w:lineRule="exact"/>
        <w:rPr>
          <w:sz w:val="20"/>
          <w:szCs w:val="20"/>
          <w:color w:val="auto"/>
        </w:rPr>
      </w:pPr>
    </w:p>
    <w:p>
      <w:pPr>
        <w:jc w:val="both"/>
        <w:ind w:right="3219" w:firstLine="710"/>
        <w:spacing w:after="0" w:line="258" w:lineRule="auto"/>
        <w:rPr>
          <w:sz w:val="20"/>
          <w:szCs w:val="20"/>
          <w:color w:val="auto"/>
        </w:rPr>
      </w:pPr>
      <w:r>
        <w:rPr>
          <w:rFonts w:ascii="Courier New" w:cs="Courier New" w:eastAsia="Courier New" w:hAnsi="Courier New"/>
          <w:sz w:val="14"/>
          <w:szCs w:val="14"/>
          <w:color w:val="auto"/>
        </w:rPr>
        <w:t>The analyses performed by Goldsmith, Agio, Helms (and summarized below) are not necessarily indicative of actual values or actual future results, which may be significantly more or less favorable than suggested by such analyses.</w:t>
      </w:r>
    </w:p>
    <w:p>
      <w:pPr>
        <w:spacing w:after="0" w:line="1"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Additionally, analyses relating to the values of businesses do not purport to be appraisals or to reflect the prices at which businesses or securities actually may be sold. Accordingly, Goldsmith, Agio, Helms' analyses and estimates are inherently subject to substantial uncertainty.</w:t>
      </w:r>
    </w:p>
    <w:p>
      <w:pPr>
        <w:spacing w:after="0" w:line="176"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The type and amount of merger consideration payable pursuant to the merger was determined through negotiation between E.mergent and ClearOne. Although Goldsmith, Agio, Helms provided financial advice to E.mergent during the course of the negotiations, Goldsmith, Agio, Helms did not recommend the amount of the merger consideration or the payment or other terms thereof, and the decision to enter into the merger agreement was solely that of E.mergent's board of directors. Goldsmith, Agio, Helms' opinion as to the fairness of the merger consideration from a financial point of view was only one of many factors considered by the board of directors in making their determination to recommend adoption of the merger agreement, and should be not be viewed as determinative of the views of the E.mergent board of directors or management with respect to the proposed merger or the merger consideration payable in the merger.</w:t>
      </w:r>
    </w:p>
    <w:p>
      <w:pPr>
        <w:spacing w:after="0" w:line="16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following is a summary of the material financial analyses underlying Goldsmith, Agio, Helms' opinion dated January 18, 2002, delivered to the E.mergent board of directors in connection with the proposed merger. On that date, the closing prices of ClearOne and E.mergent common stock were $17.15 and $2.96, respectively.</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Discounted Cash Flow Analysis. Goldsmith, Agio, Helms performed a discounted cash flow analysis based on the projected five-year financial performance of E.mergent provided to Goldsmith, Agio, Helms by E.mergent management. E.mergent's weighted average cost of capital for purposes of this analysis was calculated to be approximately 19.2 %. Terminal values were calculated by applying alternative perpetual growth rates of 3.0 % to 4.5 % to the projected free cash flow in fiscal year 2006. Based on this analysis, E.mergent's implied per share equity values ranged from approximately $2.02 to $2.98. Discounted cash flow analysis is a widely-used valuation methodology, but it relies on numerous assumptions, including assets and earnings growth rates, terminal values, and discount rates.</w:t>
      </w:r>
    </w:p>
    <w:p>
      <w:pPr>
        <w:spacing w:after="0" w:line="179" w:lineRule="exact"/>
        <w:rPr>
          <w:sz w:val="20"/>
          <w:szCs w:val="20"/>
          <w:color w:val="auto"/>
        </w:rPr>
      </w:pPr>
    </w:p>
    <w:p>
      <w:pPr>
        <w:ind w:right="3119" w:firstLine="710"/>
        <w:spacing w:after="0" w:line="262" w:lineRule="auto"/>
        <w:rPr>
          <w:sz w:val="20"/>
          <w:szCs w:val="20"/>
          <w:color w:val="auto"/>
        </w:rPr>
      </w:pPr>
      <w:r>
        <w:rPr>
          <w:rFonts w:ascii="Courier New" w:cs="Courier New" w:eastAsia="Courier New" w:hAnsi="Courier New"/>
          <w:sz w:val="14"/>
          <w:szCs w:val="14"/>
          <w:color w:val="auto"/>
        </w:rPr>
        <w:t>Analysis of Publicly Traded Comparable Companies. Goldsmith, Agio, Helms analyzed selected historical financial, operating, and stock market data of E.mergent, ClearOne, and other publicly traded companies that Goldsmith, Agio, Helms deemed to be comparable to E.mergent for this analysis. The five companies</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631" w:right="1440" w:bottom="1440" w:gutter="0" w:footer="0" w:header="0"/>
        </w:sectPr>
      </w:pPr>
    </w:p>
    <w:bookmarkStart w:id="46" w:name="page47"/>
    <w:bookmarkEnd w:id="46"/>
    <w:p>
      <w:pPr>
        <w:ind w:right="3119"/>
        <w:spacing w:after="0" w:line="239" w:lineRule="auto"/>
        <w:rPr>
          <w:sz w:val="20"/>
          <w:szCs w:val="20"/>
          <w:color w:val="auto"/>
        </w:rPr>
      </w:pPr>
      <w:r>
        <w:rPr>
          <w:rFonts w:ascii="Courier New" w:cs="Courier New" w:eastAsia="Courier New" w:hAnsi="Courier New"/>
          <w:sz w:val="15"/>
          <w:szCs w:val="15"/>
          <w:color w:val="auto"/>
        </w:rPr>
        <w:t>(collectively, the "Comparable Companies") deemed by Goldsmith, Agio, Helms to be reasonably comparable to E.mergent in terms of products and services offered, markets served, and business prospects were:</w:t>
      </w:r>
    </w:p>
    <w:p>
      <w:pPr>
        <w:spacing w:after="0" w:line="172" w:lineRule="exact"/>
        <w:rPr>
          <w:sz w:val="20"/>
          <w:szCs w:val="20"/>
          <w:color w:val="auto"/>
        </w:rPr>
      </w:pPr>
    </w:p>
    <w:p>
      <w:pPr>
        <w:ind w:left="1060" w:hanging="359"/>
        <w:spacing w:after="0"/>
        <w:tabs>
          <w:tab w:leader="none" w:pos="10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InFocus Corporation;</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Inter-Tel Inc.;</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MCSi, Inc.;</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Forgent Corporation (formerly VTEL Corporation); and</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Wire One Technologies, Inc.</w:t>
      </w:r>
    </w:p>
    <w:p>
      <w:pPr>
        <w:spacing w:after="0" w:line="174" w:lineRule="exact"/>
        <w:rPr>
          <w:sz w:val="20"/>
          <w:szCs w:val="20"/>
          <w:color w:val="auto"/>
        </w:rPr>
      </w:pPr>
    </w:p>
    <w:p>
      <w:pPr>
        <w:jc w:val="both"/>
        <w:ind w:right="3219" w:firstLine="710"/>
        <w:spacing w:after="0" w:line="239" w:lineRule="auto"/>
        <w:rPr>
          <w:sz w:val="20"/>
          <w:szCs w:val="20"/>
          <w:color w:val="auto"/>
        </w:rPr>
      </w:pPr>
      <w:r>
        <w:rPr>
          <w:rFonts w:ascii="Courier New" w:cs="Courier New" w:eastAsia="Courier New" w:hAnsi="Courier New"/>
          <w:sz w:val="15"/>
          <w:szCs w:val="15"/>
          <w:color w:val="auto"/>
        </w:rPr>
        <w:t>Although E.mergent was included in the analysis for reference purposes, E.mergent was not included in any calculation of implied multiples for purposes of Goldsmith, Agio, Helms' analysis.</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No company utilized in the Comparable Company Analysis is identical to E.mergent. Accordingly, an analysis of the results of the foregoing necessarily involves complex considerations and judgments concerning the differences in financial and operating characteristics of E.mergent and other factors that could affect the public trading value of the comparable companies to which they are being compared.</w:t>
      </w:r>
    </w:p>
    <w:p>
      <w:pPr>
        <w:spacing w:after="0" w:line="175"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Goldsmith, Agio, Helms examined certain publicly available financial data of the Comparable Companies, including the ratio of enterprise value (equity value plus total debt, including preferred stock, less cash and cash equivalents) to latest-12-month ("LTM") revenue, earnings before interest, taxes, depreciation and amortization ("EBITDA"), and earnings before interest and taxes ("EBIT").</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This analysis showed that the Comparable Companies had a multiple represented by the ratio of enterprise value to LTM revenue ranging from 0.7x to 2.4x, with a mean of 1.4x and a median of 1.1x; a multiple represented by the ratio of enterprise value to LTM EBIT ranging from 14.0x to 19.3x, with a mean of 15.9x and a median of 14.5x; and a multiple represented by the ratio of enterprise value to LTM EBITDA ranging from 11.0x to 12.7x, with a mean of 11.7x and a median of 11.5x.</w:t>
      </w:r>
    </w:p>
    <w:p>
      <w:pPr>
        <w:spacing w:after="0" w:line="176"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By applying the median ratios derived from the Comparable Company Analysis to E.mergent's estimated operating results for its LTM results ending September 30, 2001, E.mergent's implied range of equity value per share was calculated to be approximately $2.45 to $3.96.</w:t>
      </w:r>
    </w:p>
    <w:p>
      <w:pPr>
        <w:spacing w:after="0" w:line="176" w:lineRule="exact"/>
        <w:rPr>
          <w:sz w:val="20"/>
          <w:szCs w:val="20"/>
          <w:color w:val="auto"/>
        </w:rPr>
      </w:pPr>
    </w:p>
    <w:p>
      <w:pPr>
        <w:ind w:right="3119" w:firstLine="710"/>
        <w:spacing w:after="0" w:line="260" w:lineRule="auto"/>
        <w:rPr>
          <w:sz w:val="20"/>
          <w:szCs w:val="20"/>
          <w:color w:val="auto"/>
        </w:rPr>
      </w:pPr>
      <w:r>
        <w:rPr>
          <w:rFonts w:ascii="Courier New" w:cs="Courier New" w:eastAsia="Courier New" w:hAnsi="Courier New"/>
          <w:sz w:val="14"/>
          <w:szCs w:val="14"/>
          <w:color w:val="auto"/>
        </w:rPr>
        <w:t>Analysis of Selected Merger and Acquisition Transactions. Goldsmith, Agio, Helms compared the proposed merger with selected comparable merger and acquisition transactions (the "Comparable Transaction Analysis"). No transaction analyzed in the Comparable Transaction Analysis is identical to the merger. Accordingly, an analysis of the results of the foregoing necessarily involves complex considerations and judgments concerning differences in financial and operating characteristics of E.mergent and other factors that could affect the acquisition value of the companies to which E.mergent is being compared.</w:t>
      </w:r>
    </w:p>
    <w:p>
      <w:pPr>
        <w:spacing w:after="0" w:line="161"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Goldsmith, Agio, Helms performed an analysis of 28 merger and acquisition transactions involving companies operating in the audio and video conferencing services and equipment and other related markets that occurred between November 1995 and January 2002. From the 28, Goldsmith, Agio, Helms selected eight that were deemed to be closely relevant.</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For the eight merger and acquisition transactions analyzed, the multiple represented by the ratio of enterprise value to LTM revenue ranged from 0.5x to 3.0x, with a mean of 1.5x and a median of 0.8x. The multiple represented by the ratio of enterprise value to LTM EBITDA was 8.7x. By applying the median ratios derived from the Comparable Transaction Analysis to E.mergent's estimated operating results for the LTM results ending September 30, 2001, E.mergent's range of implied equity value per share was calculated to be approximately $2.27 to $2.86.</w:t>
      </w:r>
    </w:p>
    <w:p>
      <w:pPr>
        <w:spacing w:after="0" w:line="177"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Acquisition Premiums Analysis. Goldsmith, Agio, Helms analyzed the premiums paid for approximately 150 publicly disclosed mergers and acquisitions of companies with enterprise values ranging from $10 to $50 million executed between January 2000 and December 2001. The mean and the median premium paid over the targets' stock prices 30 business days before the announcement date, five business days before the announcement date, and one business day before the announcement date were 50.4 % and 46.5 %, 44.9 % and 39.3 %, and 39.5 % and 33.1 %, respectively. The range on these transactions vary from negative premiums to premiums in excess of 130 %.</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631" w:right="1440" w:bottom="1440" w:gutter="0" w:footer="0" w:header="0"/>
        </w:sectPr>
      </w:pPr>
    </w:p>
    <w:bookmarkStart w:id="47" w:name="page48"/>
    <w:bookmarkEnd w:id="47"/>
    <w:p>
      <w:pPr>
        <w:jc w:val="both"/>
        <w:ind w:right="3219" w:firstLine="710"/>
        <w:spacing w:after="0" w:line="258" w:lineRule="auto"/>
        <w:rPr>
          <w:sz w:val="20"/>
          <w:szCs w:val="20"/>
          <w:color w:val="auto"/>
        </w:rPr>
      </w:pPr>
      <w:r>
        <w:rPr>
          <w:rFonts w:ascii="Courier New" w:cs="Courier New" w:eastAsia="Courier New" w:hAnsi="Courier New"/>
          <w:sz w:val="14"/>
          <w:szCs w:val="14"/>
          <w:color w:val="auto"/>
        </w:rPr>
        <w:t>The per share price to be paid to E.mergent shareholders by ClearOne of approximately $3.47 (calculated based on ClearOne's share price as of the close of trading on January 16, 2002) represents a premium of 10.2 % over E.mergent's share price as of the close of trading on January 16, 2002, and a premium of</w:t>
      </w:r>
    </w:p>
    <w:p>
      <w:pPr>
        <w:spacing w:after="0" w:line="1"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21.3% over E.mergent's share price as of the close of trading on December 11, 2001 (the date immediately prior to the date of the press release announcing the engagement of Goldsmith, Agio, Helms by E.mergent).</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Common Stock Trading History. Goldsmith, Agio, Helms' analysis of E.mergent's and ClearOne's common stock trading history consisted of historical analyses of the closing prices and volumes of E.mergent and ClearOne and the relative performance of E.mergent, ClearOne, the Dow Jones Industrial Average, and the S&amp;P 500 Index. Goldsmith, Agio, Helms' analysis considered the high and low closing prices for E.mergent and ClearOne over the twelve-month period ended January 16, 2002. On December 14, 2001, E.mergent's common stock reached a twelve-month high closing price per share of $3.29 and on September 27, 2001, reached a twelve-month low closing price per share of $1.10. On October 10, 2001, ClearOne's common stock reached a twelve-month high closing price per share of $21.75 and on April 3, 2001, experienced a twelve-month low closing price per share of $9.63.</w:t>
      </w:r>
    </w:p>
    <w:p>
      <w:pPr>
        <w:spacing w:after="0" w:line="180"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Goldsmith, Agio, Helms also analyzed the volume of shares traded at various prices. For E.mergent's common stock, the volume-weighted average price per share for the twelve months ending on January 16, 2002 was $2.15. For ClearOne, the volume-weighted average price per share for the twelve months ending January 16, 2002 was $17.25.</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Miscellaneous. E.mergent has agreed to pay Goldsmith, Agio, Helms a fee for its financial advisory services in connection with the proposed merger based upon a percentage of the transaction value of the merger calculated upon the closing of the merger. Assuming the closing sales price of the ClearOne common stock is $17.20 on the day of the merger (which was the closing sales price on May 3, 2002), the fee payable to Goldsmith, Agio, Helms upon consummation of the merger would be approximately $775,780. Goldsmith, Agio, Helms received a non-contingent fee of $100,000 upon delivery to the E.mergent board of directors of its fairness opinion, which amount will be credited against the total fee to be paid by E.mergent to Goldsmith, Agio, Helms upon the closing of the merger. Goldsmith, Agio, Helms also received a one-time retainer of $50,000 following its engagement by E.mergent. E.mergent has agreed to reimburse Goldsmith, Agio, Helms for reasonable out-of-pocket expenses (up to a maximum of $10,000), including, but not limited to, fees and expenses of counsel, and to indemnify Goldsmith, Agio, Helms against liabilities and expenses arising out of its engagement. Roger Redmond, a current director or E.mergent, was employed by Goldsmith, Agio, Helms from June 1999 to December 2001, most recently as a Managing Director.</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Recommendation of E.mergent's Board of Directors</w:t>
      </w:r>
    </w:p>
    <w:p>
      <w:pPr>
        <w:spacing w:after="0" w:line="174"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The E.mergent board of directors believes that the merger is advisable and in the best interests of E.mergent and its stockholders. The E.mergent board, therefore, recommends that its stockholders vote FOR approval of the merger.</w:t>
      </w:r>
    </w:p>
    <w:p>
      <w:pPr>
        <w:spacing w:after="0" w:line="176" w:lineRule="exact"/>
        <w:rPr>
          <w:sz w:val="20"/>
          <w:szCs w:val="20"/>
          <w:color w:val="auto"/>
        </w:rPr>
      </w:pPr>
    </w:p>
    <w:p>
      <w:pPr>
        <w:ind w:right="3399" w:firstLine="710"/>
        <w:spacing w:after="0" w:line="239" w:lineRule="auto"/>
        <w:rPr>
          <w:sz w:val="20"/>
          <w:szCs w:val="20"/>
          <w:color w:val="auto"/>
        </w:rPr>
      </w:pPr>
      <w:r>
        <w:rPr>
          <w:rFonts w:ascii="Courier New" w:cs="Courier New" w:eastAsia="Courier New" w:hAnsi="Courier New"/>
          <w:sz w:val="15"/>
          <w:szCs w:val="15"/>
          <w:color w:val="auto"/>
        </w:rPr>
        <w:t>See "The Merger and Related Transactions - Background of the Merger," "E.mergent's Reasons for the Merger," "Opinion of E.mergent's Financial Advisor," and "Material U.S. Federal Income Tax Consequences."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Interests of E.mergent's Directors and Executive Officers in the Merger</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When you are considering the recommendation of E.mergent's board of directors with respect to approving the merger and the merger agreement, you should be aware that some of the directors and executive officers of E.mergent have interests in the merger and participate in arrangements that are different from, or are in addition to, those of E.mergent stockholders generally. The E.mergent board of directors was aware of these interests and considered them, among other matters, when it approved the merger and the merger agreement. These interests include the following:</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Options, Accelerated Vesting of Options and Bonus Shares</w:t>
      </w:r>
    </w:p>
    <w:p>
      <w:pPr>
        <w:spacing w:after="0" w:line="174"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The following directors and executive officers of E.mergent hold the total number of stock options indicated: James Hansen, Chairman and CEO, 130,000; Richard Craven, Director, 28,000; Robin Sheeley, Chief Technical Officer and Director, 35,000; Peter McDonnell, Director, 22,000; Roger Redmond, Director, 22,000; and Jill Larson, Vice President-Administration, 105,000. The vesting restrictions on all outstanding options held by directors and executive officers to purchase E.mergent stock will accelerate, thereby causing such stock options to become fully vested and exercisable immediately prior to the closing of the merger. The aggregate number of shares of E.mergent common stock issuable</w:t>
      </w:r>
    </w:p>
    <w:p>
      <w:pPr>
        <w:spacing w:after="0" w:line="33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631" w:right="1440" w:bottom="1440" w:gutter="0" w:footer="0" w:header="0"/>
        </w:sectPr>
      </w:pPr>
    </w:p>
    <w:bookmarkStart w:id="48" w:name="page49"/>
    <w:bookmarkEnd w:id="48"/>
    <w:p>
      <w:pPr>
        <w:ind w:right="3119"/>
        <w:spacing w:after="0"/>
        <w:rPr>
          <w:sz w:val="20"/>
          <w:szCs w:val="20"/>
          <w:color w:val="auto"/>
        </w:rPr>
      </w:pPr>
      <w:r>
        <w:rPr>
          <w:rFonts w:ascii="Courier New" w:cs="Courier New" w:eastAsia="Courier New" w:hAnsi="Courier New"/>
          <w:sz w:val="15"/>
          <w:szCs w:val="15"/>
          <w:color w:val="auto"/>
        </w:rPr>
        <w:t>upon the exercise of options held by directors and executive officers, that would become vested upon the merger is 13,333 shares held as follows: 10,000 shares held by Mr. Hansen at an exercise price of $3.37 per share, and 3,333 shares held by Ms. Larson at an exercise price of $1.47 per share. Pursuant to the terms of the merger agreement, all options to purchase E.mergent common stock will be assumed by ClearOne in the merger and converted into options to purchase ClearOne common stock. For further discussion about the treatment of E.mergent options in the merger, see the section entitled "Agreement and Plan of Merger - Stock Options" on page 49 of this document. Ms. Larson and Messrs. Hanson and Sheeley will also each receive approximately 689 shares of E.mergent common stock when the treasury shares of E.mergent common stock are issued to employees as a bonus prior to completion of the merger.</w:t>
      </w:r>
    </w:p>
    <w:p>
      <w:pPr>
        <w:spacing w:after="0" w:line="17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Executive Employment Agreements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ClearOne and E.mergent expect that upon the completion of the merger, Robin Sheeley, a director and the Chief Technical Officer of E.mergent, will become ClearOne's Chief Technology Officer. Based on discussions between Mr. Sheeley and ClearOne, they anticipate his employment with ClearOne will be on terms substantially similar to those of his current employment with E.mergent. The current executive employment agreement with E.mergent continues through August 2, 2002, and provides that it is to be automatically extended each year for additional one-year periods, unless E.mergent gives prior notice of non-renewal. His executive employment agreement provides that if, within six months following a merger, Mr. Sheeley's employment is terminated for any reason, other than for cause, or he voluntarily terminates his employment, then Mr. Sheeley is entitled to a severance payment that will be equal to the sum of his current annual base salary for twelve months, plus the last annual bonus from E.mergent. The severance payment generally would be made in equal installments over twelve months.</w:t>
      </w:r>
    </w:p>
    <w:p>
      <w:pPr>
        <w:spacing w:after="0" w:line="182"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As of January 1, 2000, E.mergent entered into an executive employment agreement with James Hansen, E.mergent's Chairman, Chief Executive Officer, President and Treasurer. The executive employment agreement continues through January 1, 2003, and provides that it is to be automatically extended each year for additional one-year periods, unless E.mergent gives prior notice of non-renewal. His executive employment agreement provides that if, within six months following a merger, Mr. Hansen's employment is terminated for any reason, other than for cause, or if his job responsibilities or authority are substantially reduced, then Mr. Hansen is entitled to a severance payment that will be equal to the sum of his current annual base salary for twelve months, plus the last annual bonus paid by E.mergent. The severance payment generally would be made in equal installments over twelve months.</w:t>
      </w:r>
    </w:p>
    <w:p>
      <w:pPr>
        <w:spacing w:after="0" w:line="180"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On January 1, 1998, E.mergent entered into an employment agreement with Jill Larson, E.mergent's Vice President-Administration and Corporate Secretary. The executive employment agreement continued through January 1, 2002, and provides that it is to be automatically extended each year for additional one-year periods, unless E.mergent gives prior notice of non-renewal. Such notice was not given by E.mergent during 2001, and Ms. Larson's employment agreement has been extended to January 1, 2003. Her executive employment agreement provides that if, within six months following a merger, Ms. Larson's employment is terminated for any reason, other than for cause, or she voluntarily terminates her employment, then Ms. Larson is entitled to a severance payment that will be equal to the sum of her current annual base salary for twelve months, plus the last annual bonus from E.mergent. The severance payment generally would be made in equal installments over twelve months.</w:t>
      </w:r>
    </w:p>
    <w:p>
      <w:pPr>
        <w:spacing w:after="0" w:line="181"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In the event that the employment of the executive officers is terminated immediately after the merger (as is currently anticipated for Mr. Hansen and Ms. Larson but not for Mr. Sheeley), it is estimated that, based on specific assumptions, the severance payments payable under these agreements, plus the value of the related benefits, would be approximately $189,000 to Mr. Hansen, $120,000 to Ms. Larson, and $160,000 to Mr. Sheeley.</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Indemnification and Directors and Officers Insurance</w:t>
      </w:r>
    </w:p>
    <w:p>
      <w:pPr>
        <w:spacing w:after="0" w:line="174" w:lineRule="exact"/>
        <w:rPr>
          <w:sz w:val="20"/>
          <w:szCs w:val="20"/>
          <w:color w:val="auto"/>
        </w:rPr>
      </w:pPr>
    </w:p>
    <w:p>
      <w:pPr>
        <w:ind w:right="3119" w:firstLine="710"/>
        <w:spacing w:after="0" w:line="261" w:lineRule="auto"/>
        <w:rPr>
          <w:sz w:val="20"/>
          <w:szCs w:val="20"/>
          <w:color w:val="auto"/>
        </w:rPr>
      </w:pPr>
      <w:r>
        <w:rPr>
          <w:rFonts w:ascii="Courier New" w:cs="Courier New" w:eastAsia="Courier New" w:hAnsi="Courier New"/>
          <w:sz w:val="14"/>
          <w:szCs w:val="14"/>
          <w:color w:val="auto"/>
        </w:rPr>
        <w:t>E.mergent officers and directors are entitled to continuing indemnification against some liabilities by virtue of provisions contained in E.mergent's certificate of incorporation, and bylaws. In addition, the executive officers have continuing coverage by E.mergent's directors and officers liability insurance for acts arising during their tenure with E.mergent</w:t>
      </w:r>
    </w:p>
    <w:p>
      <w:pPr>
        <w:spacing w:after="0" w:line="162" w:lineRule="exact"/>
        <w:rPr>
          <w:sz w:val="20"/>
          <w:szCs w:val="20"/>
          <w:color w:val="auto"/>
        </w:rPr>
      </w:pPr>
    </w:p>
    <w:p>
      <w:pPr>
        <w:ind w:right="3119"/>
        <w:spacing w:after="0" w:line="238" w:lineRule="auto"/>
        <w:rPr>
          <w:sz w:val="20"/>
          <w:szCs w:val="20"/>
          <w:color w:val="auto"/>
        </w:rPr>
      </w:pPr>
      <w:r>
        <w:rPr>
          <w:rFonts w:ascii="Courier New" w:cs="Courier New" w:eastAsia="Courier New" w:hAnsi="Courier New"/>
          <w:sz w:val="15"/>
          <w:szCs w:val="15"/>
          <w:color w:val="auto"/>
        </w:rPr>
        <w:t>Consideration of the Merger by ClearOne's Board of Directors and Reasons for the Merger</w:t>
      </w:r>
    </w:p>
    <w:p>
      <w:pPr>
        <w:spacing w:after="0" w:line="175" w:lineRule="exact"/>
        <w:rPr>
          <w:sz w:val="20"/>
          <w:szCs w:val="20"/>
          <w:color w:val="auto"/>
        </w:rPr>
      </w:pPr>
    </w:p>
    <w:p>
      <w:pPr>
        <w:ind w:right="3299" w:firstLine="710"/>
        <w:spacing w:after="0" w:line="260" w:lineRule="auto"/>
        <w:rPr>
          <w:sz w:val="20"/>
          <w:szCs w:val="20"/>
          <w:color w:val="auto"/>
        </w:rPr>
      </w:pPr>
      <w:r>
        <w:rPr>
          <w:rFonts w:ascii="Courier New" w:cs="Courier New" w:eastAsia="Courier New" w:hAnsi="Courier New"/>
          <w:sz w:val="14"/>
          <w:szCs w:val="14"/>
          <w:color w:val="auto"/>
        </w:rPr>
        <w:t>The ClearOne board of directors approved the merger agreement and the merger with E.mergent because it believes that the combined company has the potential to become a stronger conferencing products and services company in a growing and competitive market. In particular, the ClearOne board of directors believes that the acquisition will help position ClearOne to achieve its long-term operating and financial objectives, and reinforce its strategy of providing a comprehensive suite of conferencing products and services. In</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631" w:right="1440" w:bottom="798" w:gutter="0" w:footer="0" w:header="0"/>
        </w:sectPr>
      </w:pPr>
    </w:p>
    <w:bookmarkStart w:id="49" w:name="page50"/>
    <w:bookmarkEnd w:id="49"/>
    <w:p>
      <w:pPr>
        <w:ind w:right="3399"/>
        <w:spacing w:after="0" w:line="239" w:lineRule="auto"/>
        <w:rPr>
          <w:sz w:val="20"/>
          <w:szCs w:val="20"/>
          <w:color w:val="auto"/>
        </w:rPr>
      </w:pPr>
      <w:r>
        <w:rPr>
          <w:rFonts w:ascii="Courier New" w:cs="Courier New" w:eastAsia="Courier New" w:hAnsi="Courier New"/>
          <w:sz w:val="15"/>
          <w:szCs w:val="15"/>
          <w:color w:val="auto"/>
        </w:rPr>
        <w:t>addition, the ClearOne board of directors believes that the merger will allow the combined company the opportunity to realize the following anticipated benefits of the merger:</w:t>
      </w:r>
    </w:p>
    <w:p>
      <w:pPr>
        <w:spacing w:after="0" w:line="175" w:lineRule="exact"/>
        <w:rPr>
          <w:sz w:val="20"/>
          <w:szCs w:val="20"/>
          <w:color w:val="auto"/>
        </w:rPr>
      </w:pPr>
    </w:p>
    <w:p>
      <w:pPr>
        <w:ind w:left="1060" w:right="3219" w:hanging="359"/>
        <w:spacing w:after="0"/>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expand and enhance certain product lines of the combined company. For example, ClearOne's Gentner division plans to enhance its V-There(TM) videoconferencing products with a full line of other patented video equipment, from E.mergent's VideoLabs division.</w:t>
      </w:r>
    </w:p>
    <w:p>
      <w:pPr>
        <w:spacing w:after="0" w:line="174" w:lineRule="exact"/>
        <w:rPr>
          <w:rFonts w:ascii="Courier New" w:cs="Courier New" w:eastAsia="Courier New" w:hAnsi="Courier New"/>
          <w:sz w:val="15"/>
          <w:szCs w:val="15"/>
          <w:color w:val="auto"/>
        </w:rPr>
      </w:pPr>
    </w:p>
    <w:p>
      <w:pPr>
        <w:ind w:left="1060" w:right="3219" w:hanging="359"/>
        <w:spacing w:after="0" w:line="261" w:lineRule="auto"/>
        <w:tabs>
          <w:tab w:leader="none" w:pos="10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utilize the other company's existing sales channels. For example, ClearOne will have the opportunity to sell ClearOne's line of video and audio products into E.mergent's established videoconferencing sales channel. In turn, ClearOne intends to use its existing sales channels to sell VideoLabs' products.</w:t>
      </w:r>
    </w:p>
    <w:p>
      <w:pPr>
        <w:spacing w:after="0" w:line="161" w:lineRule="exact"/>
        <w:rPr>
          <w:rFonts w:ascii="Courier New" w:cs="Courier New" w:eastAsia="Courier New" w:hAnsi="Courier New"/>
          <w:sz w:val="14"/>
          <w:szCs w:val="14"/>
          <w:color w:val="auto"/>
        </w:rPr>
      </w:pPr>
    </w:p>
    <w:p>
      <w:pPr>
        <w:ind w:left="1060" w:right="3119" w:hanging="359"/>
        <w:spacing w:after="0" w:line="261" w:lineRule="auto"/>
        <w:tabs>
          <w:tab w:leader="none" w:pos="10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expand ClearOne's best-in-class technical team, which assists its dealer channel with service, support, and training, with E.mergent's Acoustic Communications Systems(TM) division, and which is anticipated to function as installation support to the existing dealer network of ClearOne's Gentner division.</w:t>
      </w:r>
    </w:p>
    <w:p>
      <w:pPr>
        <w:spacing w:after="0" w:line="161" w:lineRule="exact"/>
        <w:rPr>
          <w:rFonts w:ascii="Courier New" w:cs="Courier New" w:eastAsia="Courier New" w:hAnsi="Courier New"/>
          <w:sz w:val="14"/>
          <w:szCs w:val="14"/>
          <w:color w:val="auto"/>
        </w:rPr>
      </w:pPr>
    </w:p>
    <w:p>
      <w:pPr>
        <w:ind w:left="1060" w:right="3219" w:hanging="359"/>
        <w:spacing w:after="0" w:line="262" w:lineRule="auto"/>
        <w:tabs>
          <w:tab w:leader="none" w:pos="106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ability to bring ClearOne products and services, as well as new products and services that the combined company has the opportunity to produce, to E.mergent's customer base that currently uses other vendors for conferencing products and services.</w:t>
      </w:r>
    </w:p>
    <w:p>
      <w:pPr>
        <w:spacing w:after="0" w:line="160" w:lineRule="exact"/>
        <w:rPr>
          <w:rFonts w:ascii="Courier New" w:cs="Courier New" w:eastAsia="Courier New" w:hAnsi="Courier New"/>
          <w:sz w:val="14"/>
          <w:szCs w:val="14"/>
          <w:color w:val="auto"/>
        </w:rPr>
      </w:pPr>
    </w:p>
    <w:p>
      <w:pPr>
        <w:ind w:left="1060" w:right="3299" w:hanging="359"/>
        <w:spacing w:after="0" w:line="239" w:lineRule="auto"/>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expand ClearOne's management team through the addition of E.mergent's Chief Technical Officer Robin Sheeley, who will join ClearOne as Chief Technology Officer with responsibility for all research and product development.</w:t>
      </w:r>
    </w:p>
    <w:p>
      <w:pPr>
        <w:spacing w:after="0" w:line="176" w:lineRule="exact"/>
        <w:rPr>
          <w:rFonts w:ascii="Courier New" w:cs="Courier New" w:eastAsia="Courier New" w:hAnsi="Courier New"/>
          <w:sz w:val="15"/>
          <w:szCs w:val="15"/>
          <w:color w:val="auto"/>
        </w:rPr>
      </w:pPr>
    </w:p>
    <w:p>
      <w:pPr>
        <w:ind w:left="1060" w:right="3299" w:hanging="359"/>
        <w:spacing w:after="0" w:line="239" w:lineRule="auto"/>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have an expanded geographic representation with additional locations in Chicago, Illinois; Minneapolis, Minnesota; and Des Moines, Iowa.</w:t>
      </w:r>
    </w:p>
    <w:p>
      <w:pPr>
        <w:spacing w:after="0" w:line="175" w:lineRule="exact"/>
        <w:rPr>
          <w:rFonts w:ascii="Courier New" w:cs="Courier New" w:eastAsia="Courier New" w:hAnsi="Courier New"/>
          <w:sz w:val="15"/>
          <w:szCs w:val="15"/>
          <w:color w:val="auto"/>
        </w:rPr>
      </w:pPr>
    </w:p>
    <w:p>
      <w:pPr>
        <w:ind w:left="1060" w:right="3479" w:hanging="359"/>
        <w:spacing w:after="0" w:line="239" w:lineRule="auto"/>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broaden ClearOne's international distribution and expertise by gaining E.mergent's experience and distribution in international markets.</w:t>
      </w:r>
    </w:p>
    <w:p>
      <w:pPr>
        <w:spacing w:after="0" w:line="175" w:lineRule="exact"/>
        <w:rPr>
          <w:rFonts w:ascii="Courier New" w:cs="Courier New" w:eastAsia="Courier New" w:hAnsi="Courier New"/>
          <w:sz w:val="15"/>
          <w:szCs w:val="15"/>
          <w:color w:val="auto"/>
        </w:rPr>
      </w:pPr>
    </w:p>
    <w:p>
      <w:pPr>
        <w:ind w:left="1060" w:right="3759" w:hanging="359"/>
        <w:spacing w:after="0" w:line="238" w:lineRule="auto"/>
        <w:tabs>
          <w:tab w:leader="none" w:pos="106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to realize benefits from combining each company's proprietary intellectual property.</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ClearOne board of directors also reviewed with its financial and legal advisors the specific terms and conditions of the merger agreement, including the representations, warranties and covenants and the conditions to each party's obligations to complete the merger. The ClearOne board of directors also received reports from its management and financial and legal advisors as to the results of the due diligence investigation of E.mergent, which was performed with the assistance of its financial and legal advisors, and determined that these reports did not disclose information that would preclude its approval of the merger. The ClearOne board of directors also considered the following risks and additional factors relating to the merger:</w:t>
      </w:r>
    </w:p>
    <w:p>
      <w:pPr>
        <w:spacing w:after="0" w:line="178" w:lineRule="exact"/>
        <w:rPr>
          <w:sz w:val="20"/>
          <w:szCs w:val="20"/>
          <w:color w:val="auto"/>
        </w:rPr>
      </w:pPr>
    </w:p>
    <w:p>
      <w:pPr>
        <w:ind w:left="1060" w:right="3299" w:hanging="359"/>
        <w:spacing w:after="0" w:line="238" w:lineRule="auto"/>
        <w:tabs>
          <w:tab w:leader="none" w:pos="10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benefits sought in the merger would not be fully achieved;</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merger would not be consummated;</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possible post-merger resignations of E.mergent's management;</w:t>
      </w:r>
    </w:p>
    <w:p>
      <w:pPr>
        <w:spacing w:after="0" w:line="174"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risk that the stockholders of E.mergent would not approve of the merger; and</w:t>
      </w:r>
    </w:p>
    <w:p>
      <w:pPr>
        <w:spacing w:after="0" w:line="174" w:lineRule="exact"/>
        <w:rPr>
          <w:rFonts w:ascii="Courier New" w:cs="Courier New" w:eastAsia="Courier New" w:hAnsi="Courier New"/>
          <w:sz w:val="15"/>
          <w:szCs w:val="15"/>
          <w:color w:val="auto"/>
        </w:rPr>
      </w:pPr>
    </w:p>
    <w:p>
      <w:pPr>
        <w:ind w:left="1060" w:right="4719" w:hanging="359"/>
        <w:spacing w:after="0" w:line="238" w:lineRule="auto"/>
        <w:tabs>
          <w:tab w:leader="none" w:pos="10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applicable risks described in this proxy statement/prospectus under "Risk Factors."</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The foregoing discussion of the factors considered by ClearOne's board of directors, while not exhaustive, includes the material factors considered by its board of directors. In view of the variety of factors considered in connection with its evaluation of the merger, ClearOne's board of directors did not find it practicable to, and did not, quantify or otherwise assign relative or specific weight or values to any of these factors, and individual directors may have given different weights to different factors. After taking into account these and other factors, the ClearOne board of directors unanimously determined that the merger agreement and the merger were in the best interests of ClearOne and its stockholders and that ClearOne should enter into the merger agreement and complete the merger.</w:t>
      </w:r>
    </w:p>
    <w:p>
      <w:pPr>
        <w:spacing w:after="0" w:line="34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631"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Other Prior Contacts Between ClearOne and E.mergent</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Prior to the negotiations leading to the merger agreement described in this proxy statement/prospectus, E.mergent served as a dealer for some of ClearOne's products pursuant to an August 1998 room systems product dealer agreement between ClearOne and Acoustic Communications System. The agreement is a standard dealer agreement used by ClearOne for its other dealers, containing usual and customary responsibilities and conditions. During calendar year 2001, E.mergent purchased approximately $173,974 of products from ClearOne pursuant to the dealer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Restrictions on Resale of ClearOne Common Stock</w:t>
      </w:r>
    </w:p>
    <w:p>
      <w:pPr>
        <w:spacing w:after="0" w:line="174"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The shares of ClearOne common stock to be issued in connection with the merger have been registered under the Securities Act and will be freely transferable under the Securities Act, except for shares of ClearOne common stock issued to any person who is deemed to be an "affiliate" of either ClearOne or E.mergent immediately prior to the consummation of the merger. Persons who may be deemed to be affiliates include individuals or entities that control, are controlled by, or are under common control of either of ClearOne or E.mergent and may include some of E.mergent's officers and directors, as well as E.mergent's principal stockholders. Affiliates may not sell their shares of ClearOne common stock acquired in connection with the merger except pursuant to:</w:t>
      </w:r>
    </w:p>
    <w:p>
      <w:pPr>
        <w:spacing w:after="0" w:line="166" w:lineRule="exact"/>
        <w:rPr>
          <w:sz w:val="20"/>
          <w:szCs w:val="20"/>
          <w:color w:val="auto"/>
        </w:rPr>
      </w:pPr>
    </w:p>
    <w:p>
      <w:pPr>
        <w:ind w:left="1060" w:right="3839" w:hanging="359"/>
        <w:spacing w:after="0" w:line="238" w:lineRule="auto"/>
        <w:tabs>
          <w:tab w:leader="none" w:pos="10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effective registration statement under the Securities Act covering the resale of those shares;</w:t>
      </w:r>
    </w:p>
    <w:p>
      <w:pPr>
        <w:spacing w:after="0" w:line="174" w:lineRule="exact"/>
        <w:rPr>
          <w:rFonts w:ascii="Courier New" w:cs="Courier New" w:eastAsia="Courier New" w:hAnsi="Courier New"/>
          <w:sz w:val="15"/>
          <w:szCs w:val="15"/>
          <w:color w:val="auto"/>
        </w:rPr>
      </w:pPr>
    </w:p>
    <w:p>
      <w:pPr>
        <w:ind w:left="1060" w:right="3399" w:hanging="359"/>
        <w:spacing w:after="0" w:line="238" w:lineRule="auto"/>
        <w:tabs>
          <w:tab w:leader="none" w:pos="10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exemption under paragraph (d) of Rule 145 under the Securities Act; or</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applicable exemption under the Securities Act.</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ClearOne's registration statement on Form S-4, of which this document forms a part, does not cover the resale of shares of ClearOne common stock to be received by any person in the merger. This proxy statement/prospectus does not cover any resale of ClearOne common stock that you receive in the merger, and no person is authorized to make any use of this proxy statement/prospectus in connection with any such resale.</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Treatment of the Merger</w:t>
      </w:r>
    </w:p>
    <w:p>
      <w:pPr>
        <w:spacing w:after="0" w:line="174" w:lineRule="exact"/>
        <w:rPr>
          <w:sz w:val="20"/>
          <w:szCs w:val="20"/>
          <w:color w:val="auto"/>
        </w:rPr>
      </w:pPr>
    </w:p>
    <w:p>
      <w:pPr>
        <w:jc w:val="both"/>
        <w:ind w:right="3119" w:firstLine="710"/>
        <w:spacing w:after="0" w:line="239" w:lineRule="auto"/>
        <w:rPr>
          <w:sz w:val="20"/>
          <w:szCs w:val="20"/>
          <w:color w:val="auto"/>
        </w:rPr>
      </w:pPr>
      <w:r>
        <w:rPr>
          <w:rFonts w:ascii="Courier New" w:cs="Courier New" w:eastAsia="Courier New" w:hAnsi="Courier New"/>
          <w:sz w:val="15"/>
          <w:szCs w:val="15"/>
          <w:color w:val="auto"/>
        </w:rPr>
        <w:t>ClearOne intends to account for the merger using the "purchase" method. After the merger, the results of operations of E.mergent will be included in the consolidated financial statements of ClearOne.</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U.S. Federal Income Tax Consequences</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In the opinion of Fredrikson &amp; Byron, P.A., counsel to E.mergent, and Jones, Waldo, Holbrook &amp; McDonough, P.C., counsel to ClearOne, the following are the material U.S. federal income tax consequences of the merger, assuming that the merger is effected as described in the merger agreement and this proxy statement/prospectus and subject to the other assumptions, limitations, and qualifications described herein.</w:t>
      </w:r>
    </w:p>
    <w:p>
      <w:pPr>
        <w:spacing w:after="0" w:line="175"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If the value of ClearOne common stock exceeds $10.25 per share on the merger date, so that the aggregate value of the ClearOne common stock that is received by the E.mergent shareholders in the merger is greater than the aggregate value of the cash received by E.mergent shareholders in the merger, then</w:t>
      </w:r>
    </w:p>
    <w:p>
      <w:pPr>
        <w:spacing w:after="0" w:line="174" w:lineRule="exact"/>
        <w:rPr>
          <w:sz w:val="20"/>
          <w:szCs w:val="20"/>
          <w:color w:val="auto"/>
        </w:rPr>
      </w:pPr>
    </w:p>
    <w:p>
      <w:pPr>
        <w:ind w:left="1060" w:right="3119" w:hanging="359"/>
        <w:spacing w:after="0"/>
        <w:tabs>
          <w:tab w:leader="none" w:pos="106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you receive ClearOne common stock in exchange for E.mergent common stock, you will not recognize capital gain or loss, but you may recognize dividend income or capital gains with respect to the cash payment that you receive in exchange for each share of E.mergent common stock. The amount of your taxable gain will be calculated as follows: You will need to determine the total value of ClearOne stock and cash that you receive. This amount must be compared to your adjusted basis in your E.mergent stock. The excess of the total value of ClearOne stock and cash received over your adjusted basis in your E.mergent stock is your "realized gain." If the amount of cash you receive is less than your "realized gain," your taxable gain will be limited to the amount of cash received. If the cash received exceeds your "realized gain," then the amount of the "realized gain" will be your taxable gain. If the total value of ClearOne stock and cash received is less than your adjusted basis in E.mergent stock, you are not allowed to recognize a loss for tax reporting purposes.</w:t>
      </w:r>
    </w:p>
    <w:p>
      <w:pPr>
        <w:spacing w:after="0" w:line="183" w:lineRule="exact"/>
        <w:rPr>
          <w:rFonts w:ascii="Courier New" w:cs="Courier New" w:eastAsia="Courier New" w:hAnsi="Courier New"/>
          <w:sz w:val="15"/>
          <w:szCs w:val="15"/>
          <w:color w:val="auto"/>
        </w:rPr>
      </w:pPr>
    </w:p>
    <w:p>
      <w:pPr>
        <w:ind w:left="1060" w:right="3119" w:hanging="359"/>
        <w:spacing w:after="0" w:line="261" w:lineRule="auto"/>
        <w:tabs>
          <w:tab w:leader="none" w:pos="1060" w:val="left"/>
        </w:tabs>
        <w:numPr>
          <w:ilvl w:val="0"/>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you receive cash in exchange for E.mergent common stock, the gain you recognize will be capital gain unless the exchange "has the effect of the distribution of a dividend" in which case you would generally have ordinary income. In order to determine whether the exchange has the effect of the distribution of a</w:t>
      </w:r>
    </w:p>
    <w:p>
      <w:pPr>
        <w:spacing w:after="0" w:line="330"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628" w:right="1440" w:bottom="628" w:gutter="0" w:footer="0" w:header="0"/>
        </w:sectPr>
      </w:pPr>
    </w:p>
    <w:bookmarkStart w:id="51" w:name="page52"/>
    <w:bookmarkEnd w:id="51"/>
    <w:p>
      <w:pPr>
        <w:ind w:left="1060" w:right="3119"/>
        <w:spacing w:after="0" w:line="259" w:lineRule="auto"/>
        <w:rPr>
          <w:sz w:val="20"/>
          <w:szCs w:val="20"/>
          <w:color w:val="auto"/>
        </w:rPr>
      </w:pPr>
      <w:r>
        <w:rPr>
          <w:rFonts w:ascii="Courier New" w:cs="Courier New" w:eastAsia="Courier New" w:hAnsi="Courier New"/>
          <w:sz w:val="14"/>
          <w:szCs w:val="14"/>
          <w:color w:val="auto"/>
        </w:rPr>
        <w:t>dividend, your receipt of cash should be analyzed as if, first, you received solely ClearOne common stock in exchange for your E.mergent common stock and then the cash paid reduces your ClearOne common stock, in a taxable redemption, to the number of shares of ClearOne stock that you actually received. The deemed redemption will be treated as a sale or exchange of the shares and not the distribution of a dividend only if the deemed redemption of your ClearOne shares satisfies one or more of the provisions of Section 302(b) of the Internal Revenue Code. This determination is made separately for each shareholder of E.mergent. Assuming that the redemption satisfies the requirements of one or more of the provisions of Section 302(b) of the Internal Revenue Code and you have held your E.mergent shares for more than 12 months at the time of the merger, any gain on such redemption will be a long-term capital gain.</w:t>
      </w:r>
    </w:p>
    <w:p>
      <w:pPr>
        <w:spacing w:after="0" w:line="164" w:lineRule="exact"/>
        <w:rPr>
          <w:sz w:val="20"/>
          <w:szCs w:val="20"/>
          <w:color w:val="auto"/>
        </w:rPr>
      </w:pPr>
    </w:p>
    <w:p>
      <w:pPr>
        <w:ind w:left="1060" w:right="3119" w:hanging="359"/>
        <w:spacing w:after="0"/>
        <w:tabs>
          <w:tab w:leader="none" w:pos="10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deemed redemption does not satisfy one or more of the provisions of Section 302(b) of the Internal Revenue Code, it will be treated as a distribution that is subject to Section 301 of the Internal Revenue Code. In such case, the cash proceeds will be treated first as a dividend (taxed as ordinary income) to the extent of E.mergent's accumulated earnings and profits at the time of the merger (on a pro rata basis taking into account other Section 301 distributions made by E.mergent during the year, including other deemed redemptions resulting from the merger that are treated as Section 301 distributions). To the extent the cash received exceeds your ratable share of accumulated earnings and profits, the excess will be treated as a capital gain.</w:t>
      </w:r>
    </w:p>
    <w:p>
      <w:pPr>
        <w:spacing w:after="0" w:line="179" w:lineRule="exact"/>
        <w:rPr>
          <w:rFonts w:ascii="Courier New" w:cs="Courier New" w:eastAsia="Courier New" w:hAnsi="Courier New"/>
          <w:sz w:val="15"/>
          <w:szCs w:val="15"/>
          <w:color w:val="auto"/>
        </w:rPr>
      </w:pPr>
    </w:p>
    <w:p>
      <w:pPr>
        <w:ind w:left="1060" w:right="3119" w:hanging="359"/>
        <w:spacing w:after="0"/>
        <w:tabs>
          <w:tab w:leader="none" w:pos="10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tax basis of the ClearOne common stock received by you in the merger (including any fractional shares of ClearOne common stock deemed received and exchanged for cash), will be equal to the aggregate adjusted tax basis of the E.mergent stock exchanged in the merger, reduced by any amount of cash that you receive in the merger for the E.mergent common stock surrendered, and increased by the amount of cash treated as a dividend and the amount recognized as a capital gain.</w:t>
      </w:r>
    </w:p>
    <w:p>
      <w:pPr>
        <w:spacing w:after="0" w:line="176" w:lineRule="exact"/>
        <w:rPr>
          <w:rFonts w:ascii="Courier New" w:cs="Courier New" w:eastAsia="Courier New" w:hAnsi="Courier New"/>
          <w:sz w:val="15"/>
          <w:szCs w:val="15"/>
          <w:color w:val="auto"/>
        </w:rPr>
      </w:pPr>
    </w:p>
    <w:p>
      <w:pPr>
        <w:jc w:val="both"/>
        <w:ind w:left="1060" w:right="3299" w:hanging="359"/>
        <w:spacing w:after="0" w:line="239" w:lineRule="auto"/>
        <w:tabs>
          <w:tab w:leader="none" w:pos="10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holding period of the ClearOne common stock received by you in the merger will include the holding period of the E.mergent common stock surrendered in exchange for ClearOne common stock.</w:t>
      </w:r>
    </w:p>
    <w:p>
      <w:pPr>
        <w:spacing w:after="0" w:line="175" w:lineRule="exact"/>
        <w:rPr>
          <w:rFonts w:ascii="Courier New" w:cs="Courier New" w:eastAsia="Courier New" w:hAnsi="Courier New"/>
          <w:sz w:val="15"/>
          <w:szCs w:val="15"/>
          <w:color w:val="auto"/>
        </w:rPr>
      </w:pPr>
    </w:p>
    <w:p>
      <w:pPr>
        <w:ind w:left="1060" w:right="3299" w:hanging="359"/>
        <w:spacing w:after="0" w:line="238" w:lineRule="auto"/>
        <w:tabs>
          <w:tab w:leader="none" w:pos="106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and E.mergent will not recognize gain or loss solely as a result of the merger.</w:t>
      </w:r>
    </w:p>
    <w:p>
      <w:pPr>
        <w:spacing w:after="0" w:line="175" w:lineRule="exact"/>
        <w:rPr>
          <w:sz w:val="20"/>
          <w:szCs w:val="20"/>
          <w:color w:val="auto"/>
        </w:rPr>
      </w:pPr>
    </w:p>
    <w:p>
      <w:pPr>
        <w:ind w:right="3579" w:firstLine="710"/>
        <w:spacing w:after="0"/>
        <w:rPr>
          <w:sz w:val="20"/>
          <w:szCs w:val="20"/>
          <w:color w:val="auto"/>
        </w:rPr>
      </w:pPr>
      <w:r>
        <w:rPr>
          <w:rFonts w:ascii="Courier New" w:cs="Courier New" w:eastAsia="Courier New" w:hAnsi="Courier New"/>
          <w:sz w:val="15"/>
          <w:szCs w:val="15"/>
          <w:color w:val="auto"/>
        </w:rPr>
        <w:t>Assuming that the value of ClearOne common stock exceeds $10.25 per share on the merger date and certain other assumptions, limitations, and qualifications described below, Fredrikson &amp; Byron, P.A., at the request of E.mergent, has rendered an opinion that the merger will qualify as a reorganization within the meaning of Section 368(a) of the Internal Revenue Code.</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If, however, the merger is completed at a time when the value of the ClearOne stock declined below $10.25 per share so that the aggregate value of the ClearOne common stock that is received by the E.mergent shareholders is less than the aggregate value of the cash received by E.mergent shareholders in the merger, the merger may not qualify as a reorganization under Section 368(a) of the Internal Revenue Code. Additionally, the Internal Revenue Service could challenge the reorganization status of the merger. If the merger does not qualify as a reorganization under Section 368(a), for U.S. federal income tax purposes, gain or loss would generally be recognized equal to the difference between the value of the cash and stock received and the tax basis for the E.mergent shares that were exchanged. Any gain or loss will be a capital gain or loss (assuming shares are held as a capital asset). Any such capital gain or loss will be long-term if, as of the date of exchange, shares were held for more than one year, or will be short-term if, as of such date, shares were held for one year or less. An E.mergent shareholder's aggregate basis in the ClearOne common stock so received would equal its fair market value as of the closing of the merger and the holding period for such stock would begin the day after the closing of the merger.</w:t>
      </w:r>
    </w:p>
    <w:p>
      <w:pPr>
        <w:spacing w:after="0" w:line="184"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Under the merger agreement, ClearOne and E.mergent may choose to complete the merger even though the value of the ClearOne common stock declines below $10.25 and the merger does not qualify as a reorganization under Section 368(a) of the Internal Revenue Code. However, in the event that prior to the closing, ClearOne and E.mergent determine that due to such a decline in the value the merger would not qualify as a reorganization, and neither E.mergent nor ClearOne terminates the merger due to such a decline as allowed under the merger agreement, ClearOne and E.mergent intend to advise E.mergent's shareholders of such circumstances and resolicit their approval of the merger.</w:t>
      </w:r>
    </w:p>
    <w:p>
      <w:pPr>
        <w:spacing w:after="0" w:line="166" w:lineRule="exact"/>
        <w:rPr>
          <w:sz w:val="20"/>
          <w:szCs w:val="20"/>
          <w:color w:val="auto"/>
        </w:rPr>
      </w:pPr>
    </w:p>
    <w:p>
      <w:pPr>
        <w:ind w:right="3119" w:firstLine="710"/>
        <w:spacing w:after="0" w:line="262" w:lineRule="auto"/>
        <w:rPr>
          <w:sz w:val="20"/>
          <w:szCs w:val="20"/>
          <w:color w:val="auto"/>
        </w:rPr>
      </w:pPr>
      <w:r>
        <w:rPr>
          <w:rFonts w:ascii="Courier New" w:cs="Courier New" w:eastAsia="Courier New" w:hAnsi="Courier New"/>
          <w:sz w:val="14"/>
          <w:szCs w:val="14"/>
          <w:color w:val="auto"/>
        </w:rPr>
        <w:t>Limitations on Opinions and Discussion. As noted earlier, the tax opinions described herein are subject to certain assumptions, relating to, among other things, the truth and accuracy of certain factual representations made by E.mergent and ClearOne, the consummation of the merger in accordance with the</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631" w:right="1440" w:bottom="798" w:gutter="0" w:footer="0" w:header="0"/>
        </w:sectPr>
      </w:pPr>
    </w:p>
    <w:bookmarkStart w:id="52" w:name="page53"/>
    <w:bookmarkEnd w:id="52"/>
    <w:p>
      <w:pPr>
        <w:ind w:right="3219"/>
        <w:spacing w:after="0" w:line="259" w:lineRule="auto"/>
        <w:rPr>
          <w:sz w:val="20"/>
          <w:szCs w:val="20"/>
          <w:color w:val="auto"/>
        </w:rPr>
      </w:pPr>
      <w:r>
        <w:rPr>
          <w:rFonts w:ascii="Courier New" w:cs="Courier New" w:eastAsia="Courier New" w:hAnsi="Courier New"/>
          <w:sz w:val="14"/>
          <w:szCs w:val="14"/>
          <w:color w:val="auto"/>
        </w:rPr>
        <w:t>terms of the merger agreement and applicable state law and completion of the merger at a time when the aggregate value of the ClearOne common stock that is received by the E.mergent shareholders is greater than the aggregate value of the cash received by E.mergent shareholders. Further neither E.mergent nor ClearOne will request a ruling from the Internal Revenue Service with regard to any of the U.S. federal income tax consequences of the merger. Furthermore, the tax opinions will not bind the Internal Revenue Service and, therefore, the Internal Revenue Service is not precluded from asserting a contrary position. The tax opinions and this discussion are based on currently existing provisions of the Internal Revenue Code, existing and proposed Treasury regulations, and current administrative rulings and court decisions. There can be no assurance that future legislative, judicial, or administrative changes or interpretations will not adversely affect the accuracy of the tax opinions or of the statements and conclusions set forth herein. Any such changes or interpretations could be applied retroactively and could affect the tax consequences of the merger.</w:t>
      </w:r>
    </w:p>
    <w:p>
      <w:pPr>
        <w:spacing w:after="0" w:line="163"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This discussion does not address all U.S. federal income tax considerations that may be relevant to certain E.mergent shareholders in light of their particular circumstances, or to shareholders subject to special rules under U.S. federal income tax law, including dealers in securities, banks, insurance companies, shareholders who do not hold their E.mergent common stock as capital assets, foreign persons, tax-exempt entities, or persons who are subject to the alternative minimum tax provisions of the Internal Revenue Code Furthermore, it does not address E.mergent shareholders who acquired their shares in connection with stock options or stock purchase plans or in other compensatory transactions. It also does not address the tax consequences of the merger under foreign, state, or local tax laws or the tax consequences of transactions effectuated prior or subsequent to or concurrently with the merger, whether or not such transactions are in connection with the merger, including, without limitation, transactions in which E.mergent common stock is acquired or ClearOne common stock is disposed of.</w:t>
      </w:r>
    </w:p>
    <w:p>
      <w:pPr>
        <w:spacing w:after="0" w:line="182"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Accordingly, E.mergent shareholders are urged to consult their own tax advisors as to the consequences of the merger, including the applicable federal, state, local, and foreign tax consequences to them in their particular circumstances.</w:t>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40" w:type="dxa"/>
            <w:vAlign w:val="bottom"/>
            <w:gridSpan w:val="3"/>
          </w:tcPr>
          <w:p>
            <w:pPr>
              <w:spacing w:after="0"/>
              <w:rPr>
                <w:sz w:val="20"/>
                <w:szCs w:val="20"/>
                <w:color w:val="auto"/>
              </w:rPr>
            </w:pPr>
            <w:r>
              <w:rPr>
                <w:rFonts w:ascii="Courier New" w:cs="Courier New" w:eastAsia="Courier New" w:hAnsi="Courier New"/>
                <w:sz w:val="15"/>
                <w:szCs w:val="15"/>
                <w:color w:val="auto"/>
              </w:rPr>
              <w:t>Governmental Approvals and Regulatory Requirements</w:t>
            </w:r>
          </w:p>
        </w:tc>
        <w:tc>
          <w:tcPr>
            <w:tcW w:w="2360" w:type="dxa"/>
            <w:vAlign w:val="bottom"/>
          </w:tcPr>
          <w:p>
            <w:pPr>
              <w:spacing w:after="0"/>
              <w:rPr>
                <w:sz w:val="14"/>
                <w:szCs w:val="14"/>
                <w:color w:val="auto"/>
              </w:rPr>
            </w:pPr>
          </w:p>
        </w:tc>
      </w:tr>
      <w:tr>
        <w:trPr>
          <w:trHeight w:val="341"/>
        </w:trPr>
        <w:tc>
          <w:tcPr>
            <w:tcW w:w="47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Under the merger agreement, we have agreed to</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rPr>
              <w:t>use commercially</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reasonable</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efforts to</w:t>
            </w:r>
          </w:p>
        </w:tc>
        <w:tc>
          <w:tcPr>
            <w:tcW w:w="520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8"/>
              </w:rPr>
              <w:t>obtain all required governmental approvals and fulfill all</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applicable</w:t>
            </w:r>
          </w:p>
        </w:tc>
        <w:tc>
          <w:tcPr>
            <w:tcW w:w="980" w:type="dxa"/>
            <w:vAlign w:val="bottom"/>
          </w:tcPr>
          <w:p>
            <w:pPr>
              <w:ind w:left="40"/>
              <w:spacing w:after="0"/>
              <w:rPr>
                <w:sz w:val="20"/>
                <w:szCs w:val="20"/>
                <w:color w:val="auto"/>
              </w:rPr>
            </w:pPr>
            <w:r>
              <w:rPr>
                <w:rFonts w:ascii="Courier New" w:cs="Courier New" w:eastAsia="Courier New" w:hAnsi="Courier New"/>
                <w:sz w:val="15"/>
                <w:szCs w:val="15"/>
                <w:color w:val="auto"/>
              </w:rPr>
              <w:t>regulatory</w:t>
            </w:r>
          </w:p>
        </w:tc>
        <w:tc>
          <w:tcPr>
            <w:tcW w:w="2840" w:type="dxa"/>
            <w:vAlign w:val="bottom"/>
          </w:tcPr>
          <w:p>
            <w:pPr>
              <w:jc w:val="right"/>
              <w:spacing w:after="0"/>
              <w:rPr>
                <w:sz w:val="20"/>
                <w:szCs w:val="20"/>
                <w:color w:val="auto"/>
              </w:rPr>
            </w:pPr>
            <w:r>
              <w:rPr>
                <w:rFonts w:ascii="Courier New" w:cs="Courier New" w:eastAsia="Courier New" w:hAnsi="Courier New"/>
                <w:sz w:val="15"/>
                <w:szCs w:val="15"/>
                <w:color w:val="auto"/>
                <w:w w:val="99"/>
              </w:rPr>
              <w:t>requirements. We are not aware,</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rPr>
              <w:t>however, of any material</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federal or</w:t>
            </w:r>
          </w:p>
        </w:tc>
        <w:tc>
          <w:tcPr>
            <w:tcW w:w="38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state regulatory requirements or approvals</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w w:val="98"/>
              </w:rPr>
              <w:t>required for completion of</w:t>
            </w:r>
          </w:p>
        </w:tc>
      </w:tr>
      <w:tr>
        <w:trPr>
          <w:trHeight w:val="171"/>
        </w:trPr>
        <w:tc>
          <w:tcPr>
            <w:tcW w:w="4740" w:type="dxa"/>
            <w:vAlign w:val="bottom"/>
            <w:gridSpan w:val="3"/>
          </w:tcPr>
          <w:p>
            <w:pPr>
              <w:spacing w:after="0"/>
              <w:rPr>
                <w:sz w:val="20"/>
                <w:szCs w:val="20"/>
                <w:color w:val="auto"/>
              </w:rPr>
            </w:pPr>
            <w:r>
              <w:rPr>
                <w:rFonts w:ascii="Courier New" w:cs="Courier New" w:eastAsia="Courier New" w:hAnsi="Courier New"/>
                <w:sz w:val="15"/>
                <w:szCs w:val="15"/>
                <w:color w:val="auto"/>
                <w:w w:val="98"/>
              </w:rPr>
              <w:t>the merger, other than filing a certificate of merger</w:t>
            </w: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rPr>
              <w:t>in Delaware at or before</w:t>
            </w:r>
          </w:p>
        </w:tc>
      </w:tr>
      <w:tr>
        <w:trPr>
          <w:trHeight w:val="171"/>
        </w:trPr>
        <w:tc>
          <w:tcPr>
            <w:tcW w:w="1900" w:type="dxa"/>
            <w:vAlign w:val="bottom"/>
            <w:gridSpan w:val="2"/>
          </w:tcPr>
          <w:p>
            <w:pPr>
              <w:spacing w:after="0"/>
              <w:rPr>
                <w:sz w:val="20"/>
                <w:szCs w:val="20"/>
                <w:color w:val="auto"/>
              </w:rPr>
            </w:pPr>
            <w:r>
              <w:rPr>
                <w:rFonts w:ascii="Courier New" w:cs="Courier New" w:eastAsia="Courier New" w:hAnsi="Courier New"/>
                <w:sz w:val="15"/>
                <w:szCs w:val="15"/>
                <w:color w:val="auto"/>
                <w:w w:val="99"/>
              </w:rPr>
              <w:t>the effective time of</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the merger.</w:t>
            </w:r>
          </w:p>
        </w:tc>
        <w:tc>
          <w:tcPr>
            <w:tcW w:w="2360" w:type="dxa"/>
            <w:vAlign w:val="bottom"/>
          </w:tcPr>
          <w:p>
            <w:pPr>
              <w:spacing w:after="0"/>
              <w:rPr>
                <w:sz w:val="14"/>
                <w:szCs w:val="14"/>
                <w:color w:val="auto"/>
              </w:rPr>
            </w:pPr>
          </w:p>
        </w:tc>
      </w:tr>
    </w:tbl>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Dissenters' Rights of Appraisal</w:t>
      </w:r>
    </w:p>
    <w:p>
      <w:pPr>
        <w:spacing w:after="0" w:line="174" w:lineRule="exact"/>
        <w:rPr>
          <w:sz w:val="20"/>
          <w:szCs w:val="20"/>
          <w:color w:val="auto"/>
        </w:rPr>
      </w:pPr>
    </w:p>
    <w:p>
      <w:pPr>
        <w:ind w:right="3119" w:firstLine="710"/>
        <w:spacing w:after="0" w:line="260" w:lineRule="auto"/>
        <w:rPr>
          <w:sz w:val="20"/>
          <w:szCs w:val="20"/>
          <w:color w:val="auto"/>
        </w:rPr>
      </w:pPr>
      <w:r>
        <w:rPr>
          <w:rFonts w:ascii="Courier New" w:cs="Courier New" w:eastAsia="Courier New" w:hAnsi="Courier New"/>
          <w:sz w:val="14"/>
          <w:szCs w:val="14"/>
          <w:color w:val="auto"/>
        </w:rPr>
        <w:t>E.mergent stockholders will be entitled to appraisal rights as a result of the merger under Section 262 of the Delaware General Corporate Law. Attached is the full text of Section 262 of the Delaware General Corporate Law as Annex D to this proxy statement/prospectus. The following summary of the provisions of Section 262 of the Delaware General Corporation Law is not intended to be a complete statement of its provisions and is qualified in its entirety by reference to the full text of that law, which is incorporated by reference.</w:t>
      </w:r>
    </w:p>
    <w:p>
      <w:pPr>
        <w:spacing w:after="0" w:line="163"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If the merger is completed, and a holder of E.mergent common stock (1) delivers to E.mergent, prior to the special meeting vote on the merger, written notice of an intention to exercise rights to appraisal of shares, (2) does not vote in favor of the merger and (3) follows the procedures set forth in Section 262, the holder will be entitled to be paid the fair value of the shares of E.mergent common stock as to which appraisal rights have been perfected. The fair value of shares of E.mergent common stock will be determined by the Delaware Court of Chancery, exclusive of any element of value arising from the merger. The shares of E.mergent common stock with respect to which holders have perfected their appraisal rights in accordance with Section 262 and have not effectively withdrawn or lost their appraisal rights are referred to in this section as the "dissenting shares."</w:t>
      </w:r>
    </w:p>
    <w:p>
      <w:pPr>
        <w:spacing w:after="0" w:line="180"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Appraisal rights are available only to the record holder of shares. If an E.mergent stockholder wishes to exercise appraisal rights but has a beneficial interest in shares which are held of record by or in the name of another person, such as a broker or nominee, the stockholder should act promptly to cause the record holder to follow the procedures set forth in Section 262 to perfect the stockholder's appraisal rights.</w:t>
      </w:r>
    </w:p>
    <w:p>
      <w:pPr>
        <w:spacing w:after="0" w:line="175" w:lineRule="exact"/>
        <w:rPr>
          <w:sz w:val="20"/>
          <w:szCs w:val="20"/>
          <w:color w:val="auto"/>
        </w:rPr>
      </w:pPr>
    </w:p>
    <w:p>
      <w:pPr>
        <w:ind w:right="3119" w:firstLine="710"/>
        <w:spacing w:after="0" w:line="260" w:lineRule="auto"/>
        <w:rPr>
          <w:sz w:val="20"/>
          <w:szCs w:val="20"/>
          <w:color w:val="auto"/>
        </w:rPr>
      </w:pPr>
      <w:r>
        <w:rPr>
          <w:rFonts w:ascii="Courier New" w:cs="Courier New" w:eastAsia="Courier New" w:hAnsi="Courier New"/>
          <w:sz w:val="14"/>
          <w:szCs w:val="14"/>
          <w:color w:val="auto"/>
        </w:rPr>
        <w:t>A demand for appraisal should be signed by or on behalf of the stockholder exactly as the stockholder's name appears on the stockholder's stock certificates. If the shares are owned of record in a fiduciary capacity such as by a trustee, guardian or custodian, the demand should be executed in that capacity, and if the shares are owned of record by more than one person, as in a joint tenancy or tenancy in common, the demand should be executed by or on behalf of all joint owners. An authorized agent, including one or more joint</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19"/>
          </w:cols>
          <w:pgMar w:left="240" w:top="631" w:right="1440" w:bottom="628" w:gutter="0" w:footer="0" w:header="0"/>
        </w:sectPr>
      </w:pPr>
    </w:p>
    <w:bookmarkStart w:id="53" w:name="page54"/>
    <w:bookmarkEnd w:id="53"/>
    <w:p>
      <w:pPr>
        <w:ind w:right="3119"/>
        <w:spacing w:after="0"/>
        <w:rPr>
          <w:sz w:val="20"/>
          <w:szCs w:val="20"/>
          <w:color w:val="auto"/>
        </w:rPr>
      </w:pPr>
      <w:r>
        <w:rPr>
          <w:rFonts w:ascii="Courier New" w:cs="Courier New" w:eastAsia="Courier New" w:hAnsi="Courier New"/>
          <w:sz w:val="15"/>
          <w:szCs w:val="15"/>
          <w:color w:val="auto"/>
        </w:rPr>
        <w:t>owners, may execute a demand for appraisal on behalf of a record holder; however, in the demand the agent must identify the record owner or owners and expressly disclose that the agent is executing the demand as an agent of the record owner or owners. A record holder such as a broker who holds shares as nominee for several beneficial owners may exercise appraisal rights of the shares held for one or more beneficial owners and not exercise rights of the shares held for other beneficial owners. In this case, the written demand should state the number of shares for which appraisal rights are being demanded. When no number of shares is stated, the demand will be presented to cover all shares of record by the broker or nominee.</w:t>
      </w:r>
    </w:p>
    <w:p>
      <w:pPr>
        <w:spacing w:after="0" w:line="178"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If an E.mergent stockholder demands appraisal of the stockholder's shares under Section 262 and fails to perfect, or effectively withdraws or loses, the stockholder's right to appraisal, the stockholder's shares will be converted into a right to receive cash and a number of shares of ClearOne common stock in accordance with the terms of the merger agreement. Dissenting shares lose their status as dissenting shares if:</w:t>
      </w:r>
    </w:p>
    <w:p>
      <w:pPr>
        <w:spacing w:after="0" w:line="172" w:lineRule="exact"/>
        <w:rPr>
          <w:sz w:val="20"/>
          <w:szCs w:val="20"/>
          <w:color w:val="auto"/>
        </w:rPr>
      </w:pPr>
    </w:p>
    <w:p>
      <w:pPr>
        <w:ind w:left="1060" w:hanging="359"/>
        <w:spacing w:after="0"/>
        <w:tabs>
          <w:tab w:leader="none" w:pos="10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is abandoned;</w:t>
      </w:r>
    </w:p>
    <w:p>
      <w:pPr>
        <w:spacing w:after="0" w:line="174"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dissenting stockholder fails to make a timely written demand for appraisal;</w:t>
      </w:r>
    </w:p>
    <w:p>
      <w:pPr>
        <w:spacing w:after="0" w:line="174" w:lineRule="exact"/>
        <w:rPr>
          <w:rFonts w:ascii="Courier New" w:cs="Courier New" w:eastAsia="Courier New" w:hAnsi="Courier New"/>
          <w:sz w:val="15"/>
          <w:szCs w:val="15"/>
          <w:color w:val="auto"/>
        </w:rPr>
      </w:pPr>
    </w:p>
    <w:p>
      <w:pPr>
        <w:ind w:left="1060" w:right="3299" w:hanging="359"/>
        <w:spacing w:after="0" w:line="238" w:lineRule="auto"/>
        <w:tabs>
          <w:tab w:leader="none" w:pos="10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dissenting shares are voted in favor of adoption of the merger or the merger agreement;</w:t>
      </w:r>
    </w:p>
    <w:p>
      <w:pPr>
        <w:spacing w:after="0" w:line="174"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petition for appraisal is filed with the Court of Chancery within 120 days after the effective date of the merger;</w:t>
      </w:r>
    </w:p>
    <w:p>
      <w:pPr>
        <w:spacing w:after="0" w:line="174" w:lineRule="exact"/>
        <w:rPr>
          <w:rFonts w:ascii="Courier New" w:cs="Courier New" w:eastAsia="Courier New" w:hAnsi="Courier New"/>
          <w:sz w:val="15"/>
          <w:szCs w:val="15"/>
          <w:color w:val="auto"/>
        </w:rPr>
      </w:pPr>
    </w:p>
    <w:p>
      <w:pPr>
        <w:ind w:left="1060" w:right="3219" w:hanging="359"/>
        <w:spacing w:after="0" w:line="271" w:lineRule="auto"/>
        <w:tabs>
          <w:tab w:leader="none" w:pos="1060"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dissenting stockholder fails to hold the dissenting shares on the date of the demand through the effective date of the merger; or</w:t>
      </w:r>
    </w:p>
    <w:p>
      <w:pPr>
        <w:spacing w:after="0" w:line="153" w:lineRule="exact"/>
        <w:rPr>
          <w:rFonts w:ascii="Courier New" w:cs="Courier New" w:eastAsia="Courier New" w:hAnsi="Courier New"/>
          <w:sz w:val="14"/>
          <w:szCs w:val="14"/>
          <w:color w:val="auto"/>
        </w:rPr>
      </w:pPr>
    </w:p>
    <w:p>
      <w:pPr>
        <w:ind w:left="1060" w:right="3119" w:hanging="359"/>
        <w:spacing w:after="0"/>
        <w:tabs>
          <w:tab w:leader="none" w:pos="106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dissenting stockholder delivers to ClearOne within 60 days of the effective date of the merger, or thereafter with ClearOne's approval, a written withdrawal of the stockholder's demand for appraisal of the dissenting shares, although no appraisal proceeding in the Delaware Court of Chancery may be dismissed as to any stockholder without the approval of the court.</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Failure to follow the steps required by Section 262 of the Delaware General Corporation Law for perfecting appraisal rights may result in the loss of the stockholder's appraisal rights, in which event a stockholder will be entitled to receive the consideration with respect to the stockholder's dissenting shares in accordance with the merger agreement. In view of the complexity of the provisions of Section 262 of the Delaware General Corporation Law, if a stockholder is considering objecting to the merger should that option become available, the stockholder should consult the stockholder's own legal advisor.</w:t>
      </w:r>
    </w:p>
    <w:p>
      <w:pPr>
        <w:spacing w:after="0" w:line="177"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Within ten days after the effective date of the merger, ClearOne must mail a notice to all stockholders who have complied with (1) and (2) above notifying such stockholders of the effective date of the merger. Within 120 days after the effective date, holders of E.mergent common stock may file a petition in the Delaware Court of Chancery for the appraisal of their shares, although they may, within 60 days of the effective date, withdraw their demand for appraisal. Within 120 days of the effective date, the holders of dissenting shares may also, upon written request, receive from ClearOne a statement setting forth the aggregate number of shares with respect to which demands for appraisals have been received.</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ClearOne Capital Stock</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authorized capital stock of ClearOne consists of 50,000,000 shares of common stock, $0.001 par value. As of the close of business on May 3, 2002, 10,283,918 shares of ClearOne common stock were issued and outstanding. Holders of common stock are entitled to one vote per share on all matters voted upon by stockholders. All shares rank equally as to voting and all other matters. The shares of ClearOne common stock have no preemptive or conversion rights, no redemption or sinking fund provisions, are not liable for further call or assessment, and are not entitled to cumulative voting rights. All of the issued and outstanding shares of ClearOne common stock are fully paid and nonassessable. In the event of a liquidation or dissolution of ClearOne, whether voluntary or involuntary, the holders of ClearOne common stock will be entitled to receive, pro rata, the assets of ClearOne remaining for distribution to its stockholders. The holders of ClearOne common stock will be entitled to receive, pro rata, dividends out of legally available funds, but only when, as and if declared by the ClearOne board of directors. See also "Comparison of Stockholder Rights."</w:t>
      </w:r>
    </w:p>
    <w:p>
      <w:pPr>
        <w:spacing w:after="0" w:line="35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631"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Listing with Nasdaq the ClearOne Common Stock to be Issued in the Merger</w:t>
      </w:r>
    </w:p>
    <w:p>
      <w:pPr>
        <w:spacing w:after="0" w:line="174" w:lineRule="exact"/>
        <w:rPr>
          <w:sz w:val="20"/>
          <w:szCs w:val="20"/>
          <w:color w:val="auto"/>
        </w:rPr>
      </w:pPr>
    </w:p>
    <w:p>
      <w:pPr>
        <w:ind w:right="3299" w:firstLine="710"/>
        <w:spacing w:after="0" w:line="264" w:lineRule="auto"/>
        <w:rPr>
          <w:sz w:val="20"/>
          <w:szCs w:val="20"/>
          <w:color w:val="auto"/>
        </w:rPr>
      </w:pPr>
      <w:r>
        <w:rPr>
          <w:rFonts w:ascii="Courier New" w:cs="Courier New" w:eastAsia="Courier New" w:hAnsi="Courier New"/>
          <w:sz w:val="14"/>
          <w:szCs w:val="14"/>
          <w:color w:val="auto"/>
        </w:rPr>
        <w:t>ClearOne has agreed to cause the shares of ClearOne common stock to be issued in the merger to be approved for listing on the Nasdaq National Market before the completion of the merger, subject to official notice of issuance.</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Delisting and Deregistration of E.mergent Common Stock After the Merger</w:t>
      </w:r>
    </w:p>
    <w:p>
      <w:pPr>
        <w:spacing w:after="0" w:line="174" w:lineRule="exact"/>
        <w:rPr>
          <w:sz w:val="20"/>
          <w:szCs w:val="20"/>
          <w:color w:val="auto"/>
        </w:rPr>
      </w:pPr>
    </w:p>
    <w:p>
      <w:pPr>
        <w:jc w:val="both"/>
        <w:ind w:right="3399" w:firstLine="710"/>
        <w:spacing w:after="0" w:line="239" w:lineRule="auto"/>
        <w:rPr>
          <w:sz w:val="20"/>
          <w:szCs w:val="20"/>
          <w:color w:val="auto"/>
        </w:rPr>
      </w:pPr>
      <w:r>
        <w:rPr>
          <w:rFonts w:ascii="Courier New" w:cs="Courier New" w:eastAsia="Courier New" w:hAnsi="Courier New"/>
          <w:sz w:val="15"/>
          <w:szCs w:val="15"/>
          <w:color w:val="auto"/>
        </w:rPr>
        <w:t>When the merger is completed, E.mergent common stock will be delisted from the Nasdaq SmallCap Market and will be deregistered under the Securities Exchange Act.</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After the Merger</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Following the merger, E.mergent will continue its operations as a wholly-owned subsidiary of ClearOne for some period of time. The stockholders of E.mergent will become stockholders of ClearOne, and their rights as stockholders will be governed by the ClearOne articles of incorporation, as currently in effect, the ClearOne bylaws and the laws of the State of Utah. See the section entitled "Comparison of Stockholder Rights" beginning on page 67 of this document. The membership of ClearOne's board of directors will remain unchanged as a result of the merger. Further, it is anticipated that upon the closing of the merger, Robin Sheeley, E.mergent's current Chief Technical Officer will become ClearOne's new Chief Technology Officer, Jim Hansen will resign as E.mergent's Chairman, Chief Executive Officer, President and Treasurer and Jill Larson will resign as E.mergent's Vice President-Administration and Corporate Secretary.</w:t>
      </w: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Exchange of E.mergent Stock Certificates for ClearOne Stock Certificates</w:t>
      </w:r>
    </w:p>
    <w:p>
      <w:pPr>
        <w:spacing w:after="0" w:line="174"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Promptly after the effective time of the merger, if you are the holder of an E.mergent stock certificate, the exchange agent for the merger, American Stock Transfer, will mail to you a letter of transmittal and instructions for surrendering your E.mergent stock certificates in exchange for the cash payment and ClearOne stock certificates being issued in the merger, and any dividends or other distributions, if any, to which you are or may be entitled. When you deliver your E.mergent stock certificates to the exchange agent, along with any required documents, your E.mergent stock certificates will be canceled and, if you are a holder of E.mergent common stock, you will receive ClearOne stock certificates representing the number of full shares of ClearOne common stock to which you are entitled under the merger agreement and you will receive a check payable in the amount of the aggregate cash consideration, without interest, payable to you in connection with the merger. You will also receive payment in cash, without interest, in lieu of any fractional share of ClearOne common stock that would have been otherwise issuable to you as a result of the merger.</w:t>
      </w:r>
    </w:p>
    <w:p>
      <w:pPr>
        <w:spacing w:after="0" w:line="163" w:lineRule="exact"/>
        <w:rPr>
          <w:sz w:val="20"/>
          <w:szCs w:val="20"/>
          <w:color w:val="auto"/>
        </w:rPr>
      </w:pPr>
    </w:p>
    <w:p>
      <w:pPr>
        <w:ind w:right="3299"/>
        <w:spacing w:after="0" w:line="238" w:lineRule="auto"/>
        <w:rPr>
          <w:sz w:val="20"/>
          <w:szCs w:val="20"/>
          <w:color w:val="auto"/>
        </w:rPr>
      </w:pPr>
      <w:r>
        <w:rPr>
          <w:rFonts w:ascii="Courier New" w:cs="Courier New" w:eastAsia="Courier New" w:hAnsi="Courier New"/>
          <w:sz w:val="15"/>
          <w:szCs w:val="15"/>
          <w:color w:val="auto"/>
        </w:rPr>
        <w:t>YOU SHOULD NOT SUBMIT YOUR E.MERGENT STOCK CERTIFICATES FOR EXCHANGE UNTIL YOU RECEIVE INSTRUCTIONS FROM THE EXCHANGE AGENT FOR THE MERGER.</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You are not entitled to receive any dividends or other distributions on ClearOne common stock with a record date after the merger is completed until you have surrendered your E.mergent stock certificates. Promptly after your ClearOne stock certificates are issued, you will receive payment for any dividend or other distribution on ClearOne common stock with a record date after the merger and a payment date prior to the date you surrender your E.mergent stock certificates.</w:t>
      </w:r>
    </w:p>
    <w:p>
      <w:pPr>
        <w:spacing w:after="0" w:line="176"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ClearOne will only make the cash payment and issue a ClearOne stock certificate in a name other than the name in which a surrendered E.mergent stock certificate is registered if you present the exchange agent with all documents required to show and effect the unrecorded transfer of ownership of the shares of E.mergent common stock formerly represented by such E.mergent stock certificate, and show that you paid any applicable stock transfer taxes.</w:t>
      </w:r>
    </w:p>
    <w:p>
      <w:pPr>
        <w:spacing w:after="0" w:line="175" w:lineRule="exact"/>
        <w:rPr>
          <w:sz w:val="20"/>
          <w:szCs w:val="20"/>
          <w:color w:val="auto"/>
        </w:rPr>
      </w:pPr>
    </w:p>
    <w:p>
      <w:pPr>
        <w:ind w:right="3219" w:firstLine="710"/>
        <w:spacing w:after="0" w:line="264" w:lineRule="auto"/>
        <w:rPr>
          <w:sz w:val="20"/>
          <w:szCs w:val="20"/>
          <w:color w:val="auto"/>
        </w:rPr>
      </w:pPr>
      <w:r>
        <w:rPr>
          <w:rFonts w:ascii="Courier New" w:cs="Courier New" w:eastAsia="Courier New" w:hAnsi="Courier New"/>
          <w:sz w:val="14"/>
          <w:szCs w:val="14"/>
          <w:color w:val="auto"/>
        </w:rPr>
        <w:t>If your E.mergent stock certificate has been lost, stolen or destroyed, you may be required to deliver an affidavit and a lost certificate bond as a condition to receiving your cash payment and ClearOne stock certificate.</w:t>
      </w:r>
    </w:p>
    <w:p>
      <w:pPr>
        <w:spacing w:after="0" w:line="159"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The cash and stock issuable to you in the merger is subject to withholding taxes to the extent required under U.S. federal or state, local or foreign law.</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628" w:right="1440" w:bottom="1440" w:gutter="0" w:footer="0" w:header="0"/>
        </w:sectPr>
      </w:pPr>
    </w:p>
    <w:bookmarkStart w:id="55" w:name="page56"/>
    <w:bookmarkEnd w:id="55"/>
    <w:p>
      <w:pPr>
        <w:ind w:left="2300"/>
        <w:spacing w:after="0"/>
        <w:rPr>
          <w:sz w:val="20"/>
          <w:szCs w:val="20"/>
          <w:color w:val="auto"/>
        </w:rPr>
      </w:pPr>
      <w:r>
        <w:rPr>
          <w:rFonts w:ascii="Courier New" w:cs="Courier New" w:eastAsia="Courier New" w:hAnsi="Courier New"/>
          <w:sz w:val="15"/>
          <w:szCs w:val="15"/>
          <w:color w:val="auto"/>
        </w:rPr>
        <w:t>AGREEMENT AND PLAN OF MERGER</w:t>
      </w:r>
    </w:p>
    <w:p>
      <w:pPr>
        <w:spacing w:after="0" w:line="17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The following summary of the merger agreement is qualified in its entirety by reference to the complete text of the merger agreement, which is attached as Annex A to this proxy statement/prospectus. We urge you to read the full text of the merger agreement.</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Structure of the Merger</w:t>
      </w:r>
    </w:p>
    <w:p>
      <w:pPr>
        <w:spacing w:after="0" w:line="174"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Under the terms of the merger agreement, E.mergent will be merged with and into Tundra, and Tundra will survive the merger as a wholly-owned subsidiary of ClearOne. After the merger, the subsidiary will use the name E.mergent, Inc. or such other name as determined by ClearOne.</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and Effectiveness of the Merger</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Assuming that all of the conditions to completion of the merger contained in the merger agreement have been satisfied or waived, we expect to complete the merger shortly after approval of the merger by the E.mergent stockholders. As part of completing the merger, ClearOne and E.mergent will file a certificate of merger with the State of Delaware, and the merger will become effective at the time specified in the certificate of merger. Because the merger is subject to certain conditions as described below, however, we are not able to predict the precise timing of the completion of the merger.</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of E.mergent Common Stock</w:t>
      </w:r>
    </w:p>
    <w:p>
      <w:pPr>
        <w:spacing w:after="0" w:line="174" w:lineRule="exact"/>
        <w:rPr>
          <w:sz w:val="20"/>
          <w:szCs w:val="20"/>
          <w:color w:val="auto"/>
        </w:rPr>
      </w:pPr>
    </w:p>
    <w:p>
      <w:pPr>
        <w:ind w:right="3119" w:firstLine="710"/>
        <w:spacing w:after="0" w:line="260" w:lineRule="auto"/>
        <w:rPr>
          <w:sz w:val="20"/>
          <w:szCs w:val="20"/>
          <w:color w:val="auto"/>
        </w:rPr>
      </w:pPr>
      <w:r>
        <w:rPr>
          <w:rFonts w:ascii="Courier New" w:cs="Courier New" w:eastAsia="Courier New" w:hAnsi="Courier New"/>
          <w:sz w:val="14"/>
          <w:szCs w:val="14"/>
          <w:color w:val="auto"/>
        </w:rPr>
        <w:t>At the effective time of the merger, by virtue of the merger and without any action on the part of ClearOne, E.mergent or any of their respective security holders, each outstanding share of E.mergent common stock issued and outstanding immediately prior to the effective time will be canceled and extinguished and automatically converted into the right to receive a fixed number of shares of ClearOne common stock and a fixed amount of cash. The number of shares of ClearOne common stock and the amount of cash is based on exchange ratios calculated at the completion of the merger as follows:</w:t>
      </w:r>
    </w:p>
    <w:p>
      <w:pPr>
        <w:spacing w:after="0" w:line="161" w:lineRule="exact"/>
        <w:rPr>
          <w:sz w:val="20"/>
          <w:szCs w:val="20"/>
          <w:color w:val="auto"/>
        </w:rPr>
      </w:pPr>
    </w:p>
    <w:p>
      <w:pPr>
        <w:ind w:left="1060" w:right="3299" w:hanging="359"/>
        <w:spacing w:after="0" w:line="258" w:lineRule="auto"/>
        <w:tabs>
          <w:tab w:leader="none" w:pos="1060"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issued and outstanding share of E.mergent common stock will receive an amount of cash determined by dividing (A) $7,300,000 by</w:t>
      </w:r>
    </w:p>
    <w:p>
      <w:pPr>
        <w:ind w:left="1060" w:right="3219" w:hanging="4"/>
        <w:spacing w:after="0" w:line="239" w:lineRule="auto"/>
        <w:tabs>
          <w:tab w:leader="none" w:pos="1415" w:val="left"/>
        </w:tabs>
        <w:numPr>
          <w:ilvl w:val="1"/>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number of shares of E.mergent common stock issued and outstanding immediately prior to the effective time of the merger; and</w:t>
      </w:r>
    </w:p>
    <w:p>
      <w:pPr>
        <w:spacing w:after="0" w:line="175" w:lineRule="exact"/>
        <w:rPr>
          <w:rFonts w:ascii="Courier New" w:cs="Courier New" w:eastAsia="Courier New" w:hAnsi="Courier New"/>
          <w:sz w:val="15"/>
          <w:szCs w:val="15"/>
          <w:color w:val="auto"/>
        </w:rPr>
      </w:pPr>
    </w:p>
    <w:p>
      <w:pPr>
        <w:ind w:left="1060" w:right="3119" w:hanging="359"/>
        <w:spacing w:after="0" w:line="239" w:lineRule="auto"/>
        <w:tabs>
          <w:tab w:leader="none" w:pos="106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issued and outstanding share of E.mergent common stock will receive a fraction of a share of ClearOne common stock determined by the following formula:</w:t>
      </w:r>
    </w:p>
    <w:p>
      <w:pPr>
        <w:spacing w:after="0" w:line="172"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(A - B) / C</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where</w:t>
      </w:r>
    </w:p>
    <w:p>
      <w:pPr>
        <w:spacing w:after="0" w:line="171"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440" w:type="dxa"/>
            <w:vAlign w:val="bottom"/>
          </w:tcPr>
          <w:p>
            <w:pPr>
              <w:spacing w:after="0"/>
              <w:rPr>
                <w:sz w:val="20"/>
                <w:szCs w:val="20"/>
                <w:color w:val="auto"/>
              </w:rPr>
            </w:pPr>
            <w:r>
              <w:rPr>
                <w:rFonts w:ascii="Courier New" w:cs="Courier New" w:eastAsia="Courier New" w:hAnsi="Courier New"/>
                <w:sz w:val="15"/>
                <w:szCs w:val="15"/>
                <w:color w:val="auto"/>
              </w:rPr>
              <w:t>A =</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873,000</w:t>
            </w:r>
          </w:p>
        </w:tc>
      </w:tr>
    </w:tbl>
    <w:p>
      <w:pPr>
        <w:spacing w:after="0" w:line="174" w:lineRule="exact"/>
        <w:rPr>
          <w:sz w:val="20"/>
          <w:szCs w:val="20"/>
          <w:color w:val="auto"/>
        </w:rPr>
      </w:pPr>
    </w:p>
    <w:p>
      <w:pPr>
        <w:ind w:left="1940" w:right="3119" w:hanging="620"/>
        <w:spacing w:after="0" w:line="264" w:lineRule="auto"/>
        <w:tabs>
          <w:tab w:leader="none" w:pos="1920" w:val="left"/>
        </w:tabs>
        <w:rPr>
          <w:sz w:val="20"/>
          <w:szCs w:val="20"/>
          <w:color w:val="auto"/>
        </w:rPr>
      </w:pPr>
      <w:r>
        <w:rPr>
          <w:rFonts w:ascii="Courier New" w:cs="Courier New" w:eastAsia="Courier New" w:hAnsi="Courier New"/>
          <w:sz w:val="15"/>
          <w:szCs w:val="15"/>
          <w:color w:val="auto"/>
        </w:rPr>
        <w:t>B =</w:t>
      </w:r>
      <w:r>
        <w:rPr>
          <w:sz w:val="20"/>
          <w:szCs w:val="20"/>
          <w:color w:val="auto"/>
        </w:rPr>
        <w:tab/>
      </w:r>
      <w:r>
        <w:rPr>
          <w:rFonts w:ascii="Courier New" w:cs="Courier New" w:eastAsia="Courier New" w:hAnsi="Courier New"/>
          <w:sz w:val="14"/>
          <w:szCs w:val="14"/>
          <w:color w:val="auto"/>
        </w:rPr>
        <w:t>the aggregate number of shares of ClearOne common stock allocated to the E.mergent shares subject to the E.mergent stock options being assumed by ClearOne in the merger</w:t>
      </w:r>
    </w:p>
    <w:p>
      <w:pPr>
        <w:spacing w:after="0" w:line="159" w:lineRule="exact"/>
        <w:rPr>
          <w:sz w:val="20"/>
          <w:szCs w:val="20"/>
          <w:color w:val="auto"/>
        </w:rPr>
      </w:pPr>
    </w:p>
    <w:p>
      <w:pPr>
        <w:jc w:val="both"/>
        <w:ind w:left="1940" w:right="3299" w:hanging="620"/>
        <w:spacing w:after="0" w:line="239" w:lineRule="auto"/>
        <w:tabs>
          <w:tab w:leader="none" w:pos="1920" w:val="left"/>
        </w:tabs>
        <w:rPr>
          <w:sz w:val="20"/>
          <w:szCs w:val="20"/>
          <w:color w:val="auto"/>
        </w:rPr>
      </w:pPr>
      <w:r>
        <w:rPr>
          <w:rFonts w:ascii="Courier New" w:cs="Courier New" w:eastAsia="Courier New" w:hAnsi="Courier New"/>
          <w:sz w:val="15"/>
          <w:szCs w:val="15"/>
          <w:color w:val="auto"/>
        </w:rPr>
        <w:t>C =</w:t>
      </w:r>
      <w:r>
        <w:rPr>
          <w:sz w:val="20"/>
          <w:szCs w:val="20"/>
          <w:color w:val="auto"/>
        </w:rPr>
        <w:tab/>
      </w:r>
      <w:r>
        <w:rPr>
          <w:rFonts w:ascii="Courier New" w:cs="Courier New" w:eastAsia="Courier New" w:hAnsi="Courier New"/>
          <w:sz w:val="15"/>
          <w:szCs w:val="15"/>
          <w:color w:val="auto"/>
        </w:rPr>
        <w:t>the number of issued and outstanding shares of E.mergent common stock issued and outstanding immediately prior to the effective time of the merger</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number of ClearOne common stock shares allocated to the E.mergent stock options being assumed by ClearOne is determined by multiplying the number of E.mergent stock options outstanding immediately prior to completion of the merger by an option exchange ratio. The option exchange ratio is calculated at completion of the merger as follows:</w:t>
      </w:r>
    </w:p>
    <w:p>
      <w:pPr>
        <w:spacing w:after="0" w:line="172"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Option exchange ratio = (TV / TS) / AP</w:t>
      </w:r>
    </w:p>
    <w:p>
      <w:pPr>
        <w:spacing w:after="0" w:line="171"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where</w:t>
      </w:r>
    </w:p>
    <w:p>
      <w:pPr>
        <w:spacing w:after="0" w:line="174" w:lineRule="exact"/>
        <w:rPr>
          <w:sz w:val="20"/>
          <w:szCs w:val="20"/>
          <w:color w:val="auto"/>
        </w:rPr>
      </w:pPr>
    </w:p>
    <w:p>
      <w:pPr>
        <w:ind w:left="1940" w:right="3119" w:hanging="620"/>
        <w:spacing w:after="0"/>
        <w:tabs>
          <w:tab w:leader="none" w:pos="1920" w:val="left"/>
        </w:tabs>
        <w:rPr>
          <w:sz w:val="20"/>
          <w:szCs w:val="20"/>
          <w:color w:val="auto"/>
        </w:rPr>
      </w:pPr>
      <w:r>
        <w:rPr>
          <w:rFonts w:ascii="Courier New" w:cs="Courier New" w:eastAsia="Courier New" w:hAnsi="Courier New"/>
          <w:sz w:val="15"/>
          <w:szCs w:val="15"/>
          <w:color w:val="auto"/>
        </w:rPr>
        <w:t>TV =</w:t>
        <w:tab/>
        <w:t>the sum of $7,300,000 plus the product of (i) 873,000 times (ii) the weighted average closing price of the ClearOne common stock for the 10 trading days ending one trading day prior to the date of completion of the merger, as quoted on the Nasdaq National Market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628" w:right="1440" w:bottom="1440" w:gutter="0" w:footer="0" w:header="0"/>
        </w:sectPr>
      </w:pPr>
    </w:p>
    <w:bookmarkStart w:id="56" w:name="page57"/>
    <w:bookmarkEnd w:id="56"/>
    <w:p>
      <w:pPr>
        <w:ind w:left="1940" w:right="3219" w:hanging="620"/>
        <w:spacing w:after="0" w:line="239" w:lineRule="auto"/>
        <w:tabs>
          <w:tab w:leader="none" w:pos="1920" w:val="left"/>
        </w:tabs>
        <w:rPr>
          <w:sz w:val="20"/>
          <w:szCs w:val="20"/>
          <w:color w:val="auto"/>
        </w:rPr>
      </w:pPr>
      <w:r>
        <w:rPr>
          <w:rFonts w:ascii="Courier New" w:cs="Courier New" w:eastAsia="Courier New" w:hAnsi="Courier New"/>
          <w:sz w:val="15"/>
          <w:szCs w:val="15"/>
          <w:color w:val="auto"/>
        </w:rPr>
        <w:t>TS =</w:t>
        <w:tab/>
        <w:t>the aggregate number of shares of E.mergent common stock and E.mergent stock options outstanding immediately prior to the effective time of the merger</w:t>
      </w:r>
    </w:p>
    <w:p>
      <w:pPr>
        <w:spacing w:after="0" w:line="175" w:lineRule="exact"/>
        <w:rPr>
          <w:sz w:val="20"/>
          <w:szCs w:val="20"/>
          <w:color w:val="auto"/>
        </w:rPr>
      </w:pPr>
    </w:p>
    <w:p>
      <w:pPr>
        <w:ind w:left="1940" w:right="3399" w:hanging="620"/>
        <w:spacing w:after="0" w:line="239" w:lineRule="auto"/>
        <w:tabs>
          <w:tab w:leader="none" w:pos="1920" w:val="left"/>
        </w:tabs>
        <w:rPr>
          <w:sz w:val="20"/>
          <w:szCs w:val="20"/>
          <w:color w:val="auto"/>
        </w:rPr>
      </w:pPr>
      <w:r>
        <w:rPr>
          <w:rFonts w:ascii="Courier New" w:cs="Courier New" w:eastAsia="Courier New" w:hAnsi="Courier New"/>
          <w:sz w:val="15"/>
          <w:szCs w:val="15"/>
          <w:color w:val="auto"/>
        </w:rPr>
        <w:t>AP =</w:t>
        <w:tab/>
        <w:t>the weighted average closing price of the ClearOne common stock for the 10 trading days ending one trading day prior to the date of completion of the merger, as quoted on the Nasdaq National Market</w:t>
      </w:r>
    </w:p>
    <w:p>
      <w:pPr>
        <w:spacing w:after="0" w:line="176"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E.mergent common stock held in the E.mergent Employee Stock Purchase Plan immediately prior to the effective time will be converted at the completion of the merger in the manner applicable to other outstanding E.mergent common stock. Any outstanding employee deposits in the Employee Stock Purchase Plan not applied to the purchase of shares of E.mergent common stock at that time will be refunded to the depositing employee.</w:t>
      </w:r>
    </w:p>
    <w:p>
      <w:pPr>
        <w:spacing w:after="0" w:line="175"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As described above, the amount of cash and shares of ClearOne common stock that will be exchanged in the merger for each share of E.mergent common stock will depend on a number of factors determined immediately prior to the merger: (1) the number of issued and outstanding shares of E.mergent common stock; (2) the weighted average closing price of ClearOne common stock, (3) the number of E.mergent stock options remaining outstanding after any option exercises completed prior to the merger, (4) whether the exercise of stock options prior to the merger is done with cash or in a cashless manner, and (5) if options are exercised in a cashless manner, the closing price of a share of E.mergent common stock on the date of exercise.</w:t>
      </w:r>
    </w:p>
    <w:p>
      <w:pPr>
        <w:spacing w:after="0" w:line="178"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The table below shows how the approximate amount of cash and ClearOne common stock shares that would be exchanged for each issued and outstanding share of E.mergent common stock in the merger may vary with changes in the weighted average closing price of the ClearOne common stock and the number of E.mergent stock options that are exercised prior to the merger:</w:t>
      </w:r>
    </w:p>
    <w:p>
      <w:pPr>
        <w:spacing w:after="0" w:line="200" w:lineRule="exact"/>
        <w:rPr>
          <w:sz w:val="20"/>
          <w:szCs w:val="20"/>
          <w:color w:val="auto"/>
        </w:rPr>
      </w:pPr>
    </w:p>
    <w:p>
      <w:pPr>
        <w:spacing w:after="0" w:line="313"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E.mergent Stock Options Exercised (Cashless Exercise)</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40" w:type="dxa"/>
            <w:vAlign w:val="bottom"/>
          </w:tcPr>
          <w:p>
            <w:pPr>
              <w:spacing w:after="0"/>
              <w:rPr>
                <w:sz w:val="14"/>
                <w:szCs w:val="14"/>
                <w:color w:val="auto"/>
              </w:rPr>
            </w:pPr>
          </w:p>
        </w:tc>
        <w:tc>
          <w:tcPr>
            <w:tcW w:w="8340" w:type="dxa"/>
            <w:vAlign w:val="bottom"/>
            <w:gridSpan w:val="9"/>
          </w:tcPr>
          <w:p>
            <w:pPr>
              <w:spacing w:after="0"/>
              <w:rPr>
                <w:sz w:val="20"/>
                <w:szCs w:val="20"/>
                <w:color w:val="auto"/>
              </w:rPr>
            </w:pPr>
            <w:r>
              <w:rPr>
                <w:rFonts w:ascii="Courier New" w:cs="Courier New" w:eastAsia="Courier New" w:hAnsi="Courier New"/>
                <w:sz w:val="15"/>
                <w:szCs w:val="15"/>
                <w:color w:val="auto"/>
              </w:rPr>
              <w:t>--------------------------------------------------------------------------------------------</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ClearOne</w:t>
            </w:r>
          </w:p>
        </w:tc>
        <w:tc>
          <w:tcPr>
            <w:tcW w:w="800" w:type="dxa"/>
            <w:vAlign w:val="bottom"/>
          </w:tcPr>
          <w:p>
            <w:pPr>
              <w:spacing w:after="0"/>
              <w:rPr>
                <w:sz w:val="14"/>
                <w:szCs w:val="14"/>
                <w:color w:val="auto"/>
              </w:rPr>
            </w:pP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None</w:t>
            </w:r>
          </w:p>
        </w:tc>
        <w:tc>
          <w:tcPr>
            <w:tcW w:w="1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50%</w:t>
            </w:r>
          </w:p>
        </w:tc>
        <w:tc>
          <w:tcPr>
            <w:tcW w:w="1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100%</w:t>
            </w:r>
          </w:p>
        </w:tc>
        <w:tc>
          <w:tcPr>
            <w:tcW w:w="1160" w:type="dxa"/>
            <w:vAlign w:val="bottom"/>
          </w:tcPr>
          <w:p>
            <w:pPr>
              <w:spacing w:after="0"/>
              <w:rPr>
                <w:sz w:val="14"/>
                <w:szCs w:val="14"/>
                <w:color w:val="auto"/>
              </w:rPr>
            </w:pP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Average</w:t>
            </w:r>
          </w:p>
        </w:tc>
        <w:tc>
          <w:tcPr>
            <w:tcW w:w="1600" w:type="dxa"/>
            <w:vAlign w:val="bottom"/>
            <w:gridSpan w:val="2"/>
          </w:tcPr>
          <w:p>
            <w:pPr>
              <w:spacing w:after="0"/>
              <w:rPr>
                <w:sz w:val="20"/>
                <w:szCs w:val="20"/>
                <w:color w:val="auto"/>
              </w:rPr>
            </w:pPr>
            <w:r>
              <w:rPr>
                <w:rFonts w:ascii="Courier New" w:cs="Courier New" w:eastAsia="Courier New" w:hAnsi="Courier New"/>
                <w:sz w:val="12"/>
                <w:szCs w:val="12"/>
                <w:color w:val="auto"/>
                <w:w w:val="73"/>
              </w:rPr>
              <w:t>------------------------------</w:t>
            </w:r>
          </w:p>
        </w:tc>
        <w:tc>
          <w:tcPr>
            <w:tcW w:w="1240" w:type="dxa"/>
            <w:vAlign w:val="bottom"/>
          </w:tcPr>
          <w:p>
            <w:pPr>
              <w:spacing w:after="0"/>
              <w:rPr>
                <w:sz w:val="14"/>
                <w:szCs w:val="14"/>
                <w:color w:val="auto"/>
              </w:rPr>
            </w:pPr>
          </w:p>
        </w:tc>
        <w:tc>
          <w:tcPr>
            <w:tcW w:w="278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c>
          <w:tcPr>
            <w:tcW w:w="27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Market</w:t>
            </w:r>
          </w:p>
        </w:tc>
        <w:tc>
          <w:tcPr>
            <w:tcW w:w="800" w:type="dxa"/>
            <w:vAlign w:val="bottom"/>
          </w:tcPr>
          <w:p>
            <w:pPr>
              <w:spacing w:after="0"/>
              <w:rPr>
                <w:sz w:val="14"/>
                <w:szCs w:val="14"/>
                <w:color w:val="auto"/>
              </w:rPr>
            </w:pPr>
          </w:p>
        </w:tc>
        <w:tc>
          <w:tcPr>
            <w:tcW w:w="80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4"/>
              </w:rPr>
              <w:t>ClearOne</w:t>
            </w:r>
          </w:p>
        </w:tc>
        <w:tc>
          <w:tcPr>
            <w:tcW w:w="124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Combined</w:t>
            </w:r>
          </w:p>
        </w:tc>
        <w:tc>
          <w:tcPr>
            <w:tcW w:w="66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7"/>
              </w:rPr>
              <w:t>ClearOne</w:t>
            </w:r>
          </w:p>
        </w:tc>
        <w:tc>
          <w:tcPr>
            <w:tcW w:w="1180" w:type="dxa"/>
            <w:vAlign w:val="bottom"/>
          </w:tcPr>
          <w:p>
            <w:pPr>
              <w:ind w:left="80"/>
              <w:spacing w:after="0"/>
              <w:rPr>
                <w:sz w:val="20"/>
                <w:szCs w:val="20"/>
                <w:color w:val="auto"/>
              </w:rPr>
            </w:pPr>
            <w:r>
              <w:rPr>
                <w:rFonts w:ascii="Courier New" w:cs="Courier New" w:eastAsia="Courier New" w:hAnsi="Courier New"/>
                <w:sz w:val="15"/>
                <w:szCs w:val="15"/>
                <w:color w:val="auto"/>
              </w:rPr>
              <w:t>Combined</w:t>
            </w:r>
          </w:p>
        </w:tc>
        <w:tc>
          <w:tcPr>
            <w:tcW w:w="680" w:type="dxa"/>
            <w:vAlign w:val="bottom"/>
          </w:tcPr>
          <w:p>
            <w:pPr>
              <w:spacing w:after="0"/>
              <w:rPr>
                <w:sz w:val="14"/>
                <w:szCs w:val="14"/>
                <w:color w:val="auto"/>
              </w:rPr>
            </w:pPr>
          </w:p>
        </w:tc>
        <w:tc>
          <w:tcPr>
            <w:tcW w:w="880" w:type="dxa"/>
            <w:vAlign w:val="bottom"/>
          </w:tcPr>
          <w:p>
            <w:pPr>
              <w:jc w:val="right"/>
              <w:ind w:right="6"/>
              <w:spacing w:after="0"/>
              <w:rPr>
                <w:sz w:val="20"/>
                <w:szCs w:val="20"/>
                <w:color w:val="auto"/>
              </w:rPr>
            </w:pPr>
            <w:r>
              <w:rPr>
                <w:rFonts w:ascii="Courier New" w:cs="Courier New" w:eastAsia="Courier New" w:hAnsi="Courier New"/>
                <w:sz w:val="15"/>
                <w:szCs w:val="15"/>
                <w:color w:val="auto"/>
              </w:rPr>
              <w:t>ClearOne</w:t>
            </w:r>
          </w:p>
        </w:tc>
        <w:tc>
          <w:tcPr>
            <w:tcW w:w="1160" w:type="dxa"/>
            <w:vAlign w:val="bottom"/>
          </w:tcPr>
          <w:p>
            <w:pPr>
              <w:ind w:left="100"/>
              <w:spacing w:after="0"/>
              <w:rPr>
                <w:sz w:val="20"/>
                <w:szCs w:val="20"/>
                <w:color w:val="auto"/>
              </w:rPr>
            </w:pPr>
            <w:r>
              <w:rPr>
                <w:rFonts w:ascii="Courier New" w:cs="Courier New" w:eastAsia="Courier New" w:hAnsi="Courier New"/>
                <w:sz w:val="15"/>
                <w:szCs w:val="15"/>
                <w:color w:val="auto"/>
              </w:rPr>
              <w:t>Combined</w:t>
            </w:r>
          </w:p>
        </w:tc>
      </w:tr>
      <w:tr>
        <w:trPr>
          <w:trHeight w:val="171"/>
        </w:trPr>
        <w:tc>
          <w:tcPr>
            <w:tcW w:w="1240" w:type="dxa"/>
            <w:vAlign w:val="bottom"/>
          </w:tcPr>
          <w:p>
            <w:pPr>
              <w:ind w:left="80"/>
              <w:spacing w:after="0"/>
              <w:rPr>
                <w:sz w:val="20"/>
                <w:szCs w:val="20"/>
                <w:color w:val="auto"/>
              </w:rPr>
            </w:pPr>
            <w:r>
              <w:rPr>
                <w:rFonts w:ascii="Courier New" w:cs="Courier New" w:eastAsia="Courier New" w:hAnsi="Courier New"/>
                <w:sz w:val="15"/>
                <w:szCs w:val="15"/>
                <w:color w:val="auto"/>
              </w:rPr>
              <w:t>Price</w:t>
            </w:r>
          </w:p>
        </w:tc>
        <w:tc>
          <w:tcPr>
            <w:tcW w:w="800" w:type="dxa"/>
            <w:vAlign w:val="bottom"/>
          </w:tcPr>
          <w:p>
            <w:pPr>
              <w:ind w:left="80"/>
              <w:spacing w:after="0"/>
              <w:rPr>
                <w:sz w:val="20"/>
                <w:szCs w:val="20"/>
                <w:color w:val="auto"/>
              </w:rPr>
            </w:pPr>
            <w:r>
              <w:rPr>
                <w:rFonts w:ascii="Courier New" w:cs="Courier New" w:eastAsia="Courier New" w:hAnsi="Courier New"/>
                <w:sz w:val="15"/>
                <w:szCs w:val="15"/>
                <w:color w:val="auto"/>
              </w:rPr>
              <w:t>Cash</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Shares</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Value</w:t>
            </w:r>
          </w:p>
        </w:tc>
        <w:tc>
          <w:tcPr>
            <w:tcW w:w="660" w:type="dxa"/>
            <w:vAlign w:val="bottom"/>
          </w:tcPr>
          <w:p>
            <w:pPr>
              <w:ind w:left="80"/>
              <w:spacing w:after="0"/>
              <w:rPr>
                <w:sz w:val="20"/>
                <w:szCs w:val="20"/>
                <w:color w:val="auto"/>
              </w:rPr>
            </w:pPr>
            <w:r>
              <w:rPr>
                <w:rFonts w:ascii="Courier New" w:cs="Courier New" w:eastAsia="Courier New" w:hAnsi="Courier New"/>
                <w:sz w:val="15"/>
                <w:szCs w:val="15"/>
                <w:color w:val="auto"/>
              </w:rPr>
              <w:t>Cash</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Shares</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Value</w:t>
            </w:r>
          </w:p>
        </w:tc>
        <w:tc>
          <w:tcPr>
            <w:tcW w:w="680" w:type="dxa"/>
            <w:vAlign w:val="bottom"/>
          </w:tcPr>
          <w:p>
            <w:pPr>
              <w:ind w:left="140"/>
              <w:spacing w:after="0"/>
              <w:rPr>
                <w:sz w:val="20"/>
                <w:szCs w:val="20"/>
                <w:color w:val="auto"/>
              </w:rPr>
            </w:pPr>
            <w:r>
              <w:rPr>
                <w:rFonts w:ascii="Courier New" w:cs="Courier New" w:eastAsia="Courier New" w:hAnsi="Courier New"/>
                <w:sz w:val="15"/>
                <w:szCs w:val="15"/>
                <w:color w:val="auto"/>
              </w:rPr>
              <w:t>Cash</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Shares</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Value</w:t>
            </w:r>
          </w:p>
        </w:tc>
      </w:tr>
      <w:tr>
        <w:trPr>
          <w:trHeight w:val="171"/>
        </w:trPr>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w w:val="96"/>
              </w:rPr>
              <w:t>- ------------</w:t>
            </w:r>
          </w:p>
        </w:tc>
        <w:tc>
          <w:tcPr>
            <w:tcW w:w="284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c>
          <w:tcPr>
            <w:tcW w:w="278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w:t>
            </w:r>
          </w:p>
        </w:tc>
        <w:tc>
          <w:tcPr>
            <w:tcW w:w="2720" w:type="dxa"/>
            <w:vAlign w:val="bottom"/>
            <w:gridSpan w:val="3"/>
          </w:tcPr>
          <w:p>
            <w:pPr>
              <w:ind w:left="240"/>
              <w:spacing w:after="0"/>
              <w:rPr>
                <w:sz w:val="20"/>
                <w:szCs w:val="20"/>
                <w:color w:val="auto"/>
              </w:rPr>
            </w:pPr>
            <w:r>
              <w:rPr>
                <w:rFonts w:ascii="Courier New" w:cs="Courier New" w:eastAsia="Courier New" w:hAnsi="Courier New"/>
                <w:sz w:val="15"/>
                <w:szCs w:val="15"/>
                <w:color w:val="auto"/>
                <w:w w:val="97"/>
              </w:rPr>
              <w:t>----------------------------</w:t>
            </w:r>
          </w:p>
        </w:tc>
      </w:tr>
      <w:tr>
        <w:trPr>
          <w:trHeight w:val="512"/>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$12.00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0.1240</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$2.719</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0.1318</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$2.779</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$2.842</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$13.00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0.1248</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$2.853</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0.1321</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$2.916</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$2.981</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$14.00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0.1254</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$2.986</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0.1324</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$3.052</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$3.121</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$15.00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0.1259</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$3.120</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0.1327</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$3.189</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$3.260</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$16.00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0.1264</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$3.253</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0.1329</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$3.325</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$3.400</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$17.00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0.1268</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$3.387</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0.1331</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$3.461</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$3.539</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*$17.20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0.1269</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$3.414</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0.1331</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$3.489</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$3.567</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$18.00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0.1272</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$3.520</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0.1333</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$3.598</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$3.679</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$19.00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0.1275</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$3.654</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0.1335</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$3.734</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$3.819</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$20.00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0.1278</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$3.787</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0.1336</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$3.871</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$3.958</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$21.00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0.1281</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$3.921</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0.1338</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$4.007</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$4.098</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$22.00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0.1284</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$4.055</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0.1339</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$4.144</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$4.237</w:t>
            </w:r>
          </w:p>
        </w:tc>
      </w:tr>
      <w:tr>
        <w:trPr>
          <w:trHeight w:val="171"/>
        </w:trPr>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$23.00</w:t>
            </w: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$1.231</w:t>
            </w:r>
          </w:p>
        </w:tc>
        <w:tc>
          <w:tcPr>
            <w:tcW w:w="8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0.1286</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$4.188</w:t>
            </w:r>
          </w:p>
        </w:tc>
        <w:tc>
          <w:tcPr>
            <w:tcW w:w="660" w:type="dxa"/>
            <w:vAlign w:val="bottom"/>
          </w:tcPr>
          <w:p>
            <w:pPr>
              <w:spacing w:after="0"/>
              <w:rPr>
                <w:sz w:val="20"/>
                <w:szCs w:val="20"/>
                <w:color w:val="auto"/>
              </w:rPr>
            </w:pPr>
            <w:r>
              <w:rPr>
                <w:rFonts w:ascii="Courier New" w:cs="Courier New" w:eastAsia="Courier New" w:hAnsi="Courier New"/>
                <w:sz w:val="15"/>
                <w:szCs w:val="15"/>
                <w:color w:val="auto"/>
              </w:rPr>
              <w:t>$1.198</w:t>
            </w:r>
          </w:p>
        </w:tc>
        <w:tc>
          <w:tcPr>
            <w:tcW w:w="940" w:type="dxa"/>
            <w:vAlign w:val="bottom"/>
          </w:tcPr>
          <w:p>
            <w:pPr>
              <w:jc w:val="center"/>
              <w:spacing w:after="0"/>
              <w:rPr>
                <w:sz w:val="20"/>
                <w:szCs w:val="20"/>
                <w:color w:val="auto"/>
              </w:rPr>
            </w:pPr>
            <w:r>
              <w:rPr>
                <w:rFonts w:ascii="Courier New" w:cs="Courier New" w:eastAsia="Courier New" w:hAnsi="Courier New"/>
                <w:sz w:val="15"/>
                <w:szCs w:val="15"/>
                <w:color w:val="auto"/>
                <w:w w:val="99"/>
              </w:rPr>
              <w:t>0.1340</w:t>
            </w:r>
          </w:p>
        </w:tc>
        <w:tc>
          <w:tcPr>
            <w:tcW w:w="1180" w:type="dxa"/>
            <w:vAlign w:val="bottom"/>
          </w:tcPr>
          <w:p>
            <w:pPr>
              <w:ind w:left="160"/>
              <w:spacing w:after="0"/>
              <w:rPr>
                <w:sz w:val="20"/>
                <w:szCs w:val="20"/>
                <w:color w:val="auto"/>
              </w:rPr>
            </w:pPr>
            <w:r>
              <w:rPr>
                <w:rFonts w:ascii="Courier New" w:cs="Courier New" w:eastAsia="Courier New" w:hAnsi="Courier New"/>
                <w:sz w:val="15"/>
                <w:szCs w:val="15"/>
                <w:color w:val="auto"/>
              </w:rPr>
              <w:t>$4.280</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$1.167</w:t>
            </w:r>
          </w:p>
        </w:tc>
        <w:tc>
          <w:tcPr>
            <w:tcW w:w="88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0.1396</w:t>
            </w:r>
          </w:p>
        </w:tc>
        <w:tc>
          <w:tcPr>
            <w:tcW w:w="1160" w:type="dxa"/>
            <w:vAlign w:val="bottom"/>
          </w:tcPr>
          <w:p>
            <w:pPr>
              <w:ind w:left="180"/>
              <w:spacing w:after="0"/>
              <w:rPr>
                <w:sz w:val="20"/>
                <w:szCs w:val="20"/>
                <w:color w:val="auto"/>
              </w:rPr>
            </w:pPr>
            <w:r>
              <w:rPr>
                <w:rFonts w:ascii="Courier New" w:cs="Courier New" w:eastAsia="Courier New" w:hAnsi="Courier New"/>
                <w:sz w:val="15"/>
                <w:szCs w:val="15"/>
                <w:color w:val="auto"/>
              </w:rPr>
              <w:t>$4.377</w:t>
            </w:r>
          </w:p>
        </w:tc>
      </w:tr>
      <w:tr>
        <w:trPr>
          <w:trHeight w:val="171"/>
        </w:trPr>
        <w:tc>
          <w:tcPr>
            <w:tcW w:w="1240" w:type="dxa"/>
            <w:vAlign w:val="bottom"/>
          </w:tcPr>
          <w:p>
            <w:pPr>
              <w:spacing w:after="0"/>
              <w:rPr>
                <w:sz w:val="14"/>
                <w:szCs w:val="14"/>
                <w:color w:val="auto"/>
              </w:rPr>
            </w:pPr>
          </w:p>
        </w:tc>
        <w:tc>
          <w:tcPr>
            <w:tcW w:w="1600" w:type="dxa"/>
            <w:vAlign w:val="bottom"/>
            <w:gridSpan w:val="2"/>
          </w:tcPr>
          <w:p>
            <w:pPr>
              <w:spacing w:after="0"/>
              <w:rPr>
                <w:sz w:val="20"/>
                <w:szCs w:val="20"/>
                <w:color w:val="auto"/>
              </w:rPr>
            </w:pPr>
            <w:r>
              <w:rPr>
                <w:rFonts w:ascii="Courier New" w:cs="Courier New" w:eastAsia="Courier New" w:hAnsi="Courier New"/>
                <w:sz w:val="12"/>
                <w:szCs w:val="12"/>
                <w:color w:val="auto"/>
                <w:w w:val="73"/>
              </w:rPr>
              <w:t>------------------------------</w:t>
            </w:r>
          </w:p>
        </w:tc>
        <w:tc>
          <w:tcPr>
            <w:tcW w:w="1240" w:type="dxa"/>
            <w:vAlign w:val="bottom"/>
          </w:tcPr>
          <w:p>
            <w:pPr>
              <w:spacing w:after="0"/>
              <w:rPr>
                <w:sz w:val="14"/>
                <w:szCs w:val="14"/>
                <w:color w:val="auto"/>
              </w:rPr>
            </w:pPr>
          </w:p>
        </w:tc>
        <w:tc>
          <w:tcPr>
            <w:tcW w:w="2780" w:type="dxa"/>
            <w:vAlign w:val="bottom"/>
            <w:gridSpan w:val="3"/>
          </w:tcPr>
          <w:p>
            <w:pPr>
              <w:spacing w:after="0"/>
              <w:rPr>
                <w:sz w:val="20"/>
                <w:szCs w:val="20"/>
                <w:color w:val="auto"/>
              </w:rPr>
            </w:pPr>
            <w:r>
              <w:rPr>
                <w:rFonts w:ascii="Courier New" w:cs="Courier New" w:eastAsia="Courier New" w:hAnsi="Courier New"/>
                <w:sz w:val="15"/>
                <w:szCs w:val="15"/>
                <w:color w:val="auto"/>
              </w:rPr>
              <w:t>-----------------------------</w:t>
            </w:r>
          </w:p>
        </w:tc>
        <w:tc>
          <w:tcPr>
            <w:tcW w:w="2720" w:type="dxa"/>
            <w:vAlign w:val="bottom"/>
            <w:gridSpan w:val="3"/>
          </w:tcPr>
          <w:p>
            <w:pPr>
              <w:ind w:left="60"/>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actual closing sales price of ClearOne common stock on May 3, 2002.</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The table is based on the following assumptions: (1) E.mergent has 5,931,280 shares issued and outstanding (which was the number actually issued and outstanding on May 3, 2002, including 50,317 treasury shares E.mergent intends to issue as employee bonuses prior to the merger), (2) E.mergent does not issue additional shares of common stock prior to the merger except pursuant to the exercise of outstanding stock options; and (3) any exercise of the 606,000 outstanding E.mergent stock options is done in a cashless manner using a price of $3.40 per E.mergent share (which was the closing share price of E.mergent common stock on May 3, 2002) to determine the value of the options extinguished in the exercise.</w:t>
      </w:r>
    </w:p>
    <w:p>
      <w:pPr>
        <w:spacing w:after="0" w:line="178" w:lineRule="exact"/>
        <w:rPr>
          <w:sz w:val="20"/>
          <w:szCs w:val="20"/>
          <w:color w:val="auto"/>
        </w:rPr>
      </w:pPr>
    </w:p>
    <w:p>
      <w:pPr>
        <w:jc w:val="both"/>
        <w:ind w:right="3299" w:firstLine="710"/>
        <w:spacing w:after="0" w:line="264" w:lineRule="auto"/>
        <w:rPr>
          <w:sz w:val="20"/>
          <w:szCs w:val="20"/>
          <w:color w:val="auto"/>
        </w:rPr>
      </w:pPr>
      <w:r>
        <w:rPr>
          <w:rFonts w:ascii="Courier New" w:cs="Courier New" w:eastAsia="Courier New" w:hAnsi="Courier New"/>
          <w:sz w:val="14"/>
          <w:szCs w:val="14"/>
          <w:color w:val="auto"/>
        </w:rPr>
        <w:t>While the table above shows the approximate exchange amounts resulting from a weighted average price of ClearOne common stock that is between $23 and $12, such weighted average price could be above or below that range. In such</w:t>
      </w:r>
    </w:p>
    <w:p>
      <w:pPr>
        <w:spacing w:after="0" w:line="32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631" w:right="1440" w:bottom="1440" w:gutter="0" w:footer="0" w:header="0"/>
        </w:sectPr>
      </w:pPr>
    </w:p>
    <w:bookmarkStart w:id="57" w:name="page58"/>
    <w:bookmarkEnd w:id="57"/>
    <w:p>
      <w:pPr>
        <w:ind w:right="3219"/>
        <w:spacing w:after="0"/>
        <w:rPr>
          <w:sz w:val="20"/>
          <w:szCs w:val="20"/>
          <w:color w:val="auto"/>
        </w:rPr>
      </w:pPr>
      <w:r>
        <w:rPr>
          <w:rFonts w:ascii="Courier New" w:cs="Courier New" w:eastAsia="Courier New" w:hAnsi="Courier New"/>
          <w:sz w:val="15"/>
          <w:szCs w:val="15"/>
          <w:color w:val="auto"/>
        </w:rPr>
        <w:t>case, the approximate exchange amounts would change based on such price. However, both E.mergent and ClearOne have the right to terminate the merger if the weighted average closing price of ClearOne common stock for the 15 trading days ending one day prior to the date of the scheduled completion of the merger is greater than $23 or less than $14.</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examples given above are estimates based upon assumptions that may or may not be accurate at the effective time of the merger. The actual exchange ratios in the merger may differ from these examples. For example, the exercise of E.mergent stock options with cash instead of through cashless exercises, will have the effect of increasing the number of issued and outstanding E.mergent common stock shares at the time of the merger, thereby reducing the amount of cash and shares of ClearOne common stock that would be exchanged for each E.mergent share.</w:t>
      </w:r>
    </w:p>
    <w:p>
      <w:pPr>
        <w:spacing w:after="0" w:line="177" w:lineRule="exact"/>
        <w:rPr>
          <w:sz w:val="20"/>
          <w:szCs w:val="20"/>
          <w:color w:val="auto"/>
        </w:rPr>
      </w:pPr>
    </w:p>
    <w:p>
      <w:pPr>
        <w:ind w:right="3119" w:firstLine="710"/>
        <w:spacing w:after="0" w:line="260" w:lineRule="auto"/>
        <w:rPr>
          <w:sz w:val="20"/>
          <w:szCs w:val="20"/>
          <w:color w:val="auto"/>
        </w:rPr>
      </w:pPr>
      <w:r>
        <w:rPr>
          <w:rFonts w:ascii="Courier New" w:cs="Courier New" w:eastAsia="Courier New" w:hAnsi="Courier New"/>
          <w:sz w:val="14"/>
          <w:szCs w:val="14"/>
          <w:color w:val="auto"/>
        </w:rPr>
        <w:t>Each share of E.mergent common stock held by E.mergent, ClearOne, or any direct or indirect wholly-owned subsidiary of ClearOne immediately prior to the effective time of the merger will be canceled and extinguished. Fifty thousand three hundred and seventeen (50,317) shares of E.mergent common stock currently held by E.mergent as treasury shares will be issued to E.mergent employees as part of an anticipated bonus prior to completion of the merger and will be treated as issued and outstanding shares at the effective time of the merger.</w:t>
      </w:r>
    </w:p>
    <w:p>
      <w:pPr>
        <w:spacing w:after="0" w:line="163"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The exchange ratios used in the merger will also be adjusted to reflect the effect of any forward stock split, reverse stock split, stock dividend (including any dividend or distribution of securities convertible into ClearOne common stock or E.mergent common stock), extraordinary cash dividend, reorganization, recapitalization, reclassification, combination, exchange of shares or other like changes with respect to ClearOne common stock or E.mergent common stock occurring prior to the effective time of the merger.</w:t>
      </w:r>
    </w:p>
    <w:p>
      <w:pPr>
        <w:spacing w:after="0" w:line="33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Fractional Shares</w:t>
      </w:r>
    </w:p>
    <w:p>
      <w:pPr>
        <w:spacing w:after="0" w:line="174" w:lineRule="exact"/>
        <w:rPr>
          <w:sz w:val="20"/>
          <w:szCs w:val="20"/>
          <w:color w:val="auto"/>
        </w:rPr>
      </w:pPr>
    </w:p>
    <w:p>
      <w:pPr>
        <w:ind w:right="3119" w:firstLine="710"/>
        <w:spacing w:after="0" w:line="260" w:lineRule="auto"/>
        <w:rPr>
          <w:sz w:val="20"/>
          <w:szCs w:val="20"/>
          <w:color w:val="auto"/>
        </w:rPr>
      </w:pPr>
      <w:r>
        <w:rPr>
          <w:rFonts w:ascii="Courier New" w:cs="Courier New" w:eastAsia="Courier New" w:hAnsi="Courier New"/>
          <w:sz w:val="14"/>
          <w:szCs w:val="14"/>
          <w:color w:val="auto"/>
        </w:rPr>
        <w:t>No fractional shares of ClearOne common stock will be issued in connection with the merger. In lieu of a fraction of a share of ClearOne common stock each holder of E.mergent common stock who would otherwise be entitled to receive a fraction of a share of ClearOne common stock will receive an amount of cash, without interest, and rounded to the nearest cent, determined by multiplying such fraction by the average closing price of a share of ClearOne common stock for the ten (10) trading days ending one trading day prior to the date of completion of the merger, as reported on the Nasdaq National Market.</w:t>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Upon completion of the merger, each outstanding option to purchase E.mergent common stock, whether vested or unvested, will be assumed by ClearOne and become an option to purchase that number of shares of ClearOne common stock equal to the number of shares of E.mergent common stock issuable upon the exercise of such E.mergent stock option, multiplied by the option exchange ratio for the merger, rounded down to the nearest whole number of shares. The per share exercise price of each such E.mergent stock option will be adjusted to an exercise price equal to the per share exercise price of such E.mergent stock option divided by the option exchange ratio for the merger, rounded up to the nearest whole cent. All other terms of each E.mergent stock option will be unchanged by the merger. As of May 3, 2002, options to purchase approximately 606,000 shares of E.mergent common stock were outstanding in the aggregate. ClearOne will file a registration statement on Form S-8 to register the shares of ClearOne common stock issuable upon the exercise of E.mergent stock options assumed by ClearOne within 15 business days after the effective time of the merger.</w:t>
      </w:r>
    </w:p>
    <w:p>
      <w:pPr>
        <w:spacing w:after="0" w:line="3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Certificate Exchange Procedures</w:t>
      </w:r>
    </w:p>
    <w:p>
      <w:pPr>
        <w:spacing w:after="0" w:line="174" w:lineRule="exact"/>
        <w:rPr>
          <w:sz w:val="20"/>
          <w:szCs w:val="20"/>
          <w:color w:val="auto"/>
        </w:rPr>
      </w:pPr>
    </w:p>
    <w:p>
      <w:pPr>
        <w:ind w:right="3759" w:firstLine="710"/>
        <w:spacing w:after="0" w:line="264" w:lineRule="auto"/>
        <w:rPr>
          <w:sz w:val="20"/>
          <w:szCs w:val="20"/>
          <w:color w:val="auto"/>
        </w:rPr>
      </w:pPr>
      <w:r>
        <w:rPr>
          <w:rFonts w:ascii="Courier New" w:cs="Courier New" w:eastAsia="Courier New" w:hAnsi="Courier New"/>
          <w:sz w:val="14"/>
          <w:szCs w:val="14"/>
          <w:color w:val="auto"/>
        </w:rPr>
        <w:t>The merger agreement establishes the procedures for the E.mergent stockholders to exchange their stock certificates in the merger, which procedures are described on page 46 of this proxy statement/prospectus.</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E.mergent's Representations and Warranties</w:t>
      </w:r>
    </w:p>
    <w:p>
      <w:pPr>
        <w:spacing w:after="0" w:line="174"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E.mergent made a number of customary representations and warranties to ClearOne in the merger agreement regarding aspects of its business, financial condition, structure and other facts pertinent to the merger. These representations and warranties include representations as to:</w:t>
      </w:r>
    </w:p>
    <w:p>
      <w:pPr>
        <w:spacing w:after="0" w:line="176" w:lineRule="exact"/>
        <w:rPr>
          <w:sz w:val="20"/>
          <w:szCs w:val="20"/>
          <w:color w:val="auto"/>
        </w:rPr>
      </w:pPr>
    </w:p>
    <w:p>
      <w:pPr>
        <w:ind w:left="1060" w:right="3299" w:hanging="359"/>
        <w:spacing w:after="0" w:line="238" w:lineRule="auto"/>
        <w:tabs>
          <w:tab w:leader="none" w:pos="10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corporate organization and qualification to do the business of E.mergent;</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certificates of incorporation and bylaws of E.mergent;</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631" w:right="1440" w:bottom="1140" w:gutter="0" w:footer="0" w:header="0"/>
        </w:sectPr>
      </w:pPr>
    </w:p>
    <w:bookmarkStart w:id="58" w:name="page59"/>
    <w:bookmarkEnd w:id="58"/>
    <w:p>
      <w:pPr>
        <w:ind w:left="1060" w:hanging="359"/>
        <w:spacing w:after="0"/>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capitalization;</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of the merger agreement by E.mergent;</w:t>
      </w:r>
    </w:p>
    <w:p>
      <w:pPr>
        <w:spacing w:after="0" w:line="174"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and third party approvals required to complete the merger and operate the business;</w:t>
      </w:r>
    </w:p>
    <w:p>
      <w:pPr>
        <w:spacing w:after="0" w:line="174" w:lineRule="exact"/>
        <w:rPr>
          <w:rFonts w:ascii="Courier New" w:cs="Courier New" w:eastAsia="Courier New" w:hAnsi="Courier New"/>
          <w:sz w:val="15"/>
          <w:szCs w:val="15"/>
          <w:color w:val="auto"/>
        </w:rPr>
      </w:pPr>
    </w:p>
    <w:p>
      <w:pPr>
        <w:ind w:left="1060" w:right="3219" w:hanging="359"/>
        <w:spacing w:after="0" w:line="238" w:lineRule="auto"/>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E.mergent under applicable laws and contracts in connection with the merger;</w:t>
      </w:r>
    </w:p>
    <w:p>
      <w:pPr>
        <w:spacing w:after="0" w:line="174" w:lineRule="exact"/>
        <w:rPr>
          <w:rFonts w:ascii="Courier New" w:cs="Courier New" w:eastAsia="Courier New" w:hAnsi="Courier New"/>
          <w:sz w:val="15"/>
          <w:szCs w:val="15"/>
          <w:color w:val="auto"/>
        </w:rPr>
      </w:pPr>
    </w:p>
    <w:p>
      <w:pPr>
        <w:ind w:left="1060" w:right="4199" w:hanging="359"/>
        <w:spacing w:after="0" w:line="238" w:lineRule="auto"/>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applicable laws by E.mergent and certain environmental matters pertaining to E.mergent;</w:t>
      </w:r>
    </w:p>
    <w:p>
      <w:pPr>
        <w:spacing w:after="0" w:line="174"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permits required to conduct E.mergent's business and compliance with those permits;</w:t>
      </w:r>
    </w:p>
    <w:p>
      <w:pPr>
        <w:spacing w:after="0" w:line="174" w:lineRule="exact"/>
        <w:rPr>
          <w:rFonts w:ascii="Courier New" w:cs="Courier New" w:eastAsia="Courier New" w:hAnsi="Courier New"/>
          <w:sz w:val="15"/>
          <w:szCs w:val="15"/>
          <w:color w:val="auto"/>
        </w:rPr>
      </w:pPr>
    </w:p>
    <w:p>
      <w:pPr>
        <w:ind w:left="1060" w:right="3479" w:hanging="359"/>
        <w:spacing w:after="0" w:line="238" w:lineRule="auto"/>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filings and reports with the Securities and Exchange Commission;</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financial statements;</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liabilities;</w:t>
      </w:r>
    </w:p>
    <w:p>
      <w:pPr>
        <w:spacing w:after="0" w:line="174"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E.mergent's business since September 30, 2001 and actions taken by E.mergent since September 30, 2001;</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involving E.mergent;</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employee benefit plans;</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labor relations;</w:t>
      </w:r>
    </w:p>
    <w:p>
      <w:pPr>
        <w:spacing w:after="0" w:line="174"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absence of restrictions on the conduct of business by E.mergent;</w:t>
      </w:r>
    </w:p>
    <w:p>
      <w:pPr>
        <w:spacing w:after="0" w:line="180" w:lineRule="exact"/>
        <w:rPr>
          <w:rFonts w:ascii="Courier New" w:cs="Courier New" w:eastAsia="Courier New" w:hAnsi="Courier New"/>
          <w:sz w:val="14"/>
          <w:szCs w:val="14"/>
          <w:color w:val="auto"/>
        </w:rPr>
      </w:pPr>
    </w:p>
    <w:p>
      <w:pPr>
        <w:ind w:left="1060" w:hanging="359"/>
        <w:spacing w:after="0"/>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title to the properties E.mergent owns and leases;</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taxes;</w:t>
      </w:r>
    </w:p>
    <w:p>
      <w:pPr>
        <w:spacing w:after="0" w:line="174" w:lineRule="exact"/>
        <w:rPr>
          <w:rFonts w:ascii="Courier New" w:cs="Courier New" w:eastAsia="Courier New" w:hAnsi="Courier New"/>
          <w:sz w:val="15"/>
          <w:szCs w:val="15"/>
          <w:color w:val="auto"/>
        </w:rPr>
      </w:pPr>
    </w:p>
    <w:p>
      <w:pPr>
        <w:ind w:left="1060" w:right="3299" w:hanging="359"/>
        <w:spacing w:after="0" w:line="238" w:lineRule="auto"/>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required to be made by E.mergent to brokers and agents in connection with the merger;</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intellectual property matters pertaining to E.mergent;</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material contracts;</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opinion of Goldsmith, Agio, Helms;</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insurance coverage;</w:t>
      </w:r>
    </w:p>
    <w:p>
      <w:pPr>
        <w:spacing w:after="0" w:line="174"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vote of E.mergent stockholders required to adopt and approve the merger agreement and approve the merger;</w:t>
      </w:r>
    </w:p>
    <w:p>
      <w:pPr>
        <w:spacing w:after="0" w:line="174"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approvals by the E.mergent board of directors in connection with the merger; and</w:t>
      </w:r>
    </w:p>
    <w:p>
      <w:pPr>
        <w:spacing w:after="0" w:line="174" w:lineRule="exact"/>
        <w:rPr>
          <w:rFonts w:ascii="Courier New" w:cs="Courier New" w:eastAsia="Courier New" w:hAnsi="Courier New"/>
          <w:sz w:val="15"/>
          <w:szCs w:val="15"/>
          <w:color w:val="auto"/>
        </w:rPr>
      </w:pPr>
    </w:p>
    <w:p>
      <w:pPr>
        <w:ind w:left="1060" w:right="3299" w:hanging="359"/>
        <w:spacing w:after="0" w:line="238" w:lineRule="auto"/>
        <w:tabs>
          <w:tab w:leader="none" w:pos="10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supplied by E.mergent in this document and the related registration statement filed by ClearOne.</w:t>
      </w:r>
    </w:p>
    <w:p>
      <w:pPr>
        <w:spacing w:after="0" w:line="175" w:lineRule="exact"/>
        <w:rPr>
          <w:sz w:val="20"/>
          <w:szCs w:val="20"/>
          <w:color w:val="auto"/>
        </w:rPr>
      </w:pPr>
    </w:p>
    <w:p>
      <w:pPr>
        <w:ind w:right="3219" w:firstLine="710"/>
        <w:spacing w:after="0" w:line="238" w:lineRule="auto"/>
        <w:rPr>
          <w:sz w:val="20"/>
          <w:szCs w:val="20"/>
          <w:color w:val="auto"/>
        </w:rPr>
      </w:pPr>
      <w:r>
        <w:rPr>
          <w:rFonts w:ascii="Courier New" w:cs="Courier New" w:eastAsia="Courier New" w:hAnsi="Courier New"/>
          <w:sz w:val="15"/>
          <w:szCs w:val="15"/>
          <w:color w:val="auto"/>
        </w:rPr>
        <w:t>The representations and warranties of E.mergent contained in the merger agreement expire at the completion of the merger.</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ClearOne's Representations and Warranties</w:t>
      </w:r>
    </w:p>
    <w:p>
      <w:pPr>
        <w:spacing w:after="0" w:line="174" w:lineRule="exact"/>
        <w:rPr>
          <w:sz w:val="20"/>
          <w:szCs w:val="20"/>
          <w:color w:val="auto"/>
        </w:rPr>
      </w:pPr>
    </w:p>
    <w:p>
      <w:pPr>
        <w:ind w:right="3219" w:firstLine="710"/>
        <w:spacing w:after="0" w:line="262" w:lineRule="auto"/>
        <w:rPr>
          <w:sz w:val="20"/>
          <w:szCs w:val="20"/>
          <w:color w:val="auto"/>
        </w:rPr>
      </w:pPr>
      <w:r>
        <w:rPr>
          <w:rFonts w:ascii="Courier New" w:cs="Courier New" w:eastAsia="Courier New" w:hAnsi="Courier New"/>
          <w:sz w:val="14"/>
          <w:szCs w:val="14"/>
          <w:color w:val="auto"/>
        </w:rPr>
        <w:t>ClearOne and Tundra have made a number of customary representations and warranties to E.mergent in the merger agreement regarding aspects of ClearOne's business, financial condition, structure and other facts pertinent to the merger. These representations and warranties include representations as to:</w:t>
      </w:r>
    </w:p>
    <w:p>
      <w:pPr>
        <w:spacing w:after="0" w:line="161" w:lineRule="exact"/>
        <w:rPr>
          <w:sz w:val="20"/>
          <w:szCs w:val="20"/>
          <w:color w:val="auto"/>
        </w:rPr>
      </w:pPr>
    </w:p>
    <w:p>
      <w:pPr>
        <w:ind w:left="1060" w:right="3659" w:hanging="359"/>
        <w:spacing w:after="0" w:line="238" w:lineRule="auto"/>
        <w:tabs>
          <w:tab w:leader="none" w:pos="106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corporate organization and qualification to do business of ClearOne;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628" w:right="1440" w:bottom="1440" w:gutter="0" w:footer="0" w:header="0"/>
        </w:sectPr>
      </w:pPr>
    </w:p>
    <w:bookmarkStart w:id="59" w:name="page60"/>
    <w:bookmarkEnd w:id="59"/>
    <w:p>
      <w:pPr>
        <w:ind w:left="1069" w:right="3579" w:hanging="359"/>
        <w:spacing w:after="0" w:line="238" w:lineRule="auto"/>
        <w:tabs>
          <w:tab w:leader="none" w:pos="106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certificate of incorporation and bylaws of ClearOne and its subsidiaries;</w:t>
      </w:r>
    </w:p>
    <w:p>
      <w:pPr>
        <w:spacing w:after="0" w:line="172" w:lineRule="exact"/>
        <w:rPr>
          <w:rFonts w:ascii="Courier New" w:cs="Courier New" w:eastAsia="Courier New" w:hAnsi="Courier New"/>
          <w:sz w:val="15"/>
          <w:szCs w:val="15"/>
          <w:color w:val="auto"/>
        </w:rPr>
      </w:pPr>
    </w:p>
    <w:p>
      <w:pPr>
        <w:ind w:left="1069" w:hanging="359"/>
        <w:spacing w:after="0"/>
        <w:tabs>
          <w:tab w:leader="none" w:pos="106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ClearOne's capitalization;</w:t>
      </w:r>
    </w:p>
    <w:p>
      <w:pPr>
        <w:spacing w:after="0" w:line="171" w:lineRule="exact"/>
        <w:rPr>
          <w:rFonts w:ascii="Courier New" w:cs="Courier New" w:eastAsia="Courier New" w:hAnsi="Courier New"/>
          <w:sz w:val="15"/>
          <w:szCs w:val="15"/>
          <w:color w:val="auto"/>
        </w:rPr>
      </w:pPr>
    </w:p>
    <w:p>
      <w:pPr>
        <w:ind w:left="1069" w:hanging="359"/>
        <w:spacing w:after="0"/>
        <w:tabs>
          <w:tab w:leader="none" w:pos="106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authorization of the merger agreement by ClearOne and Tundra;</w:t>
      </w:r>
    </w:p>
    <w:p>
      <w:pPr>
        <w:spacing w:after="0" w:line="174" w:lineRule="exact"/>
        <w:rPr>
          <w:rFonts w:ascii="Courier New" w:cs="Courier New" w:eastAsia="Courier New" w:hAnsi="Courier New"/>
          <w:sz w:val="15"/>
          <w:szCs w:val="15"/>
          <w:color w:val="auto"/>
        </w:rPr>
      </w:pPr>
    </w:p>
    <w:p>
      <w:pPr>
        <w:ind w:left="1069" w:right="3839" w:hanging="359"/>
        <w:spacing w:after="0" w:line="238" w:lineRule="auto"/>
        <w:tabs>
          <w:tab w:leader="none" w:pos="106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regulatory and third party approvals and filings required to complete the merger;</w:t>
      </w:r>
    </w:p>
    <w:p>
      <w:pPr>
        <w:spacing w:after="0" w:line="174" w:lineRule="exact"/>
        <w:rPr>
          <w:rFonts w:ascii="Courier New" w:cs="Courier New" w:eastAsia="Courier New" w:hAnsi="Courier New"/>
          <w:sz w:val="15"/>
          <w:szCs w:val="15"/>
          <w:color w:val="auto"/>
        </w:rPr>
      </w:pPr>
    </w:p>
    <w:p>
      <w:pPr>
        <w:ind w:left="1069" w:right="3119" w:hanging="359"/>
        <w:spacing w:after="0" w:line="238" w:lineRule="auto"/>
        <w:tabs>
          <w:tab w:leader="none" w:pos="106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ClearOne under applicable laws in connection with the merger;</w:t>
      </w:r>
    </w:p>
    <w:p>
      <w:pPr>
        <w:spacing w:after="0" w:line="174" w:lineRule="exact"/>
        <w:rPr>
          <w:rFonts w:ascii="Courier New" w:cs="Courier New" w:eastAsia="Courier New" w:hAnsi="Courier New"/>
          <w:sz w:val="15"/>
          <w:szCs w:val="15"/>
          <w:color w:val="auto"/>
        </w:rPr>
      </w:pPr>
    </w:p>
    <w:p>
      <w:pPr>
        <w:ind w:left="1069" w:right="3579" w:hanging="359"/>
        <w:spacing w:after="0" w:line="238" w:lineRule="auto"/>
        <w:tabs>
          <w:tab w:leader="none" w:pos="106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ClearOne's filings and reports with the Securities and Exchange Commission;</w:t>
      </w:r>
    </w:p>
    <w:p>
      <w:pPr>
        <w:spacing w:after="0" w:line="172" w:lineRule="exact"/>
        <w:rPr>
          <w:rFonts w:ascii="Courier New" w:cs="Courier New" w:eastAsia="Courier New" w:hAnsi="Courier New"/>
          <w:sz w:val="15"/>
          <w:szCs w:val="15"/>
          <w:color w:val="auto"/>
        </w:rPr>
      </w:pPr>
    </w:p>
    <w:p>
      <w:pPr>
        <w:ind w:left="1069" w:hanging="359"/>
        <w:spacing w:after="0"/>
        <w:tabs>
          <w:tab w:leader="none" w:pos="106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ClearOne's financial statements;</w:t>
      </w:r>
    </w:p>
    <w:p>
      <w:pPr>
        <w:spacing w:after="0" w:line="174" w:lineRule="exact"/>
        <w:rPr>
          <w:rFonts w:ascii="Courier New" w:cs="Courier New" w:eastAsia="Courier New" w:hAnsi="Courier New"/>
          <w:sz w:val="15"/>
          <w:szCs w:val="15"/>
          <w:color w:val="auto"/>
        </w:rPr>
      </w:pPr>
    </w:p>
    <w:p>
      <w:pPr>
        <w:ind w:left="1069" w:right="3119" w:hanging="359"/>
        <w:spacing w:after="0" w:line="238" w:lineRule="auto"/>
        <w:tabs>
          <w:tab w:leader="none" w:pos="106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absence of material adverse changes in ClearOne's business since September 30, 2001;</w:t>
      </w:r>
    </w:p>
    <w:p>
      <w:pPr>
        <w:spacing w:after="0" w:line="172" w:lineRule="exact"/>
        <w:rPr>
          <w:rFonts w:ascii="Courier New" w:cs="Courier New" w:eastAsia="Courier New" w:hAnsi="Courier New"/>
          <w:sz w:val="15"/>
          <w:szCs w:val="15"/>
          <w:color w:val="auto"/>
        </w:rPr>
      </w:pPr>
    </w:p>
    <w:p>
      <w:pPr>
        <w:ind w:left="1069" w:hanging="359"/>
        <w:spacing w:after="0"/>
        <w:tabs>
          <w:tab w:leader="none" w:pos="106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involving ClearOne;</w:t>
      </w:r>
    </w:p>
    <w:p>
      <w:pPr>
        <w:spacing w:after="0" w:line="171" w:lineRule="exact"/>
        <w:rPr>
          <w:rFonts w:ascii="Courier New" w:cs="Courier New" w:eastAsia="Courier New" w:hAnsi="Courier New"/>
          <w:sz w:val="15"/>
          <w:szCs w:val="15"/>
          <w:color w:val="auto"/>
        </w:rPr>
      </w:pPr>
    </w:p>
    <w:p>
      <w:pPr>
        <w:ind w:left="1069" w:hanging="359"/>
        <w:spacing w:after="0"/>
        <w:tabs>
          <w:tab w:leader="none" w:pos="106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aspects of Tundra;</w:t>
      </w:r>
    </w:p>
    <w:p>
      <w:pPr>
        <w:spacing w:after="0" w:line="174" w:lineRule="exact"/>
        <w:rPr>
          <w:rFonts w:ascii="Courier New" w:cs="Courier New" w:eastAsia="Courier New" w:hAnsi="Courier New"/>
          <w:sz w:val="15"/>
          <w:szCs w:val="15"/>
          <w:color w:val="auto"/>
        </w:rPr>
      </w:pPr>
    </w:p>
    <w:p>
      <w:pPr>
        <w:ind w:left="1069" w:right="3399" w:hanging="359"/>
        <w:spacing w:after="0" w:line="238" w:lineRule="auto"/>
        <w:tabs>
          <w:tab w:leader="none" w:pos="106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information supplied by ClearOne in this document and the related registration statement filed by ClearOne; and</w:t>
      </w:r>
    </w:p>
    <w:p>
      <w:pPr>
        <w:spacing w:after="0" w:line="172" w:lineRule="exact"/>
        <w:rPr>
          <w:rFonts w:ascii="Courier New" w:cs="Courier New" w:eastAsia="Courier New" w:hAnsi="Courier New"/>
          <w:sz w:val="15"/>
          <w:szCs w:val="15"/>
          <w:color w:val="auto"/>
        </w:rPr>
      </w:pPr>
    </w:p>
    <w:p>
      <w:pPr>
        <w:ind w:left="1069" w:hanging="359"/>
        <w:spacing w:after="0"/>
        <w:tabs>
          <w:tab w:leader="none" w:pos="1069"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liabilities of ClearOne.</w:t>
      </w:r>
    </w:p>
    <w:p>
      <w:pPr>
        <w:spacing w:after="0" w:line="174" w:lineRule="exact"/>
        <w:rPr>
          <w:sz w:val="20"/>
          <w:szCs w:val="20"/>
          <w:color w:val="auto"/>
        </w:rPr>
      </w:pPr>
    </w:p>
    <w:p>
      <w:pPr>
        <w:ind w:left="9" w:right="3299" w:firstLine="710"/>
        <w:spacing w:after="0" w:line="238" w:lineRule="auto"/>
        <w:rPr>
          <w:sz w:val="20"/>
          <w:szCs w:val="20"/>
          <w:color w:val="auto"/>
        </w:rPr>
      </w:pPr>
      <w:r>
        <w:rPr>
          <w:rFonts w:ascii="Courier New" w:cs="Courier New" w:eastAsia="Courier New" w:hAnsi="Courier New"/>
          <w:sz w:val="15"/>
          <w:szCs w:val="15"/>
          <w:color w:val="auto"/>
        </w:rPr>
        <w:t>The representations and warranties of ClearOne and Tundra contained in the merger agreement expire at the completion of the merger.</w:t>
      </w:r>
    </w:p>
    <w:p>
      <w:pPr>
        <w:spacing w:after="0" w:line="175" w:lineRule="exact"/>
        <w:rPr>
          <w:sz w:val="20"/>
          <w:szCs w:val="20"/>
          <w:color w:val="auto"/>
        </w:rPr>
      </w:pPr>
    </w:p>
    <w:p>
      <w:pPr>
        <w:ind w:left="9" w:right="3119" w:firstLine="710"/>
        <w:spacing w:after="0" w:line="258" w:lineRule="auto"/>
        <w:rPr>
          <w:sz w:val="20"/>
          <w:szCs w:val="20"/>
          <w:color w:val="auto"/>
        </w:rPr>
      </w:pPr>
      <w:r>
        <w:rPr>
          <w:rFonts w:ascii="Courier New" w:cs="Courier New" w:eastAsia="Courier New" w:hAnsi="Courier New"/>
          <w:sz w:val="14"/>
          <w:szCs w:val="14"/>
          <w:color w:val="auto"/>
        </w:rPr>
        <w:t>The representations and warranties contained in the merger agreement are complicated and not easily summarized. You are urged to carefully read Articles</w:t>
      </w:r>
    </w:p>
    <w:p>
      <w:pPr>
        <w:ind w:left="9" w:right="3299" w:hanging="9"/>
        <w:spacing w:after="0" w:line="239" w:lineRule="auto"/>
        <w:tabs>
          <w:tab w:leader="none" w:pos="275"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III of the merger agreement entitled "Representations and Warranties of Company" and "Representations and Warranties of Parent and Merger Sub," respectively.</w:t>
      </w:r>
    </w:p>
    <w:p>
      <w:pPr>
        <w:spacing w:after="0" w:line="34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E.mergent's Conduct of Business Before Completion of the Merger</w:t>
      </w:r>
    </w:p>
    <w:p>
      <w:pPr>
        <w:spacing w:after="0" w:line="174" w:lineRule="exact"/>
        <w:rPr>
          <w:sz w:val="20"/>
          <w:szCs w:val="20"/>
          <w:color w:val="auto"/>
        </w:rPr>
      </w:pPr>
    </w:p>
    <w:p>
      <w:pPr>
        <w:ind w:left="9" w:right="3399" w:firstLine="710"/>
        <w:spacing w:after="0" w:line="239" w:lineRule="auto"/>
        <w:rPr>
          <w:sz w:val="20"/>
          <w:szCs w:val="20"/>
          <w:color w:val="auto"/>
        </w:rPr>
      </w:pPr>
      <w:r>
        <w:rPr>
          <w:rFonts w:ascii="Courier New" w:cs="Courier New" w:eastAsia="Courier New" w:hAnsi="Courier New"/>
          <w:sz w:val="15"/>
          <w:szCs w:val="15"/>
          <w:color w:val="auto"/>
        </w:rPr>
        <w:t>Under the terms of the merger agreement, E.mergent agreed that, until the earlier of the completion of the merger or termination of the merger agreement, or unless ClearOne consents in writing, E.mergent will:</w:t>
      </w:r>
    </w:p>
    <w:p>
      <w:pPr>
        <w:spacing w:after="0" w:line="175" w:lineRule="exact"/>
        <w:rPr>
          <w:sz w:val="20"/>
          <w:szCs w:val="20"/>
          <w:color w:val="auto"/>
        </w:rPr>
      </w:pPr>
    </w:p>
    <w:p>
      <w:pPr>
        <w:jc w:val="both"/>
        <w:ind w:left="1069" w:right="3219" w:hanging="359"/>
        <w:spacing w:after="0" w:line="264" w:lineRule="auto"/>
        <w:tabs>
          <w:tab w:leader="none" w:pos="1069"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carry on its business in the usual, regular and ordinary course, in substantially the same manner as it was conducted prior to the date of the merger agreement and in compliance with all applicable laws;</w:t>
      </w:r>
    </w:p>
    <w:p>
      <w:pPr>
        <w:spacing w:after="0" w:line="156" w:lineRule="exact"/>
        <w:rPr>
          <w:rFonts w:ascii="Courier New" w:cs="Courier New" w:eastAsia="Courier New" w:hAnsi="Courier New"/>
          <w:sz w:val="14"/>
          <w:szCs w:val="14"/>
          <w:color w:val="auto"/>
        </w:rPr>
      </w:pPr>
    </w:p>
    <w:p>
      <w:pPr>
        <w:ind w:left="1069" w:hanging="359"/>
        <w:spacing w:after="0"/>
        <w:tabs>
          <w:tab w:leader="none" w:pos="106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its debts and taxes when due; and</w:t>
      </w:r>
    </w:p>
    <w:p>
      <w:pPr>
        <w:spacing w:after="0" w:line="174" w:lineRule="exact"/>
        <w:rPr>
          <w:rFonts w:ascii="Courier New" w:cs="Courier New" w:eastAsia="Courier New" w:hAnsi="Courier New"/>
          <w:sz w:val="15"/>
          <w:szCs w:val="15"/>
          <w:color w:val="auto"/>
        </w:rPr>
      </w:pPr>
    </w:p>
    <w:p>
      <w:pPr>
        <w:ind w:left="1069" w:right="3299" w:hanging="359"/>
        <w:spacing w:after="0" w:line="239" w:lineRule="auto"/>
        <w:tabs>
          <w:tab w:leader="none" w:pos="106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 or perform other material obligations when due; and use its commercially reasonable efforts consistent with past practices and policies to:</w:t>
      </w:r>
    </w:p>
    <w:p>
      <w:pPr>
        <w:spacing w:after="0" w:line="172" w:lineRule="exact"/>
        <w:rPr>
          <w:rFonts w:ascii="Courier New" w:cs="Courier New" w:eastAsia="Courier New" w:hAnsi="Courier New"/>
          <w:sz w:val="15"/>
          <w:szCs w:val="15"/>
          <w:color w:val="auto"/>
        </w:rPr>
      </w:pPr>
    </w:p>
    <w:p>
      <w:pPr>
        <w:ind w:left="1069" w:hanging="359"/>
        <w:spacing w:after="0"/>
        <w:tabs>
          <w:tab w:leader="none" w:pos="106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preserve intact its present business organization;</w:t>
      </w:r>
    </w:p>
    <w:p>
      <w:pPr>
        <w:spacing w:after="0" w:line="174" w:lineRule="exact"/>
        <w:rPr>
          <w:rFonts w:ascii="Courier New" w:cs="Courier New" w:eastAsia="Courier New" w:hAnsi="Courier New"/>
          <w:sz w:val="15"/>
          <w:szCs w:val="15"/>
          <w:color w:val="auto"/>
        </w:rPr>
      </w:pPr>
    </w:p>
    <w:p>
      <w:pPr>
        <w:ind w:left="1069" w:right="3299" w:hanging="359"/>
        <w:spacing w:after="0" w:line="238" w:lineRule="auto"/>
        <w:tabs>
          <w:tab w:leader="none" w:pos="106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 available the services of its present officers and employees; and</w:t>
      </w:r>
    </w:p>
    <w:p>
      <w:pPr>
        <w:spacing w:after="0" w:line="174" w:lineRule="exact"/>
        <w:rPr>
          <w:rFonts w:ascii="Courier New" w:cs="Courier New" w:eastAsia="Courier New" w:hAnsi="Courier New"/>
          <w:sz w:val="15"/>
          <w:szCs w:val="15"/>
          <w:color w:val="auto"/>
        </w:rPr>
      </w:pPr>
    </w:p>
    <w:p>
      <w:pPr>
        <w:ind w:left="1069" w:right="3219" w:hanging="359"/>
        <w:spacing w:after="0" w:line="239" w:lineRule="auto"/>
        <w:tabs>
          <w:tab w:leader="none" w:pos="1069"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preserve its relationships with customers, suppliers, distributors, licensors, licensees and others with which it has significant business dealings.</w:t>
      </w:r>
    </w:p>
    <w:p>
      <w:pPr>
        <w:spacing w:after="0" w:line="175" w:lineRule="exact"/>
        <w:rPr>
          <w:sz w:val="20"/>
          <w:szCs w:val="20"/>
          <w:color w:val="auto"/>
        </w:rPr>
      </w:pPr>
    </w:p>
    <w:p>
      <w:pPr>
        <w:ind w:left="9" w:right="3299" w:firstLine="710"/>
        <w:spacing w:after="0"/>
        <w:rPr>
          <w:sz w:val="20"/>
          <w:szCs w:val="20"/>
          <w:color w:val="auto"/>
        </w:rPr>
      </w:pPr>
      <w:r>
        <w:rPr>
          <w:rFonts w:ascii="Courier New" w:cs="Courier New" w:eastAsia="Courier New" w:hAnsi="Courier New"/>
          <w:sz w:val="15"/>
          <w:szCs w:val="15"/>
          <w:color w:val="auto"/>
        </w:rPr>
        <w:t>Under the terms of the merger agreement, E.mergent also agreed that, until the earlier of the completion of the merger or termination of the merger agreement, or unless ClearOne consents in writing or specific notification procedures are followed by E.mergent, E.mergent will comply with certain specific restrictions relating to the operation of its business, including restrictions relating to the following:</w:t>
      </w:r>
    </w:p>
    <w:p>
      <w:pPr>
        <w:spacing w:after="0" w:line="175" w:lineRule="exact"/>
        <w:rPr>
          <w:sz w:val="20"/>
          <w:szCs w:val="20"/>
          <w:color w:val="auto"/>
        </w:rPr>
      </w:pPr>
    </w:p>
    <w:p>
      <w:pPr>
        <w:ind w:left="1069" w:right="3839" w:hanging="359"/>
        <w:spacing w:after="0" w:line="238" w:lineRule="auto"/>
        <w:tabs>
          <w:tab w:leader="none" w:pos="106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with respect to E.mergent restricted stock and stock options;</w:t>
      </w:r>
    </w:p>
    <w:p>
      <w:pPr>
        <w:spacing w:after="0" w:line="172" w:lineRule="exact"/>
        <w:rPr>
          <w:rFonts w:ascii="Courier New" w:cs="Courier New" w:eastAsia="Courier New" w:hAnsi="Courier New"/>
          <w:sz w:val="15"/>
          <w:szCs w:val="15"/>
          <w:color w:val="auto"/>
        </w:rPr>
      </w:pPr>
    </w:p>
    <w:p>
      <w:pPr>
        <w:ind w:left="1069" w:hanging="359"/>
        <w:spacing w:after="0"/>
        <w:tabs>
          <w:tab w:leader="none" w:pos="106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granting or amendment of severance and termination payments;</w:t>
      </w:r>
    </w:p>
    <w:p>
      <w:pPr>
        <w:spacing w:after="0" w:line="171" w:lineRule="exact"/>
        <w:rPr>
          <w:rFonts w:ascii="Courier New" w:cs="Courier New" w:eastAsia="Courier New" w:hAnsi="Courier New"/>
          <w:sz w:val="15"/>
          <w:szCs w:val="15"/>
          <w:color w:val="auto"/>
        </w:rPr>
      </w:pPr>
    </w:p>
    <w:p>
      <w:pPr>
        <w:ind w:left="1069" w:hanging="359"/>
        <w:spacing w:after="0"/>
        <w:tabs>
          <w:tab w:leader="none" w:pos="1069"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transfer or license of intellectual property;</w:t>
      </w:r>
    </w:p>
    <w:p>
      <w:pPr>
        <w:spacing w:after="0" w:line="171"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8"/>
          </w:cols>
          <w:pgMar w:left="231" w:top="631" w:right="1440" w:bottom="1440" w:gutter="0" w:footer="0" w:header="0"/>
        </w:sectPr>
      </w:pPr>
    </w:p>
    <w:bookmarkStart w:id="60" w:name="page61"/>
    <w:bookmarkEnd w:id="60"/>
    <w:p>
      <w:pPr>
        <w:ind w:left="1060" w:right="3399" w:hanging="359"/>
        <w:spacing w:after="0" w:line="238" w:lineRule="auto"/>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declaration or payment of dividends or other distributions on E.mergent capital stock;</w:t>
      </w:r>
    </w:p>
    <w:p>
      <w:pPr>
        <w:spacing w:after="0" w:line="174" w:lineRule="exact"/>
        <w:rPr>
          <w:rFonts w:ascii="Courier New" w:cs="Courier New" w:eastAsia="Courier New" w:hAnsi="Courier New"/>
          <w:sz w:val="15"/>
          <w:szCs w:val="15"/>
          <w:color w:val="auto"/>
        </w:rPr>
      </w:pPr>
    </w:p>
    <w:p>
      <w:pPr>
        <w:ind w:left="1060" w:right="3659" w:hanging="359"/>
        <w:spacing w:after="0" w:line="238" w:lineRule="auto"/>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repurchase, redemption or acquisition of E.mergent capital stock;</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pledge or encumbrance of capital stock;</w:t>
      </w:r>
    </w:p>
    <w:p>
      <w:pPr>
        <w:spacing w:after="0" w:line="174" w:lineRule="exact"/>
        <w:rPr>
          <w:rFonts w:ascii="Courier New" w:cs="Courier New" w:eastAsia="Courier New" w:hAnsi="Courier New"/>
          <w:sz w:val="15"/>
          <w:szCs w:val="15"/>
          <w:color w:val="auto"/>
        </w:rPr>
      </w:pPr>
    </w:p>
    <w:p>
      <w:pPr>
        <w:ind w:left="1060" w:right="3399" w:hanging="359"/>
        <w:spacing w:after="0" w:line="238" w:lineRule="auto"/>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modification of the certificate of incorporation or bylaws of E.mergent or its subsidiaries;</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of other business entities;</w:t>
      </w:r>
    </w:p>
    <w:p>
      <w:pPr>
        <w:spacing w:after="0" w:line="174" w:lineRule="exact"/>
        <w:rPr>
          <w:rFonts w:ascii="Courier New" w:cs="Courier New" w:eastAsia="Courier New" w:hAnsi="Courier New"/>
          <w:sz w:val="15"/>
          <w:szCs w:val="15"/>
          <w:color w:val="auto"/>
        </w:rPr>
      </w:pPr>
    </w:p>
    <w:p>
      <w:pPr>
        <w:ind w:left="1060" w:right="3659" w:hanging="359"/>
        <w:spacing w:after="0" w:line="238" w:lineRule="auto"/>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entering into of joint ventures, strategic partnerships or alliances;</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sale, lease, license and disposition of assets;</w:t>
      </w:r>
    </w:p>
    <w:p>
      <w:pPr>
        <w:spacing w:after="0" w:line="174" w:lineRule="exact"/>
        <w:rPr>
          <w:rFonts w:ascii="Courier New" w:cs="Courier New" w:eastAsia="Courier New" w:hAnsi="Courier New"/>
          <w:sz w:val="15"/>
          <w:szCs w:val="15"/>
          <w:color w:val="auto"/>
        </w:rPr>
      </w:pPr>
    </w:p>
    <w:p>
      <w:pPr>
        <w:ind w:left="1060" w:right="3579" w:hanging="359"/>
        <w:spacing w:after="0" w:line="239" w:lineRule="auto"/>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modification or termination of material contracts affecting E.mergent properties, or creation of material liabilities with regard to such properties;</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incurrence of indebtedness;</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adoption or amendment of employee benefit plans;</w:t>
      </w:r>
    </w:p>
    <w:p>
      <w:pPr>
        <w:spacing w:after="0" w:line="174" w:lineRule="exact"/>
        <w:rPr>
          <w:rFonts w:ascii="Courier New" w:cs="Courier New" w:eastAsia="Courier New" w:hAnsi="Courier New"/>
          <w:sz w:val="15"/>
          <w:szCs w:val="15"/>
          <w:color w:val="auto"/>
        </w:rPr>
      </w:pPr>
    </w:p>
    <w:p>
      <w:pPr>
        <w:ind w:left="1060" w:right="3119" w:hanging="359"/>
        <w:spacing w:after="0" w:line="238" w:lineRule="auto"/>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entering into of employment or collective bargaining agreements, payment of bonuses or increasing compensation rates;</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or settlement of liabilities;</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waivers or modifications to existing confidentiality agreements;</w:t>
      </w:r>
    </w:p>
    <w:p>
      <w:pPr>
        <w:spacing w:after="0" w:line="174" w:lineRule="exact"/>
        <w:rPr>
          <w:rFonts w:ascii="Courier New" w:cs="Courier New" w:eastAsia="Courier New" w:hAnsi="Courier New"/>
          <w:sz w:val="15"/>
          <w:szCs w:val="15"/>
          <w:color w:val="auto"/>
        </w:rPr>
      </w:pPr>
    </w:p>
    <w:p>
      <w:pPr>
        <w:ind w:left="1060" w:right="3579" w:hanging="359"/>
        <w:spacing w:after="0" w:line="238" w:lineRule="auto"/>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modification or termination of material contracts or waivers of material rights under material contracts;</w:t>
      </w:r>
    </w:p>
    <w:p>
      <w:pPr>
        <w:spacing w:after="0" w:line="174" w:lineRule="exact"/>
        <w:rPr>
          <w:rFonts w:ascii="Courier New" w:cs="Courier New" w:eastAsia="Courier New" w:hAnsi="Courier New"/>
          <w:sz w:val="15"/>
          <w:szCs w:val="15"/>
          <w:color w:val="auto"/>
        </w:rPr>
      </w:pPr>
    </w:p>
    <w:p>
      <w:pPr>
        <w:ind w:left="1060" w:right="3919" w:hanging="359"/>
        <w:spacing w:after="0" w:line="238" w:lineRule="auto"/>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revaluation of any assets or change accounting methods, principals or practices;</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any tax elections; and</w:t>
      </w:r>
    </w:p>
    <w:p>
      <w:pPr>
        <w:spacing w:after="0" w:line="174" w:lineRule="exact"/>
        <w:rPr>
          <w:rFonts w:ascii="Courier New" w:cs="Courier New" w:eastAsia="Courier New" w:hAnsi="Courier New"/>
          <w:sz w:val="15"/>
          <w:szCs w:val="15"/>
          <w:color w:val="auto"/>
        </w:rPr>
      </w:pPr>
    </w:p>
    <w:p>
      <w:pPr>
        <w:ind w:left="1060" w:right="3299" w:hanging="359"/>
        <w:spacing w:after="0" w:line="238" w:lineRule="auto"/>
        <w:tabs>
          <w:tab w:leader="none" w:pos="10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any agreement or commitment expenditures outside the ordinary course of business in excess of $500,000.</w:t>
      </w:r>
    </w:p>
    <w:p>
      <w:pPr>
        <w:spacing w:after="0" w:line="175" w:lineRule="exact"/>
        <w:rPr>
          <w:sz w:val="20"/>
          <w:szCs w:val="20"/>
          <w:color w:val="auto"/>
        </w:rPr>
      </w:pPr>
    </w:p>
    <w:p>
      <w:pPr>
        <w:jc w:val="both"/>
        <w:ind w:right="3399" w:firstLine="710"/>
        <w:spacing w:after="0" w:line="264" w:lineRule="auto"/>
        <w:rPr>
          <w:sz w:val="20"/>
          <w:szCs w:val="20"/>
          <w:color w:val="auto"/>
        </w:rPr>
      </w:pPr>
      <w:r>
        <w:rPr>
          <w:rFonts w:ascii="Courier New" w:cs="Courier New" w:eastAsia="Courier New" w:hAnsi="Courier New"/>
          <w:sz w:val="14"/>
          <w:szCs w:val="14"/>
          <w:color w:val="auto"/>
        </w:rPr>
        <w:t>The agreements related to the conduct of E.mergent's business in the merger agreement are complicated and not easily summarized. You are urged to carefully read Article IV of the merger agreement entitled "Interim Conduct."</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ClearOne's Conduct of Business Before Completion of the Merger</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Under the terms of the merger agreement, ClearOne agreed that, until the earlier of the completion of the merger or termination of the merger agreement, or unless E.mergent consents in writing, ClearOne will not declare, set aside or pay any dividends or other distributions unless the consideration given in the merger is appropriately adjusted.</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Material Covenants</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Recommendation by E.mergent Board of Directors</w:t>
      </w:r>
    </w:p>
    <w:p>
      <w:pPr>
        <w:spacing w:after="0" w:line="174" w:lineRule="exact"/>
        <w:rPr>
          <w:sz w:val="20"/>
          <w:szCs w:val="20"/>
          <w:color w:val="auto"/>
        </w:rPr>
      </w:pPr>
    </w:p>
    <w:p>
      <w:pPr>
        <w:ind w:right="3579" w:firstLine="710"/>
        <w:spacing w:after="0" w:line="239" w:lineRule="auto"/>
        <w:rPr>
          <w:sz w:val="20"/>
          <w:szCs w:val="20"/>
          <w:color w:val="auto"/>
        </w:rPr>
      </w:pPr>
      <w:r>
        <w:rPr>
          <w:rFonts w:ascii="Courier New" w:cs="Courier New" w:eastAsia="Courier New" w:hAnsi="Courier New"/>
          <w:sz w:val="15"/>
          <w:szCs w:val="15"/>
          <w:color w:val="auto"/>
        </w:rPr>
        <w:t>Under the terms of the merger agreement, E.mergent has agreed that, subject to the merger agreement's provisions regarding withdrawal of the E.mergent board of directors' recommendation regarding the merger:</w:t>
      </w:r>
    </w:p>
    <w:p>
      <w:pPr>
        <w:spacing w:after="0" w:line="175" w:lineRule="exact"/>
        <w:rPr>
          <w:sz w:val="20"/>
          <w:szCs w:val="20"/>
          <w:color w:val="auto"/>
        </w:rPr>
      </w:pPr>
    </w:p>
    <w:p>
      <w:pPr>
        <w:ind w:left="1060" w:right="3219" w:hanging="359"/>
        <w:spacing w:after="0" w:line="239" w:lineRule="auto"/>
        <w:tabs>
          <w:tab w:leader="none" w:pos="10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its board of directors will recommend by unanimous vote of its non-interested directors that its stockholders vote in favor of and adopt and approve the merger agreement and the merger at the E.mergent special stockholders' meeting;</w:t>
      </w:r>
    </w:p>
    <w:p>
      <w:pPr>
        <w:spacing w:after="0" w:line="176" w:lineRule="exact"/>
        <w:rPr>
          <w:rFonts w:ascii="Courier New" w:cs="Courier New" w:eastAsia="Courier New" w:hAnsi="Courier New"/>
          <w:sz w:val="15"/>
          <w:szCs w:val="15"/>
          <w:color w:val="auto"/>
        </w:rPr>
      </w:pPr>
    </w:p>
    <w:p>
      <w:pPr>
        <w:ind w:left="1060" w:right="3759" w:hanging="359"/>
        <w:spacing w:after="0" w:line="239" w:lineRule="auto"/>
        <w:tabs>
          <w:tab w:leader="none" w:pos="106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document will include a statement to the effect that the E.mergent board of directors so unanimously recommends such stockholder approval; and</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19"/>
          </w:cols>
          <w:pgMar w:left="240" w:top="631" w:right="1440" w:bottom="1440" w:gutter="0" w:footer="0" w:header="0"/>
        </w:sectPr>
      </w:pPr>
    </w:p>
    <w:bookmarkStart w:id="61" w:name="page62"/>
    <w:bookmarkEnd w:id="61"/>
    <w:p>
      <w:pPr>
        <w:ind w:left="1060" w:right="3119" w:hanging="359"/>
        <w:spacing w:after="0" w:line="239" w:lineRule="auto"/>
        <w:tabs>
          <w:tab w:leader="none" w:pos="106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E.mergent nor its board of directors will withdraw, amend or modify, or propose or resolve to withdraw, amend or modify in a manner adverse to ClearOne such unanimous recommendation.</w:t>
      </w:r>
    </w:p>
    <w:p>
      <w:pPr>
        <w:spacing w:after="0" w:line="175"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For purposes of the merger agreement, the recommendation of the E.mergent board of directors is deemed to have been modified in a manner adverse to ClearOne if it is no longer a unanimous recommendation of its non-interested directors.</w:t>
      </w:r>
    </w:p>
    <w:p>
      <w:pPr>
        <w:spacing w:after="0" w:line="176" w:lineRule="exact"/>
        <w:rPr>
          <w:sz w:val="20"/>
          <w:szCs w:val="20"/>
          <w:color w:val="auto"/>
        </w:rPr>
      </w:pPr>
    </w:p>
    <w:p>
      <w:pPr>
        <w:ind w:right="3399" w:firstLine="710"/>
        <w:spacing w:after="0" w:line="238" w:lineRule="auto"/>
        <w:rPr>
          <w:sz w:val="20"/>
          <w:szCs w:val="20"/>
          <w:color w:val="auto"/>
        </w:rPr>
      </w:pPr>
      <w:r>
        <w:rPr>
          <w:rFonts w:ascii="Courier New" w:cs="Courier New" w:eastAsia="Courier New" w:hAnsi="Courier New"/>
          <w:sz w:val="15"/>
          <w:szCs w:val="15"/>
          <w:color w:val="auto"/>
        </w:rPr>
        <w:t>Solicitations by E.mergent; Withdrawal of Recommendation by E.mergent Board of Directors</w:t>
      </w:r>
    </w:p>
    <w:p>
      <w:pPr>
        <w:spacing w:after="0" w:line="175" w:lineRule="exact"/>
        <w:rPr>
          <w:sz w:val="20"/>
          <w:szCs w:val="20"/>
          <w:color w:val="auto"/>
        </w:rPr>
      </w:pPr>
    </w:p>
    <w:p>
      <w:pPr>
        <w:ind w:right="3119" w:firstLine="710"/>
        <w:spacing w:after="0" w:line="262" w:lineRule="auto"/>
        <w:rPr>
          <w:sz w:val="20"/>
          <w:szCs w:val="20"/>
          <w:color w:val="auto"/>
        </w:rPr>
      </w:pPr>
      <w:r>
        <w:rPr>
          <w:rFonts w:ascii="Courier New" w:cs="Courier New" w:eastAsia="Courier New" w:hAnsi="Courier New"/>
          <w:sz w:val="14"/>
          <w:szCs w:val="14"/>
          <w:color w:val="auto"/>
        </w:rPr>
        <w:t>Under the terms of the merger agreement, E.mergent agreed to cease, as of the date of the merger agreement, any and all existing activities, discussions or negotiations with any parties other than ClearOne conducted prior to the date of the merger agreement with respect to any Acquisition Proposal.</w:t>
      </w:r>
    </w:p>
    <w:p>
      <w:pPr>
        <w:spacing w:after="0" w:line="161"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Under the terms of the merger agreement, an Acquisition Proposal is any offer or proposal relating to an Acquisition Transaction (other than an offer or proposal from ClearOne), and an Acquisition Transaction is any transaction or series of related transactions (other than the merger) involving any of the following:</w:t>
      </w:r>
    </w:p>
    <w:p>
      <w:pPr>
        <w:spacing w:after="0" w:line="174" w:lineRule="exact"/>
        <w:rPr>
          <w:sz w:val="20"/>
          <w:szCs w:val="20"/>
          <w:color w:val="auto"/>
        </w:rPr>
      </w:pPr>
    </w:p>
    <w:p>
      <w:pPr>
        <w:ind w:left="1060" w:right="3119" w:hanging="359"/>
        <w:spacing w:after="0" w:line="239" w:lineRule="auto"/>
        <w:tabs>
          <w:tab w:leader="none" w:pos="10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or purchase from E.mergent by any person or group of more than a 15% interest in the total outstanding voting securities of E.mergent or any of its subsidiaries;</w:t>
      </w:r>
    </w:p>
    <w:p>
      <w:pPr>
        <w:spacing w:after="0" w:line="175" w:lineRule="exact"/>
        <w:rPr>
          <w:rFonts w:ascii="Courier New" w:cs="Courier New" w:eastAsia="Courier New" w:hAnsi="Courier New"/>
          <w:sz w:val="15"/>
          <w:szCs w:val="15"/>
          <w:color w:val="auto"/>
        </w:rPr>
      </w:pPr>
    </w:p>
    <w:p>
      <w:pPr>
        <w:ind w:left="1060" w:right="3219" w:hanging="359"/>
        <w:spacing w:after="0" w:line="239" w:lineRule="auto"/>
        <w:tabs>
          <w:tab w:leader="none" w:pos="10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tender offer or exchange offer that if consummated would result in any person or group beneficially owning 15% or more of the total outstanding voting securities of E.mergent or any of its subsidiaries;</w:t>
      </w:r>
    </w:p>
    <w:p>
      <w:pPr>
        <w:spacing w:after="0" w:line="176" w:lineRule="exact"/>
        <w:rPr>
          <w:rFonts w:ascii="Courier New" w:cs="Courier New" w:eastAsia="Courier New" w:hAnsi="Courier New"/>
          <w:sz w:val="15"/>
          <w:szCs w:val="15"/>
          <w:color w:val="auto"/>
        </w:rPr>
      </w:pPr>
    </w:p>
    <w:p>
      <w:pPr>
        <w:ind w:left="1060" w:right="3119" w:hanging="359"/>
        <w:spacing w:after="0"/>
        <w:tabs>
          <w:tab w:leader="none" w:pos="10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merger, consolidation, business combination or similar transaction involving E.mergent in which the stockholders of E.mergent immediately preceding such transaction hold less than 85% of the equity interests in the surviving or resulting entity of such transaction;</w:t>
      </w:r>
    </w:p>
    <w:p>
      <w:pPr>
        <w:spacing w:after="0" w:line="174" w:lineRule="exact"/>
        <w:rPr>
          <w:rFonts w:ascii="Courier New" w:cs="Courier New" w:eastAsia="Courier New" w:hAnsi="Courier New"/>
          <w:sz w:val="15"/>
          <w:szCs w:val="15"/>
          <w:color w:val="auto"/>
        </w:rPr>
      </w:pPr>
    </w:p>
    <w:p>
      <w:pPr>
        <w:ind w:left="1060" w:right="3839" w:hanging="359"/>
        <w:spacing w:after="0" w:line="271" w:lineRule="auto"/>
        <w:tabs>
          <w:tab w:leader="none" w:pos="1060"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sale, lease, exchange, transfer, license, acquisition or disposition of more than 15% of the assets of E.mergent; or</w:t>
      </w:r>
    </w:p>
    <w:p>
      <w:pPr>
        <w:spacing w:after="0" w:line="151" w:lineRule="exact"/>
        <w:rPr>
          <w:rFonts w:ascii="Courier New" w:cs="Courier New" w:eastAsia="Courier New" w:hAnsi="Courier New"/>
          <w:sz w:val="14"/>
          <w:szCs w:val="14"/>
          <w:color w:val="auto"/>
        </w:rPr>
      </w:pPr>
    </w:p>
    <w:p>
      <w:pPr>
        <w:ind w:left="1060" w:hanging="359"/>
        <w:spacing w:after="0"/>
        <w:tabs>
          <w:tab w:leader="none" w:pos="106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liquidation or dissolution of E.mergent.</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Until the merger is completed or the merger agreement is terminated, under the terms of the merger agreement E.mergent further agreed that neither it nor any of its subsidiaries will, directly or indirectly (nor will they authorize or permit any of their respective officers, directors, affiliates or employees or any of their investment bankers, attorneys or other advisors or representatives to):</w:t>
      </w:r>
    </w:p>
    <w:p>
      <w:pPr>
        <w:spacing w:after="0" w:line="175" w:lineRule="exact"/>
        <w:rPr>
          <w:sz w:val="20"/>
          <w:szCs w:val="20"/>
          <w:color w:val="auto"/>
        </w:rPr>
      </w:pPr>
    </w:p>
    <w:p>
      <w:pPr>
        <w:ind w:left="1060" w:right="3479" w:hanging="359"/>
        <w:spacing w:after="0" w:line="238" w:lineRule="auto"/>
        <w:tabs>
          <w:tab w:leader="none" w:pos="10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initiate, encourage or induce the making, submission or announcement of any Acquisition Proposal;</w:t>
      </w:r>
    </w:p>
    <w:p>
      <w:pPr>
        <w:spacing w:after="0" w:line="174" w:lineRule="exact"/>
        <w:rPr>
          <w:rFonts w:ascii="Courier New" w:cs="Courier New" w:eastAsia="Courier New" w:hAnsi="Courier New"/>
          <w:sz w:val="15"/>
          <w:szCs w:val="15"/>
          <w:color w:val="auto"/>
        </w:rPr>
      </w:pPr>
    </w:p>
    <w:p>
      <w:pPr>
        <w:ind w:left="1060" w:right="3299" w:hanging="359"/>
        <w:spacing w:after="0" w:line="239" w:lineRule="auto"/>
        <w:tabs>
          <w:tab w:leader="none" w:pos="10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limited exceptions applicable upon receipt of a Superior Offer, as described below, participate in any discussions or negotiations regarding, or furnish non-public information with respect to, any Acquisition Proposal;</w:t>
      </w:r>
    </w:p>
    <w:p>
      <w:pPr>
        <w:spacing w:after="0" w:line="176" w:lineRule="exact"/>
        <w:rPr>
          <w:rFonts w:ascii="Courier New" w:cs="Courier New" w:eastAsia="Courier New" w:hAnsi="Courier New"/>
          <w:sz w:val="15"/>
          <w:szCs w:val="15"/>
          <w:color w:val="auto"/>
        </w:rPr>
      </w:pPr>
    </w:p>
    <w:p>
      <w:pPr>
        <w:ind w:left="1060" w:right="3299" w:hanging="359"/>
        <w:spacing w:after="0" w:line="239" w:lineRule="auto"/>
        <w:tabs>
          <w:tab w:leader="none" w:pos="10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other action to facilitate any inquiries or the making of any proposal that is or may reasonably be expected to lead to any Acquisition Proposal;</w:t>
      </w:r>
    </w:p>
    <w:p>
      <w:pPr>
        <w:spacing w:after="0" w:line="175" w:lineRule="exact"/>
        <w:rPr>
          <w:rFonts w:ascii="Courier New" w:cs="Courier New" w:eastAsia="Courier New" w:hAnsi="Courier New"/>
          <w:sz w:val="15"/>
          <w:szCs w:val="15"/>
          <w:color w:val="auto"/>
        </w:rPr>
      </w:pPr>
    </w:p>
    <w:p>
      <w:pPr>
        <w:jc w:val="both"/>
        <w:ind w:left="1060" w:right="3299" w:hanging="359"/>
        <w:spacing w:after="0" w:line="239" w:lineRule="auto"/>
        <w:tabs>
          <w:tab w:leader="none" w:pos="10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limited exceptions applicable upon receipt of a Superior Offer, as described below, engage in discussions with any person with respect to any Acquisition Proposal;</w:t>
      </w:r>
    </w:p>
    <w:p>
      <w:pPr>
        <w:spacing w:after="0" w:line="175" w:lineRule="exact"/>
        <w:rPr>
          <w:rFonts w:ascii="Courier New" w:cs="Courier New" w:eastAsia="Courier New" w:hAnsi="Courier New"/>
          <w:sz w:val="15"/>
          <w:szCs w:val="15"/>
          <w:color w:val="auto"/>
        </w:rPr>
      </w:pPr>
    </w:p>
    <w:p>
      <w:pPr>
        <w:ind w:left="1060" w:right="3479" w:hanging="359"/>
        <w:spacing w:after="0" w:line="239" w:lineRule="auto"/>
        <w:tabs>
          <w:tab w:leader="none" w:pos="10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certain limited exceptions in the event of a Superior Offer, as described below, approve, endorse or recommend any Acquisition Proposal; or</w:t>
      </w:r>
    </w:p>
    <w:p>
      <w:pPr>
        <w:spacing w:after="0" w:line="175" w:lineRule="exact"/>
        <w:rPr>
          <w:rFonts w:ascii="Courier New" w:cs="Courier New" w:eastAsia="Courier New" w:hAnsi="Courier New"/>
          <w:sz w:val="15"/>
          <w:szCs w:val="15"/>
          <w:color w:val="auto"/>
        </w:rPr>
      </w:pPr>
    </w:p>
    <w:p>
      <w:pPr>
        <w:ind w:left="1060" w:right="3119" w:hanging="359"/>
        <w:spacing w:after="0" w:line="239" w:lineRule="auto"/>
        <w:tabs>
          <w:tab w:leader="none" w:pos="106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letter of intent or similar document or any contract, agreement or commitment contemplating or otherwise relating to any Acquisition Transaction.</w:t>
      </w:r>
    </w:p>
    <w:p>
      <w:pPr>
        <w:spacing w:after="0" w:line="175" w:lineRule="exact"/>
        <w:rPr>
          <w:sz w:val="20"/>
          <w:szCs w:val="20"/>
          <w:color w:val="auto"/>
        </w:rPr>
      </w:pPr>
    </w:p>
    <w:p>
      <w:pPr>
        <w:ind w:right="3479" w:firstLine="710"/>
        <w:spacing w:after="0" w:line="262" w:lineRule="auto"/>
        <w:rPr>
          <w:sz w:val="20"/>
          <w:szCs w:val="20"/>
          <w:color w:val="auto"/>
        </w:rPr>
      </w:pPr>
      <w:r>
        <w:rPr>
          <w:rFonts w:ascii="Courier New" w:cs="Courier New" w:eastAsia="Courier New" w:hAnsi="Courier New"/>
          <w:sz w:val="14"/>
          <w:szCs w:val="14"/>
          <w:color w:val="auto"/>
        </w:rPr>
        <w:t>Any violation of any of the restrictions described in the preceding paragraph by any officer or director of E.mergent, or any investment banker, attorney or other advisor or representative of E.mergent is deemed to be a breach of the relevant restriction by E.mergent.</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19"/>
          </w:cols>
          <w:pgMar w:left="240" w:top="631" w:right="1440" w:bottom="1440" w:gutter="0" w:footer="0" w:header="0"/>
        </w:sectPr>
      </w:pPr>
    </w:p>
    <w:bookmarkStart w:id="62" w:name="page63"/>
    <w:bookmarkEnd w:id="62"/>
    <w:p>
      <w:pPr>
        <w:ind w:right="3119" w:firstLine="710"/>
        <w:spacing w:after="0" w:line="259" w:lineRule="auto"/>
        <w:rPr>
          <w:sz w:val="20"/>
          <w:szCs w:val="20"/>
          <w:color w:val="auto"/>
        </w:rPr>
      </w:pPr>
      <w:r>
        <w:rPr>
          <w:rFonts w:ascii="Courier New" w:cs="Courier New" w:eastAsia="Courier New" w:hAnsi="Courier New"/>
          <w:sz w:val="14"/>
          <w:szCs w:val="14"/>
          <w:color w:val="auto"/>
        </w:rPr>
        <w:t>Under the terms of the merger agreement, E.mergent has also agreed to inform ClearOne, as promptly as practicable, of any request received by E.mergent for non-public information that E.mergent reasonably believes would lead to an Acquisition Proposal, or of any Acquisition Proposal, or any inquiry received by E.mergent with respect to or which E.mergent reasonably should believe would lead to any Acquisition Proposal, the material terms and conditions of such request, Acquisition Proposal or inquiry, and the identity of the person or group making any such request, Acquisition Proposal or inquiry. E.mergent further agreed to use reasonable efforts to keep ClearOne informed in all material respects of the status and details, including material amendments or proposed amendments, of any such request, Acquisition Proposal or inquiry.</w:t>
      </w:r>
    </w:p>
    <w:p>
      <w:pPr>
        <w:spacing w:after="0" w:line="165" w:lineRule="exact"/>
        <w:rPr>
          <w:sz w:val="20"/>
          <w:szCs w:val="20"/>
          <w:color w:val="auto"/>
        </w:rPr>
      </w:pPr>
    </w:p>
    <w:p>
      <w:pPr>
        <w:ind w:right="3479" w:firstLine="710"/>
        <w:spacing w:after="0"/>
        <w:rPr>
          <w:sz w:val="20"/>
          <w:szCs w:val="20"/>
          <w:color w:val="auto"/>
        </w:rPr>
      </w:pPr>
      <w:r>
        <w:rPr>
          <w:rFonts w:ascii="Courier New" w:cs="Courier New" w:eastAsia="Courier New" w:hAnsi="Courier New"/>
          <w:sz w:val="15"/>
          <w:szCs w:val="15"/>
          <w:color w:val="auto"/>
        </w:rPr>
        <w:t>E.mergent is expressly permitted, however, to furnish non-public information regarding E.mergent and its subsidiaries to, and to enter into a confidentiality agreement with or discussions with, any person or group in response to a Superior Offer submitted by the person or group, and not withdrawn, if all of the following conditions are met:</w:t>
      </w:r>
    </w:p>
    <w:p>
      <w:pPr>
        <w:spacing w:after="0" w:line="174" w:lineRule="exact"/>
        <w:rPr>
          <w:sz w:val="20"/>
          <w:szCs w:val="20"/>
          <w:color w:val="auto"/>
        </w:rPr>
      </w:pPr>
    </w:p>
    <w:p>
      <w:pPr>
        <w:ind w:left="1060" w:right="3119" w:hanging="359"/>
        <w:spacing w:after="0" w:line="239" w:lineRule="auto"/>
        <w:tabs>
          <w:tab w:leader="none" w:pos="10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E.mergent nor any of its representatives, or subsidiaries has breached the non-solicitation provisions contained in the merger agreement described above;</w:t>
      </w:r>
    </w:p>
    <w:p>
      <w:pPr>
        <w:spacing w:after="0" w:line="175" w:lineRule="exact"/>
        <w:rPr>
          <w:rFonts w:ascii="Courier New" w:cs="Courier New" w:eastAsia="Courier New" w:hAnsi="Courier New"/>
          <w:sz w:val="15"/>
          <w:szCs w:val="15"/>
          <w:color w:val="auto"/>
        </w:rPr>
      </w:pPr>
    </w:p>
    <w:p>
      <w:pPr>
        <w:ind w:left="1060" w:right="3299" w:hanging="359"/>
        <w:spacing w:after="0"/>
        <w:tabs>
          <w:tab w:leader="none" w:pos="10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E.mergent concludes in good faith, after consultation with its outside legal counsel, that such action is required in order for the E.mergent board of directors to comply with its fiduciary duties to E.mergent's stockholders under applicable law;</w:t>
      </w:r>
    </w:p>
    <w:p>
      <w:pPr>
        <w:spacing w:after="0" w:line="174" w:lineRule="exact"/>
        <w:rPr>
          <w:rFonts w:ascii="Courier New" w:cs="Courier New" w:eastAsia="Courier New" w:hAnsi="Courier New"/>
          <w:sz w:val="15"/>
          <w:szCs w:val="15"/>
          <w:color w:val="auto"/>
        </w:rPr>
      </w:pPr>
    </w:p>
    <w:p>
      <w:pPr>
        <w:ind w:left="1060" w:right="3219" w:hanging="359"/>
        <w:spacing w:after="0"/>
        <w:tabs>
          <w:tab w:leader="none" w:pos="10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least three business days prior to furnishing any such information to, or entering into discussions or negotiations with, the person or group, E.mergent gives ClearOne written notice of the identity of such person or group and of E.mergent's intention to furnish information to, or enter into discussion or negotiations with, such person or group, and E.mergent receives from such person or group an executed confidentiality agreement containing customary limitations on the use and disclosure of all non-public written and oral information furnished to such person or group by or on behalf of E.mergent; and</w:t>
      </w:r>
    </w:p>
    <w:p>
      <w:pPr>
        <w:spacing w:after="0" w:line="178" w:lineRule="exact"/>
        <w:rPr>
          <w:rFonts w:ascii="Courier New" w:cs="Courier New" w:eastAsia="Courier New" w:hAnsi="Courier New"/>
          <w:sz w:val="15"/>
          <w:szCs w:val="15"/>
          <w:color w:val="auto"/>
        </w:rPr>
      </w:pPr>
    </w:p>
    <w:p>
      <w:pPr>
        <w:ind w:left="1060" w:right="3119" w:hanging="359"/>
        <w:spacing w:after="0" w:line="239" w:lineRule="auto"/>
        <w:tabs>
          <w:tab w:leader="none" w:pos="10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contemporaneously with furnishing any non-public information to the person or group, E.mergent furnishes the same non-public information to ClearOne, to the extent such non-public information has not been previously furnished by E.mergent to ClearOne.</w:t>
      </w:r>
    </w:p>
    <w:p>
      <w:pPr>
        <w:spacing w:after="0" w:line="176"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Under the terms of the merger agreement, a Superior Offer is an unsolicited, bona fide, written offer from a third party to consummate any of the following transactions on terms that the board of directors of E.mergent determines, in its reasonable judgment, based on the advice of a financial advisor of nationally recognized reputation, to be more favorable to the E.mergent stockholders from a financial point of view than the terms of the merger:</w:t>
      </w:r>
    </w:p>
    <w:p>
      <w:pPr>
        <w:spacing w:after="0" w:line="176" w:lineRule="exact"/>
        <w:rPr>
          <w:sz w:val="20"/>
          <w:szCs w:val="20"/>
          <w:color w:val="auto"/>
        </w:rPr>
      </w:pPr>
    </w:p>
    <w:p>
      <w:pPr>
        <w:ind w:left="1060" w:right="3219" w:hanging="359"/>
        <w:spacing w:after="0" w:line="261" w:lineRule="auto"/>
        <w:tabs>
          <w:tab w:leader="none" w:pos="10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merger, consolidation, business combination, recapitalization, liquidation, dissolution or similar transaction involving E.mergent pursuant to which the stockholders of E.mergent immediately preceding such transaction hold less than a majority of the equity interests in the surviving or resulting entity of such transaction;</w:t>
      </w:r>
    </w:p>
    <w:p>
      <w:pPr>
        <w:spacing w:after="0" w:line="161" w:lineRule="exact"/>
        <w:rPr>
          <w:rFonts w:ascii="Courier New" w:cs="Courier New" w:eastAsia="Courier New" w:hAnsi="Courier New"/>
          <w:sz w:val="14"/>
          <w:szCs w:val="14"/>
          <w:color w:val="auto"/>
        </w:rPr>
      </w:pPr>
    </w:p>
    <w:p>
      <w:pPr>
        <w:ind w:left="1060" w:right="3119" w:hanging="359"/>
        <w:spacing w:after="0" w:line="261" w:lineRule="auto"/>
        <w:tabs>
          <w:tab w:leader="none" w:pos="106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acquisition by any person or group, including by way of a tender or exchange offer or issuance by E.mergent, directly or indirectly, of beneficial ownership or a right to acquire beneficial ownership of shares representing a majority of the voting power of the outstanding shares of E.mergent's capital stock; or</w:t>
      </w:r>
    </w:p>
    <w:p>
      <w:pPr>
        <w:spacing w:after="0" w:line="161" w:lineRule="exact"/>
        <w:rPr>
          <w:rFonts w:ascii="Courier New" w:cs="Courier New" w:eastAsia="Courier New" w:hAnsi="Courier New"/>
          <w:sz w:val="14"/>
          <w:szCs w:val="14"/>
          <w:color w:val="auto"/>
        </w:rPr>
      </w:pPr>
    </w:p>
    <w:p>
      <w:pPr>
        <w:ind w:left="1060" w:right="3119" w:hanging="359"/>
        <w:spacing w:after="0" w:line="238" w:lineRule="auto"/>
        <w:tabs>
          <w:tab w:leader="none" w:pos="106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sale or other disposition by E.mergent of substantially all of its assets.</w:t>
      </w:r>
    </w:p>
    <w:p>
      <w:pPr>
        <w:spacing w:after="0" w:line="175"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Under the terms of the merger agreement, the E.mergent board of directors is permitted to withdraw, amend or modify the unanimous recommendation of its non-interested directors in favor of the merger only if:</w:t>
      </w:r>
    </w:p>
    <w:p>
      <w:pPr>
        <w:spacing w:after="0" w:line="172" w:lineRule="exact"/>
        <w:rPr>
          <w:sz w:val="20"/>
          <w:szCs w:val="20"/>
          <w:color w:val="auto"/>
        </w:rPr>
      </w:pPr>
    </w:p>
    <w:p>
      <w:pPr>
        <w:ind w:left="1060" w:hanging="359"/>
        <w:spacing w:after="0"/>
        <w:tabs>
          <w:tab w:leader="none" w:pos="10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Superior Offer is made and not withdrawn;</w:t>
      </w:r>
    </w:p>
    <w:p>
      <w:pPr>
        <w:spacing w:after="0" w:line="174" w:lineRule="exact"/>
        <w:rPr>
          <w:rFonts w:ascii="Courier New" w:cs="Courier New" w:eastAsia="Courier New" w:hAnsi="Courier New"/>
          <w:sz w:val="15"/>
          <w:szCs w:val="15"/>
          <w:color w:val="auto"/>
        </w:rPr>
      </w:pPr>
    </w:p>
    <w:p>
      <w:pPr>
        <w:ind w:left="1060" w:right="3119" w:hanging="359"/>
        <w:spacing w:after="0" w:line="239" w:lineRule="auto"/>
        <w:tabs>
          <w:tab w:leader="none" w:pos="10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E.mergent nor any of its representatives has breached the non-solicitation provisions of the merger agreement described above; and</w:t>
      </w:r>
    </w:p>
    <w:p>
      <w:pPr>
        <w:spacing w:after="0" w:line="175" w:lineRule="exact"/>
        <w:rPr>
          <w:rFonts w:ascii="Courier New" w:cs="Courier New" w:eastAsia="Courier New" w:hAnsi="Courier New"/>
          <w:sz w:val="15"/>
          <w:szCs w:val="15"/>
          <w:color w:val="auto"/>
        </w:rPr>
      </w:pPr>
    </w:p>
    <w:p>
      <w:pPr>
        <w:ind w:left="1060" w:right="3119" w:hanging="359"/>
        <w:spacing w:after="0" w:line="239" w:lineRule="auto"/>
        <w:tabs>
          <w:tab w:leader="none" w:pos="10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of directors of E.mergent concludes in good faith, after consultation with its outside counsel that, in light of the Superior Offer, the withdrawal, amendment or modification of its</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631" w:right="1440" w:bottom="1440" w:gutter="0" w:footer="0" w:header="0"/>
        </w:sectPr>
      </w:pPr>
    </w:p>
    <w:bookmarkStart w:id="63" w:name="page64"/>
    <w:bookmarkEnd w:id="63"/>
    <w:p>
      <w:pPr>
        <w:ind w:left="1060" w:right="3659"/>
        <w:spacing w:after="0" w:line="239" w:lineRule="auto"/>
        <w:rPr>
          <w:sz w:val="20"/>
          <w:szCs w:val="20"/>
          <w:color w:val="auto"/>
        </w:rPr>
      </w:pPr>
      <w:r>
        <w:rPr>
          <w:rFonts w:ascii="Courier New" w:cs="Courier New" w:eastAsia="Courier New" w:hAnsi="Courier New"/>
          <w:sz w:val="15"/>
          <w:szCs w:val="15"/>
          <w:color w:val="auto"/>
        </w:rPr>
        <w:t>recommendation is required in order for the E.mergent board of directors to comply with its fiduciary duties to E.mergent's stockholders under applicable law.</w:t>
      </w:r>
    </w:p>
    <w:p>
      <w:pPr>
        <w:spacing w:after="0" w:line="175"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E.mergent must give ClearOne at least 72 hours notice of the commencement of the change to the unanimous recommendation of its non-interested directors, and provide ClearOne with the opportunity to meet with E.mergent and its counsel. In addition, under the terms of the merger agreement, E.mergent has agreed to provide ClearOne with at least 48 hours prior notice (or such lesser prior notice as provided to the E.mergent board of directors, but in no event less than eight hours) of any meeting of the E.mergent board of directors at which the E.mergent board of directors is reasonably expected to consider a Superior Offer. Furthermore, E.mergent has agreed to provide ClearOne with at least three business days prior written notice of a meeting of the E.mergent board of directors at which the E.mergent board of directors is reasonably expected to recommend a Superior Offer to E.mergent's stockholders (together with a copy of the all documentation relating to such Superior Offer).</w:t>
      </w:r>
    </w:p>
    <w:p>
      <w:pPr>
        <w:spacing w:after="0" w:line="16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Regardless of whether there has been a Superior Offer, and regardless of whether the E.mergent board of directors withdraws, amends or modifies the unanimous recommendation of its non-interested directors in favor of the merger, E.mergent is obligated, under the terms of the merger agreement, to hold and convene the special meeting of E.mergent stockholders at which the merger agreement and the merger will be considered and voted upon.</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Covenants</w:t>
      </w:r>
    </w:p>
    <w:p>
      <w:pPr>
        <w:spacing w:after="0" w:line="174" w:lineRule="exact"/>
        <w:rPr>
          <w:sz w:val="20"/>
          <w:szCs w:val="20"/>
          <w:color w:val="auto"/>
        </w:rPr>
      </w:pPr>
    </w:p>
    <w:p>
      <w:pPr>
        <w:ind w:right="3219" w:firstLine="710"/>
        <w:spacing w:after="0" w:line="238" w:lineRule="auto"/>
        <w:rPr>
          <w:sz w:val="20"/>
          <w:szCs w:val="20"/>
          <w:color w:val="auto"/>
        </w:rPr>
      </w:pPr>
      <w:r>
        <w:rPr>
          <w:rFonts w:ascii="Courier New" w:cs="Courier New" w:eastAsia="Courier New" w:hAnsi="Courier New"/>
          <w:sz w:val="15"/>
          <w:szCs w:val="15"/>
          <w:color w:val="auto"/>
        </w:rPr>
        <w:t>Under the terms of the merger agreement, each of ClearOne and E.mergent have also agreed to the following additional items:</w:t>
      </w:r>
    </w:p>
    <w:p>
      <w:pPr>
        <w:spacing w:after="0" w:line="175" w:lineRule="exact"/>
        <w:rPr>
          <w:sz w:val="20"/>
          <w:szCs w:val="20"/>
          <w:color w:val="auto"/>
        </w:rPr>
      </w:pPr>
    </w:p>
    <w:p>
      <w:pPr>
        <w:ind w:left="1060" w:right="3219" w:hanging="359"/>
        <w:spacing w:after="0" w:line="239" w:lineRule="auto"/>
        <w:tabs>
          <w:tab w:leader="none" w:pos="10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has agreed to take the necessary action to hold the special shareholders meeting for the purposes of obtaining stockholder approval of the merger agreement and the merger, all in compliance with applicable law and Nasdaq requirements.</w:t>
      </w:r>
    </w:p>
    <w:p>
      <w:pPr>
        <w:spacing w:after="0" w:line="176" w:lineRule="exact"/>
        <w:rPr>
          <w:rFonts w:ascii="Courier New" w:cs="Courier New" w:eastAsia="Courier New" w:hAnsi="Courier New"/>
          <w:sz w:val="15"/>
          <w:szCs w:val="15"/>
          <w:color w:val="auto"/>
        </w:rPr>
      </w:pPr>
    </w:p>
    <w:p>
      <w:pPr>
        <w:ind w:left="1060" w:right="3219" w:hanging="359"/>
        <w:spacing w:after="0"/>
        <w:tabs>
          <w:tab w:leader="none" w:pos="10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has agreed to use its commercially reasonable efforts to solicit from its stockholders proxies in favor of the adoption and approval of the merger agreement and the approval of the merger and shall take all other action necessary or advisable to secure the vote or consent of its stockholders required by the rules of Nasdaq and applicable law.</w:t>
      </w:r>
    </w:p>
    <w:p>
      <w:pPr>
        <w:spacing w:after="0" w:line="175" w:lineRule="exact"/>
        <w:rPr>
          <w:rFonts w:ascii="Courier New" w:cs="Courier New" w:eastAsia="Courier New" w:hAnsi="Courier New"/>
          <w:sz w:val="15"/>
          <w:szCs w:val="15"/>
          <w:color w:val="auto"/>
        </w:rPr>
      </w:pPr>
    </w:p>
    <w:p>
      <w:pPr>
        <w:ind w:left="1060" w:right="3219" w:hanging="359"/>
        <w:spacing w:after="0"/>
        <w:tabs>
          <w:tab w:leader="none" w:pos="10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Both ClearOne and E.mergent will take the necessary action to prepare this proxy statement/prospectus and related registration statement, and cooperate with each other to take such other action and file other documents as are necessary to comply with applicable securities laws.</w:t>
      </w:r>
    </w:p>
    <w:p>
      <w:pPr>
        <w:spacing w:after="0" w:line="174" w:lineRule="exact"/>
        <w:rPr>
          <w:rFonts w:ascii="Courier New" w:cs="Courier New" w:eastAsia="Courier New" w:hAnsi="Courier New"/>
          <w:sz w:val="15"/>
          <w:szCs w:val="15"/>
          <w:color w:val="auto"/>
        </w:rPr>
      </w:pPr>
    </w:p>
    <w:p>
      <w:pPr>
        <w:ind w:left="1060" w:right="3299" w:hanging="359"/>
        <w:spacing w:after="0" w:line="264" w:lineRule="auto"/>
        <w:tabs>
          <w:tab w:leader="none" w:pos="1060" w:val="left"/>
        </w:tabs>
        <w:numPr>
          <w:ilvl w:val="0"/>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 will allow ClearOne and its agents access to E.mergent's properties, books, records and personnel for the purpose of obtaining information about E.mergent and its properties.</w:t>
      </w:r>
    </w:p>
    <w:p>
      <w:pPr>
        <w:spacing w:after="0" w:line="159" w:lineRule="exact"/>
        <w:rPr>
          <w:rFonts w:ascii="Courier New" w:cs="Courier New" w:eastAsia="Courier New" w:hAnsi="Courier New"/>
          <w:sz w:val="14"/>
          <w:szCs w:val="14"/>
          <w:color w:val="auto"/>
        </w:rPr>
      </w:pPr>
    </w:p>
    <w:p>
      <w:pPr>
        <w:ind w:left="1060" w:right="3119" w:hanging="359"/>
        <w:spacing w:after="0"/>
        <w:tabs>
          <w:tab w:leader="none" w:pos="10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will provide E.mergent employees who remain after the merger with employment benefits that are substantially comparable in the aggregate to benefits available to similarly situated employees of ClearOne and its subsidiaries, provided such benefits are available on reasonably acceptable terms. Unless requested otherwise by ClearOne, E.mergent's 401k plan will be terminated. ClearOne will take steps, to the extent practicable and permitted by ClearOne's plan, to enable continuing employees to roll over distributions to a tax-qualified defined contribution plan maintained by ClearOne or an affiliate of ClearOne.</w:t>
      </w:r>
    </w:p>
    <w:p>
      <w:pPr>
        <w:spacing w:after="0" w:line="178" w:lineRule="exact"/>
        <w:rPr>
          <w:rFonts w:ascii="Courier New" w:cs="Courier New" w:eastAsia="Courier New" w:hAnsi="Courier New"/>
          <w:sz w:val="15"/>
          <w:szCs w:val="15"/>
          <w:color w:val="auto"/>
        </w:rPr>
      </w:pPr>
    </w:p>
    <w:p>
      <w:pPr>
        <w:ind w:left="1060" w:right="3119" w:hanging="359"/>
        <w:spacing w:after="0"/>
        <w:tabs>
          <w:tab w:leader="none" w:pos="10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ClearOne and E.mergent will use its commercially reasonable efforts to take, or cause to be taken, all reasonable actions and to do, or cause to be done, all things necessary, proper or advisable to consummate and make effective in the most expeditious manner practicable the merger and transactions contemplated by the merger agreement and to assist and cooperate with each other in doing such things, including:</w:t>
      </w:r>
    </w:p>
    <w:p>
      <w:pPr>
        <w:spacing w:after="0" w:line="175" w:lineRule="exact"/>
        <w:rPr>
          <w:rFonts w:ascii="Courier New" w:cs="Courier New" w:eastAsia="Courier New" w:hAnsi="Courier New"/>
          <w:sz w:val="15"/>
          <w:szCs w:val="15"/>
          <w:color w:val="auto"/>
        </w:rPr>
      </w:pPr>
    </w:p>
    <w:p>
      <w:pPr>
        <w:ind w:left="1060" w:right="3839" w:hanging="359"/>
        <w:spacing w:after="0" w:line="238" w:lineRule="auto"/>
        <w:tabs>
          <w:tab w:leader="none" w:pos="10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causing the conditions to the completion of the merger to be satisfied;</w:t>
      </w:r>
    </w:p>
    <w:p>
      <w:pPr>
        <w:spacing w:after="0" w:line="174" w:lineRule="exact"/>
        <w:rPr>
          <w:rFonts w:ascii="Courier New" w:cs="Courier New" w:eastAsia="Courier New" w:hAnsi="Courier New"/>
          <w:sz w:val="15"/>
          <w:szCs w:val="15"/>
          <w:color w:val="auto"/>
        </w:rPr>
      </w:pPr>
    </w:p>
    <w:p>
      <w:pPr>
        <w:ind w:left="1060" w:right="3119" w:hanging="359"/>
        <w:spacing w:after="0"/>
        <w:tabs>
          <w:tab w:leader="none" w:pos="10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obtaining any necessary actions, waivers, consents, approvals, orders and authorizations by or from any governmental entity, making all necessary registrations, declarations and filings, avoiding any suit, claim, action, investigation or proceeding by any governmental entity;</w:t>
      </w:r>
    </w:p>
    <w:p>
      <w:pPr>
        <w:spacing w:after="0" w:line="342"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631" w:right="1440" w:bottom="1440" w:gutter="0" w:footer="0" w:header="0"/>
        </w:sectPr>
      </w:pPr>
    </w:p>
    <w:bookmarkStart w:id="64" w:name="page65"/>
    <w:bookmarkEnd w:id="64"/>
    <w:p>
      <w:pPr>
        <w:ind w:left="1060" w:right="3399" w:hanging="359"/>
        <w:spacing w:after="0" w:line="238" w:lineRule="auto"/>
        <w:tabs>
          <w:tab w:leader="none" w:pos="10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defending all lawsuits or other legal proceedings challenging the merger agreement or the consummation of the merger; and</w:t>
      </w:r>
    </w:p>
    <w:p>
      <w:pPr>
        <w:spacing w:after="0" w:line="174" w:lineRule="exact"/>
        <w:rPr>
          <w:rFonts w:ascii="Courier New" w:cs="Courier New" w:eastAsia="Courier New" w:hAnsi="Courier New"/>
          <w:sz w:val="15"/>
          <w:szCs w:val="15"/>
          <w:color w:val="auto"/>
        </w:rPr>
      </w:pPr>
    </w:p>
    <w:p>
      <w:pPr>
        <w:ind w:left="1060" w:right="3219" w:hanging="359"/>
        <w:spacing w:after="0" w:line="239" w:lineRule="auto"/>
        <w:tabs>
          <w:tab w:leader="none" w:pos="10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executing or delivering any additional instruments reasonably necessary to consummate the transactions contemplated by the merger agreement.</w:t>
      </w:r>
    </w:p>
    <w:p>
      <w:pPr>
        <w:spacing w:after="0" w:line="175" w:lineRule="exact"/>
        <w:rPr>
          <w:rFonts w:ascii="Courier New" w:cs="Courier New" w:eastAsia="Courier New" w:hAnsi="Courier New"/>
          <w:sz w:val="15"/>
          <w:szCs w:val="15"/>
          <w:color w:val="auto"/>
        </w:rPr>
      </w:pPr>
    </w:p>
    <w:p>
      <w:pPr>
        <w:ind w:left="1060" w:right="3119" w:hanging="359"/>
        <w:spacing w:after="0"/>
        <w:tabs>
          <w:tab w:leader="none" w:pos="10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ClearOne and E.mergent will use its commercially reasonable efforts to obtain any consents, waivers and approvals under any of its or its subsidiaries' respective agreements, contracts, licenses or leases required to be obtained from third parties in connection with the consummation of the transactions contemplated by the merger agreement.</w:t>
      </w:r>
    </w:p>
    <w:p>
      <w:pPr>
        <w:spacing w:after="0" w:line="175" w:lineRule="exact"/>
        <w:rPr>
          <w:rFonts w:ascii="Courier New" w:cs="Courier New" w:eastAsia="Courier New" w:hAnsi="Courier New"/>
          <w:sz w:val="15"/>
          <w:szCs w:val="15"/>
          <w:color w:val="auto"/>
        </w:rPr>
      </w:pPr>
    </w:p>
    <w:p>
      <w:pPr>
        <w:ind w:left="1060" w:right="3119" w:hanging="359"/>
        <w:spacing w:after="0"/>
        <w:tabs>
          <w:tab w:leader="none" w:pos="10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ClearOne and E.mergent will promptly notify the other upon becoming aware of any breach in any material respect of any representation or warranty contained in, or failure to comply in any material respect with any covenant, condition or agreement to be complied with or satisfied by it under, the merger agreement.</w:t>
      </w:r>
    </w:p>
    <w:p>
      <w:pPr>
        <w:spacing w:after="0" w:line="174" w:lineRule="exact"/>
        <w:rPr>
          <w:rFonts w:ascii="Courier New" w:cs="Courier New" w:eastAsia="Courier New" w:hAnsi="Courier New"/>
          <w:sz w:val="15"/>
          <w:szCs w:val="15"/>
          <w:color w:val="auto"/>
        </w:rPr>
      </w:pPr>
    </w:p>
    <w:p>
      <w:pPr>
        <w:ind w:left="1060" w:right="3399" w:hanging="359"/>
        <w:spacing w:after="0" w:line="239" w:lineRule="auto"/>
        <w:tabs>
          <w:tab w:leader="none" w:pos="10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will take such action as is necessary to ensure that the shares of ClearOne common stock issuable in connection with the merger will be listed on the Nasdaq National Market.</w:t>
      </w:r>
    </w:p>
    <w:p>
      <w:pPr>
        <w:spacing w:after="0" w:line="175" w:lineRule="exact"/>
        <w:rPr>
          <w:rFonts w:ascii="Courier New" w:cs="Courier New" w:eastAsia="Courier New" w:hAnsi="Courier New"/>
          <w:sz w:val="15"/>
          <w:szCs w:val="15"/>
          <w:color w:val="auto"/>
        </w:rPr>
      </w:pPr>
    </w:p>
    <w:p>
      <w:pPr>
        <w:ind w:left="1060" w:right="3299" w:hanging="359"/>
        <w:spacing w:after="0"/>
        <w:tabs>
          <w:tab w:leader="none" w:pos="10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and E.mergent will consult with each other, and agree, before issuing any press release, and will consult with each other and to the extent practicable, agree, before otherwise making any public statement with respect to the merger agreement, the other party, or an Acquisition Proposal.</w:t>
      </w:r>
    </w:p>
    <w:p>
      <w:pPr>
        <w:spacing w:after="0" w:line="174" w:lineRule="exact"/>
        <w:rPr>
          <w:rFonts w:ascii="Courier New" w:cs="Courier New" w:eastAsia="Courier New" w:hAnsi="Courier New"/>
          <w:sz w:val="15"/>
          <w:szCs w:val="15"/>
          <w:color w:val="auto"/>
        </w:rPr>
      </w:pPr>
    </w:p>
    <w:p>
      <w:pPr>
        <w:ind w:left="1060" w:right="3219" w:hanging="359"/>
        <w:spacing w:after="0" w:line="239" w:lineRule="auto"/>
        <w:tabs>
          <w:tab w:leader="none" w:pos="10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will file a registration statement on Form S-8 to register the shares of ClearOne common stock issuable upon the exercise of E.mergent stock options assumed by ClearOne within 15 business days after the effective time of the merger.</w:t>
      </w:r>
    </w:p>
    <w:p>
      <w:pPr>
        <w:spacing w:after="0" w:line="176"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The agreements related to the conduct of E.mergent and ClearOne prior to the closing of the merger are complicated and not easily summarized. You are urged to carefully read Article V of the merger agreement entitled "Additional Agreements."</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Conditions to Completion of the Merger</w:t>
      </w:r>
    </w:p>
    <w:p>
      <w:pPr>
        <w:spacing w:after="0" w:line="174"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The obligations of ClearOne and E.mergent to complete the merger and the other transactions contemplated by the merger agreement are subject to the satisfaction or waiver, where permitted, of each of the following conditions:</w:t>
      </w:r>
    </w:p>
    <w:p>
      <w:pPr>
        <w:spacing w:after="0" w:line="175" w:lineRule="exact"/>
        <w:rPr>
          <w:sz w:val="20"/>
          <w:szCs w:val="20"/>
          <w:color w:val="auto"/>
        </w:rPr>
      </w:pPr>
    </w:p>
    <w:p>
      <w:pPr>
        <w:ind w:left="1060" w:right="3399" w:hanging="359"/>
        <w:spacing w:after="0" w:line="239" w:lineRule="auto"/>
        <w:tabs>
          <w:tab w:leader="none" w:pos="106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merger agreement must have been adopted and approved, and the merger must have been approved, by the requisite stockholders of E.mergent;</w:t>
      </w:r>
    </w:p>
    <w:p>
      <w:pPr>
        <w:spacing w:after="0" w:line="175" w:lineRule="exact"/>
        <w:rPr>
          <w:rFonts w:ascii="Courier New" w:cs="Courier New" w:eastAsia="Courier New" w:hAnsi="Courier New"/>
          <w:sz w:val="15"/>
          <w:szCs w:val="15"/>
          <w:color w:val="auto"/>
        </w:rPr>
      </w:pPr>
    </w:p>
    <w:p>
      <w:pPr>
        <w:jc w:val="both"/>
        <w:ind w:left="1060" w:right="3479" w:hanging="359"/>
        <w:spacing w:after="0" w:line="239" w:lineRule="auto"/>
        <w:tabs>
          <w:tab w:leader="none" w:pos="106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court or other governmental entity have enacted or issued any statute, rule, regulation, judgment, decree, injunction or other order which prohibits consummation of the merger;</w:t>
      </w:r>
    </w:p>
    <w:p>
      <w:pPr>
        <w:spacing w:after="0" w:line="175" w:lineRule="exact"/>
        <w:rPr>
          <w:rFonts w:ascii="Courier New" w:cs="Courier New" w:eastAsia="Courier New" w:hAnsi="Courier New"/>
          <w:sz w:val="15"/>
          <w:szCs w:val="15"/>
          <w:color w:val="auto"/>
        </w:rPr>
      </w:pPr>
    </w:p>
    <w:p>
      <w:pPr>
        <w:ind w:left="1060" w:right="3119" w:hanging="359"/>
        <w:spacing w:after="0" w:line="261" w:lineRule="auto"/>
        <w:tabs>
          <w:tab w:leader="none" w:pos="10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ClearOne's registration statement on Form S-4 of which this document forms a part must have been declared effective, no stop order suspending its effectiveness may be in effect and no proceedings for suspension of its effectiveness may be pending before or threatened in writing by the Securities and Exchange Commission; and</w:t>
      </w:r>
    </w:p>
    <w:p>
      <w:pPr>
        <w:spacing w:after="0" w:line="161" w:lineRule="exact"/>
        <w:rPr>
          <w:rFonts w:ascii="Courier New" w:cs="Courier New" w:eastAsia="Courier New" w:hAnsi="Courier New"/>
          <w:sz w:val="14"/>
          <w:szCs w:val="14"/>
          <w:color w:val="auto"/>
        </w:rPr>
      </w:pPr>
    </w:p>
    <w:p>
      <w:pPr>
        <w:ind w:left="1060" w:right="3219" w:hanging="359"/>
        <w:spacing w:after="0" w:line="271" w:lineRule="auto"/>
        <w:tabs>
          <w:tab w:leader="none" w:pos="1060" w:val="left"/>
        </w:tabs>
        <w:numPr>
          <w:ilvl w:val="0"/>
          <w:numId w:val="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shares of ClearOne common stock to be issued in the merger must have been authorized for listing on the Nasdaq National Market.</w:t>
      </w:r>
    </w:p>
    <w:p>
      <w:pPr>
        <w:spacing w:after="0" w:line="154" w:lineRule="exact"/>
        <w:rPr>
          <w:sz w:val="20"/>
          <w:szCs w:val="20"/>
          <w:color w:val="auto"/>
        </w:rPr>
      </w:pPr>
    </w:p>
    <w:p>
      <w:pPr>
        <w:ind w:right="4019" w:firstLine="710"/>
        <w:spacing w:after="0" w:line="264" w:lineRule="auto"/>
        <w:rPr>
          <w:sz w:val="20"/>
          <w:szCs w:val="20"/>
          <w:color w:val="auto"/>
        </w:rPr>
      </w:pPr>
      <w:r>
        <w:rPr>
          <w:rFonts w:ascii="Courier New" w:cs="Courier New" w:eastAsia="Courier New" w:hAnsi="Courier New"/>
          <w:sz w:val="14"/>
          <w:szCs w:val="14"/>
          <w:color w:val="auto"/>
        </w:rPr>
        <w:t>E.mergent's obligations to complete the merger and the other transactions contemplated by the merger agreement are subject to the satisfaction or waiver of each of the following additional conditions:</w:t>
      </w:r>
    </w:p>
    <w:p>
      <w:pPr>
        <w:spacing w:after="0" w:line="159" w:lineRule="exact"/>
        <w:rPr>
          <w:sz w:val="20"/>
          <w:szCs w:val="20"/>
          <w:color w:val="auto"/>
        </w:rPr>
      </w:pPr>
    </w:p>
    <w:p>
      <w:pPr>
        <w:ind w:left="1060" w:right="3219" w:hanging="359"/>
        <w:spacing w:after="0" w:line="262" w:lineRule="auto"/>
        <w:tabs>
          <w:tab w:leader="none" w:pos="1060"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ClearOne's and Tundra's representations and warranties must have been true and correct as of the date of the merger agreement, and must continue to be true and correct on and as of the date the merger is to be completed as if made on such date, except:</w:t>
      </w:r>
    </w:p>
    <w:p>
      <w:pPr>
        <w:spacing w:after="0" w:line="160" w:lineRule="exact"/>
        <w:rPr>
          <w:rFonts w:ascii="Courier New" w:cs="Courier New" w:eastAsia="Courier New" w:hAnsi="Courier New"/>
          <w:sz w:val="14"/>
          <w:szCs w:val="14"/>
          <w:color w:val="auto"/>
        </w:rPr>
      </w:pPr>
    </w:p>
    <w:p>
      <w:pPr>
        <w:ind w:left="1060" w:right="3119" w:hanging="359"/>
        <w:spacing w:after="0" w:line="239" w:lineRule="auto"/>
        <w:tabs>
          <w:tab w:leader="none" w:pos="106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ClearOne's and Tundra's representations and warranties address matters only as of a particular date, they must be true correct only as of that date;</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19"/>
          </w:cols>
          <w:pgMar w:left="240" w:top="631" w:right="1440" w:bottom="1440" w:gutter="0" w:footer="0" w:header="0"/>
        </w:sectPr>
      </w:pPr>
    </w:p>
    <w:bookmarkStart w:id="65" w:name="page66"/>
    <w:bookmarkEnd w:id="65"/>
    <w:p>
      <w:pPr>
        <w:ind w:left="1060" w:right="3119" w:hanging="359"/>
        <w:spacing w:after="0" w:line="264" w:lineRule="auto"/>
        <w:tabs>
          <w:tab w:leader="none" w:pos="1060" w:val="left"/>
        </w:tabs>
        <w:numPr>
          <w:ilvl w:val="0"/>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that any inaccuracies of such representations and breaches of such warranties do not in any case, or in the aggregate, have a material adverse effect on ClearOne and Tundra; or</w:t>
      </w:r>
    </w:p>
    <w:p>
      <w:pPr>
        <w:spacing w:after="0" w:line="156" w:lineRule="exact"/>
        <w:rPr>
          <w:rFonts w:ascii="Courier New" w:cs="Courier New" w:eastAsia="Courier New" w:hAnsi="Courier New"/>
          <w:sz w:val="14"/>
          <w:szCs w:val="14"/>
          <w:color w:val="auto"/>
        </w:rPr>
      </w:pPr>
    </w:p>
    <w:p>
      <w:pPr>
        <w:ind w:left="1060" w:hanging="359"/>
        <w:spacing w:after="0"/>
        <w:tabs>
          <w:tab w:leader="none" w:pos="106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changes contemplated by the merger agreement; and</w:t>
      </w:r>
    </w:p>
    <w:p>
      <w:pPr>
        <w:spacing w:after="0" w:line="174" w:lineRule="exact"/>
        <w:rPr>
          <w:rFonts w:ascii="Courier New" w:cs="Courier New" w:eastAsia="Courier New" w:hAnsi="Courier New"/>
          <w:sz w:val="15"/>
          <w:szCs w:val="15"/>
          <w:color w:val="auto"/>
        </w:rPr>
      </w:pPr>
    </w:p>
    <w:p>
      <w:pPr>
        <w:ind w:left="1060" w:right="3219" w:hanging="359"/>
        <w:spacing w:after="0" w:line="239" w:lineRule="auto"/>
        <w:tabs>
          <w:tab w:leader="none" w:pos="106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and Tundra must have performed or complied in all material respects with all of their agreements and covenants required by the merger agreement to be performed or complied with by ClearOne and Tundra.</w:t>
      </w:r>
    </w:p>
    <w:p>
      <w:pPr>
        <w:spacing w:after="0" w:line="176"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ClearOne's obligations to complete the merger and the other transactions contemplated by the merger agreement are subject to the satisfaction or waiver of each of the following additional conditions:</w:t>
      </w:r>
    </w:p>
    <w:p>
      <w:pPr>
        <w:spacing w:after="0" w:line="175" w:lineRule="exact"/>
        <w:rPr>
          <w:sz w:val="20"/>
          <w:szCs w:val="20"/>
          <w:color w:val="auto"/>
        </w:rPr>
      </w:pPr>
    </w:p>
    <w:p>
      <w:pPr>
        <w:ind w:left="1060" w:right="3219" w:hanging="359"/>
        <w:spacing w:after="0" w:line="239" w:lineRule="auto"/>
        <w:tabs>
          <w:tab w:leader="none" w:pos="10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E.mergent's representations and warranties must have been true and correct as of the date of the merger agreement, and must continue to be true and correct on and as of the date the merger is to be completed as if made on such date, except:</w:t>
      </w:r>
    </w:p>
    <w:p>
      <w:pPr>
        <w:spacing w:after="0" w:line="176" w:lineRule="exact"/>
        <w:rPr>
          <w:rFonts w:ascii="Courier New" w:cs="Courier New" w:eastAsia="Courier New" w:hAnsi="Courier New"/>
          <w:sz w:val="15"/>
          <w:szCs w:val="15"/>
          <w:color w:val="auto"/>
        </w:rPr>
      </w:pPr>
    </w:p>
    <w:p>
      <w:pPr>
        <w:ind w:left="1060" w:right="3219" w:hanging="359"/>
        <w:spacing w:after="0" w:line="239" w:lineRule="auto"/>
        <w:tabs>
          <w:tab w:leader="none" w:pos="10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E.mergent's representations and warranties address matters only as of a particular date, they must be true and correct only as of that date;</w:t>
      </w:r>
    </w:p>
    <w:p>
      <w:pPr>
        <w:spacing w:after="0" w:line="175" w:lineRule="exact"/>
        <w:rPr>
          <w:rFonts w:ascii="Courier New" w:cs="Courier New" w:eastAsia="Courier New" w:hAnsi="Courier New"/>
          <w:sz w:val="15"/>
          <w:szCs w:val="15"/>
          <w:color w:val="auto"/>
        </w:rPr>
      </w:pPr>
    </w:p>
    <w:p>
      <w:pPr>
        <w:ind w:left="1060" w:right="3119" w:hanging="359"/>
        <w:spacing w:after="0" w:line="239" w:lineRule="auto"/>
        <w:tabs>
          <w:tab w:leader="none" w:pos="10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inaccuracies of such representations and breaches of such warranties do not in any case, or in the aggregate, have a material adverse effect on E.mergent (except with regard to capitalization); or</w:t>
      </w:r>
    </w:p>
    <w:p>
      <w:pPr>
        <w:spacing w:after="0" w:line="173"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changes contemplated by the merger agreement; and</w:t>
      </w:r>
    </w:p>
    <w:p>
      <w:pPr>
        <w:spacing w:after="0" w:line="174" w:lineRule="exact"/>
        <w:rPr>
          <w:rFonts w:ascii="Courier New" w:cs="Courier New" w:eastAsia="Courier New" w:hAnsi="Courier New"/>
          <w:sz w:val="15"/>
          <w:szCs w:val="15"/>
          <w:color w:val="auto"/>
        </w:rPr>
      </w:pPr>
    </w:p>
    <w:p>
      <w:pPr>
        <w:ind w:left="1060" w:right="3299" w:hanging="359"/>
        <w:spacing w:after="0" w:line="239" w:lineRule="auto"/>
        <w:tabs>
          <w:tab w:leader="none" w:pos="10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must have performed or complied in all material respects with all of its agreements and covenants required by the merger agreement to be performed or complied with by E.mergent;</w:t>
      </w:r>
    </w:p>
    <w:p>
      <w:pPr>
        <w:spacing w:after="0" w:line="175" w:lineRule="exact"/>
        <w:rPr>
          <w:rFonts w:ascii="Courier New" w:cs="Courier New" w:eastAsia="Courier New" w:hAnsi="Courier New"/>
          <w:sz w:val="15"/>
          <w:szCs w:val="15"/>
          <w:color w:val="auto"/>
        </w:rPr>
      </w:pPr>
    </w:p>
    <w:p>
      <w:pPr>
        <w:ind w:left="1060" w:right="3299" w:hanging="359"/>
        <w:spacing w:after="0" w:line="271" w:lineRule="auto"/>
        <w:tabs>
          <w:tab w:leader="none" w:pos="1060" w:val="left"/>
        </w:tabs>
        <w:numPr>
          <w:ilvl w:val="0"/>
          <w:numId w:val="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 shall have obtained all consents, waivers and approvals required by specific contracts identified in the merger agreement;</w:t>
      </w:r>
    </w:p>
    <w:p>
      <w:pPr>
        <w:spacing w:after="0" w:line="153" w:lineRule="exact"/>
        <w:rPr>
          <w:rFonts w:ascii="Courier New" w:cs="Courier New" w:eastAsia="Courier New" w:hAnsi="Courier New"/>
          <w:sz w:val="14"/>
          <w:szCs w:val="14"/>
          <w:color w:val="auto"/>
        </w:rPr>
      </w:pPr>
    </w:p>
    <w:p>
      <w:pPr>
        <w:ind w:left="1060" w:right="3219" w:hanging="359"/>
        <w:spacing w:after="0" w:line="239" w:lineRule="auto"/>
        <w:tabs>
          <w:tab w:leader="none" w:pos="10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affiliate agreements contemplated by the merger agreement, as described below, must have been delivered and must be in full force and effect; and</w:t>
      </w:r>
    </w:p>
    <w:p>
      <w:pPr>
        <w:spacing w:after="0" w:line="175" w:lineRule="exact"/>
        <w:rPr>
          <w:rFonts w:ascii="Courier New" w:cs="Courier New" w:eastAsia="Courier New" w:hAnsi="Courier New"/>
          <w:sz w:val="15"/>
          <w:szCs w:val="15"/>
          <w:color w:val="auto"/>
        </w:rPr>
      </w:pPr>
    </w:p>
    <w:p>
      <w:pPr>
        <w:ind w:left="1060" w:right="3119" w:hanging="359"/>
        <w:spacing w:after="0"/>
        <w:tabs>
          <w:tab w:leader="none" w:pos="106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audited financial statements of E.mergent for the year ended December 31, 2001, shall provide (i) balance sheet net equity of not less than $7,267,500, (ii) year end revenues of not less than $21,280,000 and (iii) net income of not less than $498,750 (excluding transaction related expenses estimated to be $85,000, and any excess tax liability over forty percent (40%) that has been applied to the calculation of net income by E.mergent for the year ending December 31, 2001). This last condition has been met by E.mergent.</w:t>
      </w:r>
    </w:p>
    <w:p>
      <w:pPr>
        <w:spacing w:after="0" w:line="177" w:lineRule="exact"/>
        <w:rPr>
          <w:sz w:val="20"/>
          <w:szCs w:val="20"/>
          <w:color w:val="auto"/>
        </w:rPr>
      </w:pPr>
    </w:p>
    <w:p>
      <w:pPr>
        <w:ind w:right="3479" w:firstLine="710"/>
        <w:spacing w:after="0" w:line="239" w:lineRule="auto"/>
        <w:rPr>
          <w:sz w:val="20"/>
          <w:szCs w:val="20"/>
          <w:color w:val="auto"/>
        </w:rPr>
      </w:pPr>
      <w:r>
        <w:rPr>
          <w:rFonts w:ascii="Courier New" w:cs="Courier New" w:eastAsia="Courier New" w:hAnsi="Courier New"/>
          <w:sz w:val="15"/>
          <w:szCs w:val="15"/>
          <w:color w:val="auto"/>
        </w:rPr>
        <w:t>In the event that either E.mergent or ClearOne elect to waive a condition to closing that it's board of directors considers material, they intend to resolicit shareholder approval of the merger following appropriate disclosure of such waiver.</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Termination of the Merger Agreement</w:t>
      </w:r>
    </w:p>
    <w:p>
      <w:pPr>
        <w:spacing w:after="0" w:line="174"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The merger agreement may be terminated in accordance with its terms at any time prior to completion of the merger, whether before or after the adoption and approval of the merger agreement and approval of the merger by E.mergent's stockholders:</w:t>
      </w:r>
    </w:p>
    <w:p>
      <w:pPr>
        <w:spacing w:after="0" w:line="176" w:lineRule="exact"/>
        <w:rPr>
          <w:sz w:val="20"/>
          <w:szCs w:val="20"/>
          <w:color w:val="auto"/>
        </w:rPr>
      </w:pPr>
    </w:p>
    <w:p>
      <w:pPr>
        <w:ind w:left="1060" w:right="3119" w:hanging="359"/>
        <w:spacing w:after="0" w:line="238" w:lineRule="auto"/>
        <w:tabs>
          <w:tab w:leader="none" w:pos="10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consent duly authorized by the boards of directors of ClearOne and E.mergent;</w:t>
      </w:r>
    </w:p>
    <w:p>
      <w:pPr>
        <w:spacing w:after="0" w:line="174" w:lineRule="exact"/>
        <w:rPr>
          <w:rFonts w:ascii="Courier New" w:cs="Courier New" w:eastAsia="Courier New" w:hAnsi="Courier New"/>
          <w:sz w:val="15"/>
          <w:szCs w:val="15"/>
          <w:color w:val="auto"/>
        </w:rPr>
      </w:pPr>
    </w:p>
    <w:p>
      <w:pPr>
        <w:ind w:left="1060" w:right="3119" w:hanging="359"/>
        <w:spacing w:after="0"/>
        <w:tabs>
          <w:tab w:leader="none" w:pos="106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ClearOne or E.mergent, if the merger is not completed before May 31, 2002, except that either party's right to terminate the merger agreement under this provision will not be available to any party whose action or failure to act has been a principal cause of or resulted in the failure of the merger to occur on or before such dates, and such action or failure to act constitutes a breach of the merger agreement;</w:t>
      </w:r>
    </w:p>
    <w:p>
      <w:pPr>
        <w:spacing w:after="0" w:line="175" w:lineRule="exact"/>
        <w:rPr>
          <w:rFonts w:ascii="Courier New" w:cs="Courier New" w:eastAsia="Courier New" w:hAnsi="Courier New"/>
          <w:sz w:val="15"/>
          <w:szCs w:val="15"/>
          <w:color w:val="auto"/>
        </w:rPr>
      </w:pPr>
    </w:p>
    <w:p>
      <w:pPr>
        <w:ind w:left="1060" w:right="3219" w:hanging="359"/>
        <w:spacing w:after="0" w:line="264" w:lineRule="auto"/>
        <w:tabs>
          <w:tab w:leader="none" w:pos="106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ClearOne or E.mergent, if E.mergent's stockholders fail to adopt and approve the merger agreement and approve the merger at the E.mergent special meeting or at any adjournment or postponement of</w:t>
      </w:r>
    </w:p>
    <w:p>
      <w:pPr>
        <w:spacing w:after="0" w:line="32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631" w:right="1440" w:bottom="1440" w:gutter="0" w:footer="0" w:header="0"/>
        </w:sectPr>
      </w:pPr>
    </w:p>
    <w:bookmarkStart w:id="66" w:name="page67"/>
    <w:bookmarkEnd w:id="66"/>
    <w:p>
      <w:pPr>
        <w:ind w:left="1060" w:right="3119"/>
        <w:spacing w:after="0"/>
        <w:rPr>
          <w:sz w:val="20"/>
          <w:szCs w:val="20"/>
          <w:color w:val="auto"/>
        </w:rPr>
      </w:pPr>
      <w:r>
        <w:rPr>
          <w:rFonts w:ascii="Courier New" w:cs="Courier New" w:eastAsia="Courier New" w:hAnsi="Courier New"/>
          <w:sz w:val="15"/>
          <w:szCs w:val="15"/>
          <w:color w:val="auto"/>
        </w:rPr>
        <w:t>that meeting, except that E.mergent's right to terminate the merger agreement under this provision is not available to E.mergent where the failure to obtain stockholder approval was caused by E.mergent's action or failure to act which constitutes a breach by E.mergent of the merger agreement;</w:t>
      </w:r>
    </w:p>
    <w:p>
      <w:pPr>
        <w:spacing w:after="0" w:line="174" w:lineRule="exact"/>
        <w:rPr>
          <w:sz w:val="20"/>
          <w:szCs w:val="20"/>
          <w:color w:val="auto"/>
        </w:rPr>
      </w:pPr>
    </w:p>
    <w:p>
      <w:pPr>
        <w:ind w:left="1060" w:right="3119" w:hanging="359"/>
        <w:spacing w:after="0" w:line="262" w:lineRule="auto"/>
        <w:tabs>
          <w:tab w:leader="none" w:pos="10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ClearOne or E.mergent, if any governmental authority has issued an order, or taken any other action, having the effect of making the merger illegal or permanently restraining, enjoining or otherwise prohibiting the merger and which is final and nonappealable;</w:t>
      </w:r>
    </w:p>
    <w:p>
      <w:pPr>
        <w:spacing w:after="0" w:line="160" w:lineRule="exact"/>
        <w:rPr>
          <w:rFonts w:ascii="Courier New" w:cs="Courier New" w:eastAsia="Courier New" w:hAnsi="Courier New"/>
          <w:sz w:val="14"/>
          <w:szCs w:val="14"/>
          <w:color w:val="auto"/>
        </w:rPr>
      </w:pPr>
    </w:p>
    <w:p>
      <w:pPr>
        <w:ind w:left="1060" w:right="3119" w:hanging="359"/>
        <w:spacing w:after="0"/>
        <w:tabs>
          <w:tab w:leader="none" w:pos="10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E.mergent, upon a material breach of any covenant or agreement on the part of ClearOne in the merger agreement, or if any of ClearOne's representations or warranties are or become untrue such that the condition to E.mergent's obligation to complete the merger relating to the continued accuracy of ClearOne's representations and warranties would not be satisfied. However, if the breach or inaccuracy is curable by ClearOne through the exercise of its commercially reasonable efforts, and ClearOne continues to exercise such commercially reasonable efforts, E.mergent may not terminate the merger agreement for 30 days after delivery of written notice to ClearOne of the breach. If the breach or inaccuracy is cured during those 30 days, E.mergent may not terminate the merger agreement under this provision;</w:t>
      </w:r>
    </w:p>
    <w:p>
      <w:pPr>
        <w:spacing w:after="0" w:line="180" w:lineRule="exact"/>
        <w:rPr>
          <w:rFonts w:ascii="Courier New" w:cs="Courier New" w:eastAsia="Courier New" w:hAnsi="Courier New"/>
          <w:sz w:val="15"/>
          <w:szCs w:val="15"/>
          <w:color w:val="auto"/>
        </w:rPr>
      </w:pPr>
    </w:p>
    <w:p>
      <w:pPr>
        <w:ind w:left="1060" w:right="3119" w:hanging="359"/>
        <w:spacing w:after="0"/>
        <w:tabs>
          <w:tab w:leader="none" w:pos="10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ClearOne, upon a material breach of any covenant or agreement on the part of E.mergent set forth in the merger agreement, or if any of E.mergent's representations or warranties are or become untrue such that the condition to ClearOne's obligation to complete the merger relating to the continued accuracy of E.mergent's representations and warranties would not be satisfied. However, if the breach or inaccuracy is curable by E.mergent through the exercise of its commercially reasonable efforts, and E.mergent continues to exercise such commercially reasonable efforts, ClearOne may not terminate the merger agreement for 30 days after delivery of written notice to E.mergent of the breach. If the breach or inaccuracy is cured during those 30 days, ClearOne may not terminate the merger agreement under this provision;</w:t>
      </w:r>
    </w:p>
    <w:p>
      <w:pPr>
        <w:spacing w:after="0" w:line="180" w:lineRule="exact"/>
        <w:rPr>
          <w:rFonts w:ascii="Courier New" w:cs="Courier New" w:eastAsia="Courier New" w:hAnsi="Courier New"/>
          <w:sz w:val="15"/>
          <w:szCs w:val="15"/>
          <w:color w:val="auto"/>
        </w:rPr>
      </w:pPr>
    </w:p>
    <w:p>
      <w:pPr>
        <w:ind w:left="1060" w:right="3119" w:hanging="359"/>
        <w:spacing w:after="0"/>
        <w:tabs>
          <w:tab w:leader="none" w:pos="10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ClearOne, if an event has occurred or a circumstance has arisen that would reasonably be expected to have a material adverse effect on E.mergent that is not curable by E.mergent through the exercise of its commercially reasonable efforts within sixty (60) days of the date of such occurrence or circumstance;</w:t>
      </w:r>
    </w:p>
    <w:p>
      <w:pPr>
        <w:spacing w:after="0" w:line="174" w:lineRule="exact"/>
        <w:rPr>
          <w:rFonts w:ascii="Courier New" w:cs="Courier New" w:eastAsia="Courier New" w:hAnsi="Courier New"/>
          <w:sz w:val="15"/>
          <w:szCs w:val="15"/>
          <w:color w:val="auto"/>
        </w:rPr>
      </w:pPr>
    </w:p>
    <w:p>
      <w:pPr>
        <w:ind w:left="1060" w:right="3219" w:hanging="359"/>
        <w:spacing w:after="0" w:line="261" w:lineRule="auto"/>
        <w:tabs>
          <w:tab w:leader="none" w:pos="106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E.mergent, if an event has occurred or a circumstance has arisen that would reasonably be expected to have a material adverse effect on ClearOne that is not curable by ClearOne through the exercise of its commercially reasonable efforts within sixty (60) days of the date of such occurrence or circumstance;</w:t>
      </w:r>
    </w:p>
    <w:p>
      <w:pPr>
        <w:spacing w:after="0" w:line="158" w:lineRule="exact"/>
        <w:rPr>
          <w:rFonts w:ascii="Courier New" w:cs="Courier New" w:eastAsia="Courier New" w:hAnsi="Courier New"/>
          <w:sz w:val="14"/>
          <w:szCs w:val="14"/>
          <w:color w:val="auto"/>
        </w:rPr>
      </w:pPr>
    </w:p>
    <w:p>
      <w:pPr>
        <w:ind w:left="1060" w:hanging="359"/>
        <w:spacing w:after="0"/>
        <w:tabs>
          <w:tab w:leader="none" w:pos="10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ClearOne, if a Triggering Event shall have occurred;</w:t>
      </w:r>
    </w:p>
    <w:p>
      <w:pPr>
        <w:spacing w:after="0" w:line="174" w:lineRule="exact"/>
        <w:rPr>
          <w:rFonts w:ascii="Courier New" w:cs="Courier New" w:eastAsia="Courier New" w:hAnsi="Courier New"/>
          <w:sz w:val="15"/>
          <w:szCs w:val="15"/>
          <w:color w:val="auto"/>
        </w:rPr>
      </w:pPr>
    </w:p>
    <w:p>
      <w:pPr>
        <w:ind w:left="1060" w:right="3119" w:hanging="359"/>
        <w:spacing w:after="0" w:line="239" w:lineRule="auto"/>
        <w:tabs>
          <w:tab w:leader="none" w:pos="10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ClearOne, in the event that E.mergent stockholders holding 15% or more of the issued and outstanding shares of the E.mergent elect to pursue dissenters rights, whether such holders have perfected such rights or not; or</w:t>
      </w:r>
    </w:p>
    <w:p>
      <w:pPr>
        <w:spacing w:after="0" w:line="176" w:lineRule="exact"/>
        <w:rPr>
          <w:rFonts w:ascii="Courier New" w:cs="Courier New" w:eastAsia="Courier New" w:hAnsi="Courier New"/>
          <w:sz w:val="15"/>
          <w:szCs w:val="15"/>
          <w:color w:val="auto"/>
        </w:rPr>
      </w:pPr>
    </w:p>
    <w:p>
      <w:pPr>
        <w:ind w:left="1060" w:right="3479" w:hanging="359"/>
        <w:spacing w:after="0"/>
        <w:tabs>
          <w:tab w:leader="none" w:pos="106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ClearOne or E.mergent in the event that the weighted average closing price of ClearOne common stock as quoted on the Nasdaq National Market for the fifteen (15) trading days ending one day prior to the date of the scheduled completion of the merger is greater than $23 or less than $14.</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Under the terms of the merger agreement, a Triggering Event is deemed to have occurred if:</w:t>
      </w:r>
    </w:p>
    <w:p>
      <w:pPr>
        <w:spacing w:after="0" w:line="175" w:lineRule="exact"/>
        <w:rPr>
          <w:sz w:val="20"/>
          <w:szCs w:val="20"/>
          <w:color w:val="auto"/>
        </w:rPr>
      </w:pPr>
    </w:p>
    <w:p>
      <w:pPr>
        <w:ind w:left="1060" w:right="3399" w:hanging="359"/>
        <w:spacing w:after="0" w:line="239" w:lineRule="auto"/>
        <w:tabs>
          <w:tab w:leader="none" w:pos="106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board of directors withdraws, amends or modifies in a manner adverse to ClearOne, the unanimous recommendation of its non-interested directors in favor of the adoption and approval of the merger agreement or the approval of the merger;</w:t>
      </w:r>
    </w:p>
    <w:p>
      <w:pPr>
        <w:spacing w:after="0" w:line="176" w:lineRule="exact"/>
        <w:rPr>
          <w:rFonts w:ascii="Courier New" w:cs="Courier New" w:eastAsia="Courier New" w:hAnsi="Courier New"/>
          <w:sz w:val="15"/>
          <w:szCs w:val="15"/>
          <w:color w:val="auto"/>
        </w:rPr>
      </w:pPr>
    </w:p>
    <w:p>
      <w:pPr>
        <w:ind w:left="1060" w:right="3399" w:hanging="359"/>
        <w:spacing w:after="0" w:line="239" w:lineRule="auto"/>
        <w:tabs>
          <w:tab w:leader="none" w:pos="106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fails to include in this document such unanimous recommendation of E.mergent's board of directors in favor of the adoption and approval of the merger agreement and the approval of the merger;</w:t>
      </w:r>
    </w:p>
    <w:p>
      <w:pPr>
        <w:spacing w:after="0" w:line="176" w:lineRule="exact"/>
        <w:rPr>
          <w:rFonts w:ascii="Courier New" w:cs="Courier New" w:eastAsia="Courier New" w:hAnsi="Courier New"/>
          <w:sz w:val="15"/>
          <w:szCs w:val="15"/>
          <w:color w:val="auto"/>
        </w:rPr>
      </w:pPr>
    </w:p>
    <w:p>
      <w:pPr>
        <w:ind w:left="1060" w:right="4099" w:hanging="359"/>
        <w:spacing w:after="0" w:line="238" w:lineRule="auto"/>
        <w:tabs>
          <w:tab w:leader="none" w:pos="106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board of directors approves or recommends any Acquisition Proposal;</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631" w:right="1440" w:bottom="1440" w:gutter="0" w:footer="0" w:header="0"/>
        </w:sectPr>
      </w:pPr>
    </w:p>
    <w:bookmarkStart w:id="67" w:name="page68"/>
    <w:bookmarkEnd w:id="67"/>
    <w:p>
      <w:pPr>
        <w:ind w:left="1060" w:right="3479" w:hanging="359"/>
        <w:spacing w:after="0" w:line="271" w:lineRule="auto"/>
        <w:tabs>
          <w:tab w:leader="none" w:pos="1060"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E.mergent enters into any letter of intent or similar agreement, contract or commitment accepting any Acquisition Proposal; or</w:t>
      </w:r>
    </w:p>
    <w:p>
      <w:pPr>
        <w:spacing w:after="0" w:line="153" w:lineRule="exact"/>
        <w:rPr>
          <w:rFonts w:ascii="Courier New" w:cs="Courier New" w:eastAsia="Courier New" w:hAnsi="Courier New"/>
          <w:sz w:val="14"/>
          <w:szCs w:val="14"/>
          <w:color w:val="auto"/>
        </w:rPr>
      </w:pPr>
    </w:p>
    <w:p>
      <w:pPr>
        <w:ind w:left="1060" w:right="3119" w:hanging="359"/>
        <w:spacing w:after="0"/>
        <w:tabs>
          <w:tab w:leader="none" w:pos="106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tender or exchange offer relating to the securities of E.mergent is commenced by a person unaffiliated with ClearOne, and E.mergent does not send to its stockholders within 10 business days after such tender or exchange offer is first published, sent or given, a statement disclosing that E.mergent recommends rejection of such tender or exchange offer.</w:t>
      </w:r>
    </w:p>
    <w:p>
      <w:pPr>
        <w:spacing w:after="0" w:line="175"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E.mergent may also terminate the merger agreement if it intends to enter into a definitive agreement with respect to an Acquisition Proposal, provided that:</w:t>
      </w:r>
    </w:p>
    <w:p>
      <w:pPr>
        <w:spacing w:after="0" w:line="175" w:lineRule="exact"/>
        <w:rPr>
          <w:sz w:val="20"/>
          <w:szCs w:val="20"/>
          <w:color w:val="auto"/>
        </w:rPr>
      </w:pPr>
    </w:p>
    <w:p>
      <w:pPr>
        <w:ind w:left="1060" w:right="3219" w:hanging="359"/>
        <w:spacing w:after="0" w:line="239" w:lineRule="auto"/>
        <w:tabs>
          <w:tab w:leader="none" w:pos="106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is not in breach of its obligations under the merger agreement with respect to such Acquisition Proposals; and continues to comply with all such obligations in all respects;</w:t>
      </w:r>
    </w:p>
    <w:p>
      <w:pPr>
        <w:spacing w:after="0" w:line="175" w:lineRule="exact"/>
        <w:rPr>
          <w:rFonts w:ascii="Courier New" w:cs="Courier New" w:eastAsia="Courier New" w:hAnsi="Courier New"/>
          <w:sz w:val="15"/>
          <w:szCs w:val="15"/>
          <w:color w:val="auto"/>
        </w:rPr>
      </w:pPr>
    </w:p>
    <w:p>
      <w:pPr>
        <w:ind w:left="1060" w:right="3219" w:hanging="359"/>
        <w:spacing w:after="0" w:line="239" w:lineRule="auto"/>
        <w:tabs>
          <w:tab w:leader="none" w:pos="106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E.mergent's board of directors has authorized, subject to complying with the terms of the merger agreement, E.mergent to enter into a definitive written agreement for a transaction that constitutes a Superior Proposal;</w:t>
      </w:r>
    </w:p>
    <w:p>
      <w:pPr>
        <w:spacing w:after="0" w:line="176" w:lineRule="exact"/>
        <w:rPr>
          <w:rFonts w:ascii="Courier New" w:cs="Courier New" w:eastAsia="Courier New" w:hAnsi="Courier New"/>
          <w:sz w:val="15"/>
          <w:szCs w:val="15"/>
          <w:color w:val="auto"/>
        </w:rPr>
      </w:pPr>
    </w:p>
    <w:p>
      <w:pPr>
        <w:ind w:left="1060" w:right="3119" w:hanging="359"/>
        <w:spacing w:after="0" w:line="239" w:lineRule="auto"/>
        <w:tabs>
          <w:tab w:leader="none" w:pos="106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E.mergent notified ClearOne in writing that E.mergent has received a Superior Proposal and intends to enter into a definitive agreement with respect to such Superior Proposal, attaching the most current version of such agreement to such notice;</w:t>
      </w:r>
    </w:p>
    <w:p>
      <w:pPr>
        <w:spacing w:after="0" w:line="176" w:lineRule="exact"/>
        <w:rPr>
          <w:rFonts w:ascii="Courier New" w:cs="Courier New" w:eastAsia="Courier New" w:hAnsi="Courier New"/>
          <w:sz w:val="15"/>
          <w:szCs w:val="15"/>
          <w:color w:val="auto"/>
        </w:rPr>
      </w:pPr>
    </w:p>
    <w:p>
      <w:pPr>
        <w:ind w:left="1060" w:right="3119" w:hanging="359"/>
        <w:spacing w:after="0"/>
        <w:tabs>
          <w:tab w:leader="none" w:pos="106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does not make, within three business days after receipt of E.mergent's written notice of its intention to enter into a definitive agreement for a Superior Proposal, an offer that E.mergent's board of directors in good faith reasonably determines, after consultation with a financial advisor of nationally recognized standing and its outside legal counsel, is at least as favorable to E.mergent's stockholders as such Superior Proposal;</w:t>
      </w:r>
    </w:p>
    <w:p>
      <w:pPr>
        <w:spacing w:after="0" w:line="175" w:lineRule="exact"/>
        <w:rPr>
          <w:rFonts w:ascii="Courier New" w:cs="Courier New" w:eastAsia="Courier New" w:hAnsi="Courier New"/>
          <w:sz w:val="15"/>
          <w:szCs w:val="15"/>
          <w:color w:val="auto"/>
        </w:rPr>
      </w:pPr>
    </w:p>
    <w:p>
      <w:pPr>
        <w:ind w:left="1060" w:right="3119" w:hanging="359"/>
        <w:spacing w:after="0"/>
        <w:tabs>
          <w:tab w:leader="none" w:pos="106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such period, E.mergent has informed ClearOne of the terms and conditions of such Superior Proposal, and the identity of the person making such Superior Proposal, with the intent of enabling both parties to agree to a modification of the terms and conditions of the merger agreement so that the transactions contemplated under the merger agreement may be effected; and</w:t>
      </w:r>
    </w:p>
    <w:p>
      <w:pPr>
        <w:spacing w:after="0" w:line="175" w:lineRule="exact"/>
        <w:rPr>
          <w:rFonts w:ascii="Courier New" w:cs="Courier New" w:eastAsia="Courier New" w:hAnsi="Courier New"/>
          <w:sz w:val="15"/>
          <w:szCs w:val="15"/>
          <w:color w:val="auto"/>
        </w:rPr>
      </w:pPr>
    </w:p>
    <w:p>
      <w:pPr>
        <w:ind w:left="1060" w:right="3579" w:hanging="359"/>
        <w:spacing w:after="0" w:line="271" w:lineRule="auto"/>
        <w:tabs>
          <w:tab w:leader="none" w:pos="1060"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prior to E.mergent's termination under the above provisions, E.mergent pays to ClearOne the Termination Fee described below.</w:t>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 of the Termination Fee</w:t>
      </w:r>
    </w:p>
    <w:p>
      <w:pPr>
        <w:spacing w:after="0" w:line="174" w:lineRule="exact"/>
        <w:rPr>
          <w:sz w:val="20"/>
          <w:szCs w:val="20"/>
          <w:color w:val="auto"/>
        </w:rPr>
      </w:pPr>
    </w:p>
    <w:p>
      <w:pPr>
        <w:ind w:right="3219" w:firstLine="710"/>
        <w:spacing w:after="0" w:line="262" w:lineRule="auto"/>
        <w:rPr>
          <w:sz w:val="20"/>
          <w:szCs w:val="20"/>
          <w:color w:val="auto"/>
        </w:rPr>
      </w:pPr>
      <w:r>
        <w:rPr>
          <w:rFonts w:ascii="Courier New" w:cs="Courier New" w:eastAsia="Courier New" w:hAnsi="Courier New"/>
          <w:sz w:val="14"/>
          <w:szCs w:val="14"/>
          <w:color w:val="auto"/>
        </w:rPr>
        <w:t>Under the terms of the merger agreement, E.mergent must pay ClearOne a termination fee of $1,000,000 plus up to $500,000 of ClearOne's actual legal, advisory and accounting fees incurred in connection with the merger, within one business day after termination, if the merger agreement is terminated:</w:t>
      </w:r>
    </w:p>
    <w:p>
      <w:pPr>
        <w:spacing w:after="0" w:line="158" w:lineRule="exact"/>
        <w:rPr>
          <w:sz w:val="20"/>
          <w:szCs w:val="20"/>
          <w:color w:val="auto"/>
        </w:rPr>
      </w:pPr>
    </w:p>
    <w:p>
      <w:pPr>
        <w:ind w:left="1060" w:hanging="359"/>
        <w:spacing w:after="0"/>
        <w:tabs>
          <w:tab w:leader="none" w:pos="106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ClearOne upon the occurrence of a Triggering Event; or</w:t>
      </w:r>
    </w:p>
    <w:p>
      <w:pPr>
        <w:spacing w:after="0" w:line="174" w:lineRule="exact"/>
        <w:rPr>
          <w:rFonts w:ascii="Courier New" w:cs="Courier New" w:eastAsia="Courier New" w:hAnsi="Courier New"/>
          <w:sz w:val="15"/>
          <w:szCs w:val="15"/>
          <w:color w:val="auto"/>
        </w:rPr>
      </w:pPr>
    </w:p>
    <w:p>
      <w:pPr>
        <w:ind w:left="1060" w:right="3299" w:hanging="359"/>
        <w:spacing w:after="0" w:line="239" w:lineRule="auto"/>
        <w:tabs>
          <w:tab w:leader="none" w:pos="106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E.mergent if it determined to enter into a definitive agreement with respect to an Acquisition Proposal in accordance with the termination provisions described above.</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Alternatively, if ClearOne terminates the merger agreement for a material breach of any covenant or agreement on the part of E.mergent, or if any of E.mergent's representations or warranties are or become untrue such that the condition to ClearOne's obligation to complete the merger relating to the continued accuracy of E.mergent's representations and warranties would not be satisfied (subject to the applicable cure period), then E.mergent must pay up to $500,000 of ClearOne's actual legal, advisory and accounting fees incurred in connection with the merger.</w:t>
      </w:r>
    </w:p>
    <w:p>
      <w:pPr>
        <w:spacing w:after="0" w:line="177"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In addition, if E.mergent terminates the merger agreement for a material breach of any covenant or agreement on the part of ClearOne, or if any of ClearOne's representations or warranties are or become untrue such that the condition to E.mergent's obligation to complete the merger relating to the continued accuracy of ClearOne's representations and warranties would not be satisfied (subject to the applicable cure period), then ClearOne must pay up to $500,000 of E.mergent's actual legal, advisory and accounting fees incurred in connection with the merger.</w:t>
      </w:r>
    </w:p>
    <w:p>
      <w:pPr>
        <w:spacing w:after="0" w:line="345"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631" w:right="1440" w:bottom="1440" w:gutter="0" w:footer="0" w:header="0"/>
        </w:sectPr>
      </w:pPr>
    </w:p>
    <w:bookmarkStart w:id="68" w:name="page69"/>
    <w:bookmarkEnd w:id="68"/>
    <w:p>
      <w:pPr>
        <w:spacing w:after="0"/>
        <w:rPr>
          <w:sz w:val="20"/>
          <w:szCs w:val="20"/>
          <w:color w:val="auto"/>
        </w:rPr>
      </w:pPr>
      <w:r>
        <w:rPr>
          <w:rFonts w:ascii="Courier New" w:cs="Courier New" w:eastAsia="Courier New" w:hAnsi="Courier New"/>
          <w:sz w:val="15"/>
          <w:szCs w:val="15"/>
          <w:color w:val="auto"/>
        </w:rPr>
        <w:t>Effect of Termination</w:t>
      </w:r>
    </w:p>
    <w:p>
      <w:pPr>
        <w:spacing w:after="0" w:line="174" w:lineRule="exact"/>
        <w:rPr>
          <w:sz w:val="20"/>
          <w:szCs w:val="20"/>
          <w:color w:val="auto"/>
        </w:rPr>
      </w:pPr>
    </w:p>
    <w:p>
      <w:pPr>
        <w:ind w:right="3119" w:firstLine="710"/>
        <w:spacing w:after="0" w:line="271" w:lineRule="auto"/>
        <w:rPr>
          <w:sz w:val="20"/>
          <w:szCs w:val="20"/>
          <w:color w:val="auto"/>
        </w:rPr>
      </w:pPr>
      <w:r>
        <w:rPr>
          <w:rFonts w:ascii="Courier New" w:cs="Courier New" w:eastAsia="Courier New" w:hAnsi="Courier New"/>
          <w:sz w:val="14"/>
          <w:szCs w:val="14"/>
          <w:color w:val="auto"/>
        </w:rPr>
        <w:t>Upon termination of the merger agreement, it will be of no further force or effect without liability of any party to the other parties, except for:</w:t>
      </w:r>
    </w:p>
    <w:p>
      <w:pPr>
        <w:spacing w:after="0" w:line="151" w:lineRule="exact"/>
        <w:rPr>
          <w:sz w:val="20"/>
          <w:szCs w:val="20"/>
          <w:color w:val="auto"/>
        </w:rPr>
      </w:pPr>
    </w:p>
    <w:p>
      <w:pPr>
        <w:ind w:left="1060" w:hanging="359"/>
        <w:spacing w:after="0"/>
        <w:tabs>
          <w:tab w:leader="none" w:pos="10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the termination fee as described above;</w:t>
      </w:r>
    </w:p>
    <w:p>
      <w:pPr>
        <w:spacing w:after="0" w:line="174" w:lineRule="exact"/>
        <w:rPr>
          <w:rFonts w:ascii="Courier New" w:cs="Courier New" w:eastAsia="Courier New" w:hAnsi="Courier New"/>
          <w:sz w:val="15"/>
          <w:szCs w:val="15"/>
          <w:color w:val="auto"/>
        </w:rPr>
      </w:pPr>
    </w:p>
    <w:p>
      <w:pPr>
        <w:ind w:left="1060" w:right="3659" w:hanging="359"/>
        <w:spacing w:after="0" w:line="238" w:lineRule="auto"/>
        <w:tabs>
          <w:tab w:leader="none" w:pos="10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liability for any intentional or willful breach of or fraud in connection with the merger agreement; and</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miscellaneous provisions of the merger agreement.</w:t>
      </w:r>
    </w:p>
    <w:p>
      <w:pPr>
        <w:spacing w:after="0" w:line="174" w:lineRule="exact"/>
        <w:rPr>
          <w:sz w:val="20"/>
          <w:szCs w:val="20"/>
          <w:color w:val="auto"/>
        </w:rPr>
      </w:pPr>
    </w:p>
    <w:p>
      <w:pPr>
        <w:jc w:val="both"/>
        <w:ind w:right="3219" w:firstLine="710"/>
        <w:spacing w:after="0" w:line="239" w:lineRule="auto"/>
        <w:rPr>
          <w:sz w:val="20"/>
          <w:szCs w:val="20"/>
          <w:color w:val="auto"/>
        </w:rPr>
      </w:pPr>
      <w:r>
        <w:rPr>
          <w:rFonts w:ascii="Courier New" w:cs="Courier New" w:eastAsia="Courier New" w:hAnsi="Courier New"/>
          <w:sz w:val="15"/>
          <w:szCs w:val="15"/>
          <w:color w:val="auto"/>
        </w:rPr>
        <w:t>Except for the termination fee described above and cost associated with the collection of such fee, each party will pay all fees and expenses it incurs in the merger.</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Extension, Waiver and Amendment of the Merger Agreement</w:t>
      </w:r>
    </w:p>
    <w:p>
      <w:pPr>
        <w:spacing w:after="0" w:line="174" w:lineRule="exact"/>
        <w:rPr>
          <w:sz w:val="20"/>
          <w:szCs w:val="20"/>
          <w:color w:val="auto"/>
        </w:rPr>
      </w:pPr>
    </w:p>
    <w:p>
      <w:pPr>
        <w:ind w:right="3119" w:firstLine="710"/>
        <w:spacing w:after="0" w:line="260" w:lineRule="auto"/>
        <w:rPr>
          <w:sz w:val="20"/>
          <w:szCs w:val="20"/>
          <w:color w:val="auto"/>
        </w:rPr>
      </w:pPr>
      <w:r>
        <w:rPr>
          <w:rFonts w:ascii="Courier New" w:cs="Courier New" w:eastAsia="Courier New" w:hAnsi="Courier New"/>
          <w:sz w:val="14"/>
          <w:szCs w:val="14"/>
          <w:color w:val="auto"/>
        </w:rPr>
        <w:t>ClearOne and E.mergent may amend the merger agreement before completion of the merger by mutual written consent. Either ClearOne or E.mergent may extend the other party's time for the performance of any of the obligations or other acts under the merger agreement, waive any inaccuracies in the other's representations and warranties and waive compliance by the other party with any of the agreements or conditions contained in the merger agreement.</w:t>
      </w:r>
    </w:p>
    <w:p>
      <w:pPr>
        <w:spacing w:after="0" w:line="33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Definition of Material Adverse Effect</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Under the terms of the merger agreement, a "material adverse effect" on either ClearOne or E.mergent is defined to mean any change or effect in the business of such company that, individually or when taken together with all other such changes or effects that have occurred prior to the date of determination, is or is reasonably likely to be materially adverse to the business, assets, financial condition or results of operations of such entity and its subsidiaries, taken as a whole. However, none of the following, alone or in combination, will be deemed to constitute, or taken into account in determining whether there has been or will be, a material adverse effect on any entity:</w:t>
      </w:r>
    </w:p>
    <w:p>
      <w:pPr>
        <w:spacing w:after="0" w:line="178" w:lineRule="exact"/>
        <w:rPr>
          <w:sz w:val="20"/>
          <w:szCs w:val="20"/>
          <w:color w:val="auto"/>
        </w:rPr>
      </w:pPr>
    </w:p>
    <w:p>
      <w:pPr>
        <w:ind w:left="1060" w:right="3119" w:hanging="359"/>
        <w:spacing w:after="0" w:line="262" w:lineRule="auto"/>
        <w:tabs>
          <w:tab w:leader="none" w:pos="1060"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change or effect that results or arises from changes affecting any of the industries in which such entity operates generally or the United States economy generally (which changes or effects in each case do not materially disproportionately affect such entity); or</w:t>
      </w:r>
    </w:p>
    <w:p>
      <w:pPr>
        <w:spacing w:after="0" w:line="160" w:lineRule="exact"/>
        <w:rPr>
          <w:rFonts w:ascii="Courier New" w:cs="Courier New" w:eastAsia="Courier New" w:hAnsi="Courier New"/>
          <w:sz w:val="14"/>
          <w:szCs w:val="14"/>
          <w:color w:val="auto"/>
        </w:rPr>
      </w:pPr>
    </w:p>
    <w:p>
      <w:pPr>
        <w:ind w:left="1060" w:right="3299" w:hanging="359"/>
        <w:spacing w:after="0" w:line="239" w:lineRule="auto"/>
        <w:tabs>
          <w:tab w:leader="none" w:pos="106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or effect that results or arises from changes affecting general worldwide economic or capital market conditions (which changes in each case do not materially disproportionately affect such entity).</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Merger Agreement</w:t>
      </w:r>
    </w:p>
    <w:p>
      <w:pPr>
        <w:spacing w:after="0" w:line="174"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On March 29, 2002, ClearOne and E.mergent amended the merger agreement to extend, from May 7, 2002 to May 31, 2002, the date after which the merger agreement could be terminated by either party if the merger had yet to be completed (see Annex A-1).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628" w:right="1440" w:bottom="1440" w:gutter="0" w:footer="0" w:header="0"/>
        </w:sectPr>
      </w:pPr>
    </w:p>
    <w:bookmarkStart w:id="69" w:name="page70"/>
    <w:bookmarkEnd w:id="69"/>
    <w:p>
      <w:pPr>
        <w:ind w:left="2660"/>
        <w:spacing w:after="0"/>
        <w:rPr>
          <w:sz w:val="20"/>
          <w:szCs w:val="20"/>
          <w:color w:val="auto"/>
        </w:rPr>
      </w:pPr>
      <w:r>
        <w:rPr>
          <w:rFonts w:ascii="Courier New" w:cs="Courier New" w:eastAsia="Courier New" w:hAnsi="Courier New"/>
          <w:sz w:val="15"/>
          <w:szCs w:val="15"/>
          <w:color w:val="auto"/>
        </w:rPr>
        <w:t>ANCILLARY AGREEMENTS</w:t>
      </w:r>
    </w:p>
    <w:p>
      <w:pPr>
        <w:spacing w:after="0" w:line="342"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Voting Agreement</w:t>
      </w:r>
    </w:p>
    <w:p>
      <w:pPr>
        <w:spacing w:after="0" w:line="174"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In connection with the execution of the merger agreement, three directors and one officer of E.mergent who together hold approximately 40% of the voting power of E.mergent's voting shares, each executed voting agreements with ClearOne dated as of the date of the merger agreement. The directors and officer are James Hansen, Robin Sheeley, Richard Craven and Jill Larson. In the voting agreements, these E.mergent stockholders agreed to:</w:t>
      </w:r>
    </w:p>
    <w:p>
      <w:pPr>
        <w:spacing w:after="0" w:line="164" w:lineRule="exact"/>
        <w:rPr>
          <w:sz w:val="20"/>
          <w:szCs w:val="20"/>
          <w:color w:val="auto"/>
        </w:rPr>
      </w:pPr>
    </w:p>
    <w:p>
      <w:pPr>
        <w:ind w:left="1060" w:right="3219" w:hanging="359"/>
        <w:spacing w:after="0"/>
        <w:tabs>
          <w:tab w:leader="none" w:pos="10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 the stockholder's shares and exercise all consent and similar rights in favor of the approval and adoption of the merger, the merger agreement, each other transaction contemplated by the merger agreement and in favor of any action required in furtherance of the consummation of the merger;</w:t>
      </w:r>
    </w:p>
    <w:p>
      <w:pPr>
        <w:spacing w:after="0" w:line="174" w:lineRule="exact"/>
        <w:rPr>
          <w:rFonts w:ascii="Courier New" w:cs="Courier New" w:eastAsia="Courier New" w:hAnsi="Courier New"/>
          <w:sz w:val="15"/>
          <w:szCs w:val="15"/>
          <w:color w:val="auto"/>
        </w:rPr>
      </w:pPr>
    </w:p>
    <w:p>
      <w:pPr>
        <w:jc w:val="both"/>
        <w:ind w:left="1060" w:right="3299" w:hanging="359"/>
        <w:spacing w:after="0" w:line="239" w:lineRule="auto"/>
        <w:tabs>
          <w:tab w:leader="none" w:pos="10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vote against any proposal made in opposition to, or in competition with, consummation of the merger and the transactions contemplated by the merger agreement;</w:t>
      </w:r>
    </w:p>
    <w:p>
      <w:pPr>
        <w:spacing w:after="0" w:line="175" w:lineRule="exact"/>
        <w:rPr>
          <w:rFonts w:ascii="Courier New" w:cs="Courier New" w:eastAsia="Courier New" w:hAnsi="Courier New"/>
          <w:sz w:val="15"/>
          <w:szCs w:val="15"/>
          <w:color w:val="auto"/>
        </w:rPr>
      </w:pPr>
    </w:p>
    <w:p>
      <w:pPr>
        <w:ind w:left="1060" w:right="3219" w:hanging="359"/>
        <w:spacing w:after="0" w:line="238" w:lineRule="auto"/>
        <w:tabs>
          <w:tab w:leader="none" w:pos="10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and did grant, to ClearOne irrevocable proxies to vote their shares as required by the voting agreement; and</w:t>
      </w:r>
    </w:p>
    <w:p>
      <w:pPr>
        <w:spacing w:after="0" w:line="174" w:lineRule="exact"/>
        <w:rPr>
          <w:rFonts w:ascii="Courier New" w:cs="Courier New" w:eastAsia="Courier New" w:hAnsi="Courier New"/>
          <w:sz w:val="15"/>
          <w:szCs w:val="15"/>
          <w:color w:val="auto"/>
        </w:rPr>
      </w:pPr>
    </w:p>
    <w:p>
      <w:pPr>
        <w:ind w:left="1060" w:right="3119" w:hanging="359"/>
        <w:spacing w:after="0" w:line="261" w:lineRule="auto"/>
        <w:tabs>
          <w:tab w:leader="none" w:pos="1060"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request of ClearOne, execute and deliver any additional documents and take such further actions as may reasonably be deemed by ClearOne to be necessary or desirable to carry out the provisions of the voting agreement and to vest in ClearOne the power to vote stockholder's shares as contemplated by the voting agreement.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Furthermore, each of these stockholders agreed not to:</w:t>
      </w:r>
    </w:p>
    <w:p>
      <w:pPr>
        <w:spacing w:after="0" w:line="174" w:lineRule="exact"/>
        <w:rPr>
          <w:sz w:val="20"/>
          <w:szCs w:val="20"/>
          <w:color w:val="auto"/>
        </w:rPr>
      </w:pPr>
    </w:p>
    <w:p>
      <w:pPr>
        <w:ind w:left="1060" w:right="3119" w:hanging="359"/>
        <w:spacing w:after="0" w:line="261" w:lineRule="auto"/>
        <w:tabs>
          <w:tab w:leader="none" w:pos="10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sell, transfer, pledge, encumber, grant an option with respect to or otherwise dispose any interest in the stockholders shares of voting securities of E.mergent, including E.mergent stock options, unless the transferee of the voting securities agrees to be bound by the terms of the voting agreement and delivers a proxy to ClearOne;</w:t>
      </w:r>
    </w:p>
    <w:p>
      <w:pPr>
        <w:spacing w:after="0" w:line="161" w:lineRule="exact"/>
        <w:rPr>
          <w:rFonts w:ascii="Courier New" w:cs="Courier New" w:eastAsia="Courier New" w:hAnsi="Courier New"/>
          <w:sz w:val="14"/>
          <w:szCs w:val="14"/>
          <w:color w:val="auto"/>
        </w:rPr>
      </w:pPr>
    </w:p>
    <w:p>
      <w:pPr>
        <w:ind w:left="1060" w:right="3119" w:hanging="359"/>
        <w:spacing w:after="0" w:line="261" w:lineRule="auto"/>
        <w:tabs>
          <w:tab w:leader="none" w:pos="1060"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enter into any agreement or commitment, with respect to the sale, transfer, pledge, encumbrance, grant of an option with respect to or other disposition of any of the voting securities of E.mergent unless the transferee of the voting securities agrees to be bound by the terms of the voting agreement and delivers a proxy to ClearOne;</w:t>
      </w:r>
    </w:p>
    <w:p>
      <w:pPr>
        <w:spacing w:after="0" w:line="161" w:lineRule="exact"/>
        <w:rPr>
          <w:rFonts w:ascii="Courier New" w:cs="Courier New" w:eastAsia="Courier New" w:hAnsi="Courier New"/>
          <w:sz w:val="14"/>
          <w:szCs w:val="14"/>
          <w:color w:val="auto"/>
        </w:rPr>
      </w:pPr>
    </w:p>
    <w:p>
      <w:pPr>
        <w:ind w:left="1060" w:right="3299" w:hanging="359"/>
        <w:spacing w:after="0" w:line="239" w:lineRule="auto"/>
        <w:tabs>
          <w:tab w:leader="none" w:pos="10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 its shares of voting securities of E.mergent into a voting trust or grant any proxy or enter into a voting agreement or other arrangement with respect to such shares in contravention of the voting agreement; or</w:t>
      </w:r>
    </w:p>
    <w:p>
      <w:pPr>
        <w:spacing w:after="0" w:line="173"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dissenter's rights.</w:t>
      </w:r>
    </w:p>
    <w:p>
      <w:pPr>
        <w:spacing w:after="0" w:line="174"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Further, under the voting agreement, no stockholder subject to the agreement will, nor will any stockholder authorize or permit any of such stockholder's affiliates or any investment banker, attorney or other advisor or representative retained by any of them to, directly or indirectly:</w:t>
      </w:r>
    </w:p>
    <w:p>
      <w:pPr>
        <w:spacing w:after="0" w:line="176" w:lineRule="exact"/>
        <w:rPr>
          <w:sz w:val="20"/>
          <w:szCs w:val="20"/>
          <w:color w:val="auto"/>
        </w:rPr>
      </w:pPr>
    </w:p>
    <w:p>
      <w:pPr>
        <w:ind w:left="1060" w:right="3479" w:hanging="359"/>
        <w:spacing w:after="0" w:line="238" w:lineRule="auto"/>
        <w:tabs>
          <w:tab w:leader="none" w:pos="106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solicit, initiate, encourage or induce the making, submission or announcement of any Acquisition Proposal;</w:t>
      </w:r>
    </w:p>
    <w:p>
      <w:pPr>
        <w:spacing w:after="0" w:line="174" w:lineRule="exact"/>
        <w:rPr>
          <w:rFonts w:ascii="Courier New" w:cs="Courier New" w:eastAsia="Courier New" w:hAnsi="Courier New"/>
          <w:sz w:val="15"/>
          <w:szCs w:val="15"/>
          <w:color w:val="auto"/>
        </w:rPr>
      </w:pPr>
    </w:p>
    <w:p>
      <w:pPr>
        <w:ind w:left="1060" w:right="3119" w:hanging="359"/>
        <w:spacing w:after="0"/>
        <w:tabs>
          <w:tab w:leader="none" w:pos="106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participate in any discussions or negotiations regarding, or furnish to any person any information with respect to, or take any other action to facilitate any inquiries or the making of any proposal that constitutes or may reasonably be expected to lead to, any Acquisition Proposal;</w:t>
      </w:r>
    </w:p>
    <w:p>
      <w:pPr>
        <w:spacing w:after="0" w:line="174" w:lineRule="exact"/>
        <w:rPr>
          <w:rFonts w:ascii="Courier New" w:cs="Courier New" w:eastAsia="Courier New" w:hAnsi="Courier New"/>
          <w:sz w:val="15"/>
          <w:szCs w:val="15"/>
          <w:color w:val="auto"/>
        </w:rPr>
      </w:pPr>
    </w:p>
    <w:p>
      <w:pPr>
        <w:ind w:left="1060" w:right="4099" w:hanging="359"/>
        <w:spacing w:after="0" w:line="238" w:lineRule="auto"/>
        <w:tabs>
          <w:tab w:leader="none" w:pos="106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discussions with any person with respect to any Acquisition Proposal;</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approve, endorse or recommend any Acquisition Proposal; or</w:t>
      </w:r>
    </w:p>
    <w:p>
      <w:pPr>
        <w:spacing w:after="0" w:line="174" w:lineRule="exact"/>
        <w:rPr>
          <w:rFonts w:ascii="Courier New" w:cs="Courier New" w:eastAsia="Courier New" w:hAnsi="Courier New"/>
          <w:sz w:val="15"/>
          <w:szCs w:val="15"/>
          <w:color w:val="auto"/>
        </w:rPr>
      </w:pPr>
    </w:p>
    <w:p>
      <w:pPr>
        <w:ind w:left="1060" w:right="3119" w:hanging="359"/>
        <w:spacing w:after="0" w:line="239" w:lineRule="auto"/>
        <w:tabs>
          <w:tab w:leader="none" w:pos="106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enter into any letter of intent or similar document or any contract, agreement or commitment contemplating or otherwise relating to any Acquisition Transaction.</w:t>
      </w:r>
    </w:p>
    <w:p>
      <w:pPr>
        <w:spacing w:after="0" w:line="343"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628" w:right="1440" w:bottom="1440" w:gutter="0" w:footer="0" w:header="0"/>
        </w:sectPr>
      </w:pPr>
    </w:p>
    <w:bookmarkStart w:id="70" w:name="page71"/>
    <w:bookmarkEnd w:id="70"/>
    <w:p>
      <w:pPr>
        <w:jc w:val="both"/>
        <w:ind w:right="3399" w:firstLine="710"/>
        <w:spacing w:after="0" w:line="264" w:lineRule="auto"/>
        <w:rPr>
          <w:sz w:val="20"/>
          <w:szCs w:val="20"/>
          <w:color w:val="auto"/>
        </w:rPr>
      </w:pPr>
      <w:r>
        <w:rPr>
          <w:rFonts w:ascii="Courier New" w:cs="Courier New" w:eastAsia="Courier New" w:hAnsi="Courier New"/>
          <w:sz w:val="14"/>
          <w:szCs w:val="14"/>
          <w:color w:val="auto"/>
        </w:rPr>
        <w:t>However, nothing in the voting agreement prohibits such a stockholder from taking action in the stockholder's capacity as a director or officer of E.mergent to the extent otherwise permitted by the merger agreement.</w:t>
      </w:r>
    </w:p>
    <w:p>
      <w:pPr>
        <w:spacing w:after="0" w:line="15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voting agreement terminates upon the earliest to occur of:</w:t>
      </w:r>
    </w:p>
    <w:p>
      <w:pPr>
        <w:spacing w:after="0" w:line="174" w:lineRule="exact"/>
        <w:rPr>
          <w:sz w:val="20"/>
          <w:szCs w:val="20"/>
          <w:color w:val="auto"/>
        </w:rPr>
      </w:pPr>
    </w:p>
    <w:p>
      <w:pPr>
        <w:ind w:left="1060" w:right="4019" w:hanging="359"/>
        <w:spacing w:after="0" w:line="238" w:lineRule="auto"/>
        <w:tabs>
          <w:tab w:leader="none" w:pos="106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closing of the transactions contemplated by the merger agreement; and</w:t>
      </w:r>
    </w:p>
    <w:p>
      <w:pPr>
        <w:spacing w:after="0" w:line="174" w:lineRule="exact"/>
        <w:rPr>
          <w:rFonts w:ascii="Courier New" w:cs="Courier New" w:eastAsia="Courier New" w:hAnsi="Courier New"/>
          <w:sz w:val="15"/>
          <w:szCs w:val="15"/>
          <w:color w:val="auto"/>
        </w:rPr>
      </w:pPr>
    </w:p>
    <w:p>
      <w:pPr>
        <w:ind w:left="1060" w:right="3299" w:hanging="359"/>
        <w:spacing w:after="0" w:line="238" w:lineRule="auto"/>
        <w:tabs>
          <w:tab w:leader="none" w:pos="106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date the merger agreement is terminated in accordance with its terms.</w:t>
      </w:r>
    </w:p>
    <w:p>
      <w:pPr>
        <w:spacing w:after="0" w:line="175" w:lineRule="exact"/>
        <w:rPr>
          <w:sz w:val="20"/>
          <w:szCs w:val="20"/>
          <w:color w:val="auto"/>
        </w:rPr>
      </w:pPr>
    </w:p>
    <w:p>
      <w:pPr>
        <w:ind w:right="3399" w:firstLine="710"/>
        <w:spacing w:after="0" w:line="238" w:lineRule="auto"/>
        <w:rPr>
          <w:sz w:val="20"/>
          <w:szCs w:val="20"/>
          <w:color w:val="auto"/>
        </w:rPr>
      </w:pPr>
      <w:r>
        <w:rPr>
          <w:rFonts w:ascii="Courier New" w:cs="Courier New" w:eastAsia="Courier New" w:hAnsi="Courier New"/>
          <w:sz w:val="15"/>
          <w:szCs w:val="15"/>
          <w:color w:val="auto"/>
        </w:rPr>
        <w:t>The form of voting agreement is attached to this document as Annex B, and you are urged to read it in its entirety.</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Affiliate Agreements</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As a condition to ClearOne's entering into the merger agreement, each member of the E.mergent board of directors of E.mergent are required to enter into affiliate agreements with ClearOne. Under the terms of the affiliate agreements, ClearOne will be entitled to place appropriate legends on the certificates evidencing any ClearOne common stock to be received by these persons and to issue stop transfer instructions to the transfer agent for the ClearOne common stock. Additionally, these persons have acknowledged the resale restrictions imposed by Rule 145 under the Securities Act on shares of ClearOne common stock to be received by them in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19"/>
          </w:cols>
          <w:pgMar w:left="240" w:top="631" w:right="1440" w:bottom="1440" w:gutter="0" w:footer="0" w:header="0"/>
        </w:sectPr>
      </w:pPr>
    </w:p>
    <w:bookmarkStart w:id="71" w:name="page72"/>
    <w:bookmarkEnd w:id="71"/>
    <w:p>
      <w:pPr>
        <w:ind w:left="2380"/>
        <w:spacing w:after="0"/>
        <w:rPr>
          <w:sz w:val="20"/>
          <w:szCs w:val="20"/>
          <w:color w:val="auto"/>
        </w:rPr>
      </w:pPr>
      <w:r>
        <w:rPr>
          <w:rFonts w:ascii="Courier New" w:cs="Courier New" w:eastAsia="Courier New" w:hAnsi="Courier New"/>
          <w:sz w:val="15"/>
          <w:szCs w:val="15"/>
          <w:color w:val="auto"/>
        </w:rPr>
        <w:t>INFORMATION ABOUT E.MERGENT</w:t>
      </w:r>
    </w:p>
    <w:p>
      <w:pPr>
        <w:spacing w:after="0" w:line="174" w:lineRule="exact"/>
        <w:rPr>
          <w:sz w:val="20"/>
          <w:szCs w:val="20"/>
          <w:color w:val="auto"/>
        </w:rPr>
      </w:pPr>
    </w:p>
    <w:p>
      <w:pPr>
        <w:ind w:right="4099" w:firstLine="710"/>
        <w:spacing w:after="0" w:line="238" w:lineRule="auto"/>
        <w:rPr>
          <w:sz w:val="20"/>
          <w:szCs w:val="20"/>
          <w:color w:val="auto"/>
        </w:rPr>
      </w:pPr>
      <w:r>
        <w:rPr>
          <w:rFonts w:ascii="Courier New" w:cs="Courier New" w:eastAsia="Courier New" w:hAnsi="Courier New"/>
          <w:sz w:val="15"/>
          <w:szCs w:val="15"/>
          <w:color w:val="auto"/>
        </w:rPr>
        <w:t>For information about E.mergent, see "Where You Can Find More Information" on page 72 of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19"/>
          </w:cols>
          <w:pgMar w:left="240" w:top="628" w:right="1440" w:bottom="1440" w:gutter="0" w:footer="0" w:header="0"/>
        </w:sectPr>
      </w:pPr>
    </w:p>
    <w:bookmarkStart w:id="72" w:name="page73"/>
    <w:bookmarkEnd w:id="72"/>
    <w:p>
      <w:pPr>
        <w:ind w:left="2380"/>
        <w:spacing w:after="0"/>
        <w:rPr>
          <w:sz w:val="20"/>
          <w:szCs w:val="20"/>
          <w:color w:val="auto"/>
        </w:rPr>
      </w:pPr>
      <w:r>
        <w:rPr>
          <w:rFonts w:ascii="Courier New" w:cs="Courier New" w:eastAsia="Courier New" w:hAnsi="Courier New"/>
          <w:sz w:val="15"/>
          <w:szCs w:val="15"/>
          <w:color w:val="auto"/>
        </w:rPr>
        <w:t>INFORMATION ABOUT CLEARONE</w:t>
      </w:r>
    </w:p>
    <w:p>
      <w:pPr>
        <w:spacing w:after="0" w:line="174" w:lineRule="exact"/>
        <w:rPr>
          <w:sz w:val="20"/>
          <w:szCs w:val="20"/>
          <w:color w:val="auto"/>
        </w:rPr>
      </w:pPr>
    </w:p>
    <w:p>
      <w:pPr>
        <w:ind w:right="3119" w:firstLine="710"/>
        <w:spacing w:after="0" w:line="264" w:lineRule="auto"/>
        <w:rPr>
          <w:sz w:val="20"/>
          <w:szCs w:val="20"/>
          <w:color w:val="auto"/>
        </w:rPr>
      </w:pPr>
      <w:r>
        <w:rPr>
          <w:rFonts w:ascii="Courier New" w:cs="Courier New" w:eastAsia="Courier New" w:hAnsi="Courier New"/>
          <w:sz w:val="14"/>
          <w:szCs w:val="14"/>
          <w:color w:val="auto"/>
        </w:rPr>
        <w:t>For information about ClearOne, see "Where You Can Find More Information" on page 72 of this proxy statement/prospectus. In addition, certain recent ClearOne events and changes in ClearOne's operations are described below.</w:t>
      </w:r>
    </w:p>
    <w:p>
      <w:pPr>
        <w:spacing w:after="0" w:line="3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 of Agreement Regarding Acquisition of Ivron Systems</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On April 8, 2002, ClearOne entered into an amendment to the original Share Purchase Agreement between ClearOne and the shareholders of Ivron Systems, Ltd. Under the original agreement, on October 3, 2001, ClearOne, through its wholly owned subsidiary, Gentner Ventures, Inc., purchased all of the issued and outstanding shares of Ivron Systems. Under the original Share Purchase Agreement, the shareholders of Ivron received approximately US$6,000,000 at closing of the purchase. Further, under that agreement, after June 30, 2002, each former Ivron shareholder would be entitled to receive approximately .08 shares of ClearOne's common shares for each Ivron share previously held by such shareholder, provided that certain video product development contingencies were achieved. That represented approximately 429,000 shares of ClearOne's common stock. Thereafter, for ClearOne's completed fiscal years 2003 and 2004, the former Ivron shareholders would be entitled to share in up to approximately US$17,000,000 of additional cash and stock consideration provided that certain agreed upon earnings per share targets for ClearOne were achieved. As part of the purchase, all outstanding options to purchase Ivron shares were cancelled in consideration for an aggregate cash payment of US$650,000, allocated among the optionees on the basis of the number of options originally held by each such optionee. In addition, former optionees of Ivron who remain with Ivron are eligible to participate in a cash bonus program paid by Ivron, but based on the combined performance of ClearOne and Ivron in fiscal years 2003 and 2004. The maximum amount payable under this bonus program is up to approximately US$1,000,000.</w:t>
      </w:r>
    </w:p>
    <w:p>
      <w:pPr>
        <w:spacing w:after="0" w:line="188"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On March 26, 2002, ClearOne entered into negotiations with the former shareholders of Ivron Systems to modify the terms of the original purchase agreement because, upon further analysis, certain aspects of the technology acquired from Ivron may not meet the intended product objectives established by ClearOne in its original purchase negotiations. Originally, ClearOne expected to develop a full line of videoconferencing products, including an installed video codec product, based on the Ivron Systems V-There technology platform. Given the results of its analysis, ClearOne has now identified an opportunity to collaborate in the development of a video codec, based on other readily-available technology, specifically designed for the high-end, installed videoconferencing market, that combines faster frames-per-second, built-in multipoint conferencing, and ClearOne's high-quality audio. The negotiations were based on the results of an analysis by ClearOne that although the Ivron platform is well-suited for the lower- to mid-priced videoconferencing products, it is not as well-suited for an installed video codec product. These negotiations resulted in an amendment to the original October 3, 2001 purchase agreement.</w:t>
      </w:r>
    </w:p>
    <w:p>
      <w:pPr>
        <w:spacing w:after="0" w:line="183"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The amendment eliminates the earn-out that the Ivron shareholders would have been entitled to receive after June 30, 2002 for approximately 429,000 shares and the $17 million earn-out in subsequent years. Instead, upon meeting certain gross profit targets for ClearOne's "V-There", "Vu-Link" set top videoconferencing products, technologies, and variants and sub-elements thereof (including licensed products), the former Ivron Shareholders may share in an earn-out of up to 109,000 shares of common stock of ClearOne, issuable in four installments, on a quarterly basis, through July 15, 2003. Therefore, with the amendment, the total purchase price will now include the original $6.7 million in cash paid in October of 2001, the revised earn-out of up to 109,000 shares, and the original bonus to be paid in 2003 and 2004 of up to $1 million for the former option holders of Ivron, the last two of which are dependent upon the achievement of certain targets.</w:t>
      </w:r>
    </w:p>
    <w:p>
      <w:pPr>
        <w:spacing w:after="0" w:line="180"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ClearOne currently anticipates that the Dublin, Ireland operations acquired in the Ivron transaction will continue, although it is expected that existing research and development efforts and personnel there will be reduced to focus primarily on the development and enhancement of the V-There products and not on the installed video codec element.</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Following the closing of the purchase of Ivron Systems, Michael Peirce, the former chairman of Ivron, was appointed to ClearOne's board of directors. Since September 30, 2001, the following new ClearOne officers have been appointed: DeLonnie Call - Vice President - Human Resources; Angelina Beitia - Vice President - Marketing; Kevin Davis - Vice President - Conferencing Services; Gene Kuntz - Chief Operating Officer; and Andrew S. Fellows, Vice President of Services. Mr. Kuntz subsequently resigned effective May 1, 2002.</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628" w:right="1440" w:bottom="1440" w:gutter="0" w:footer="0" w:header="0"/>
        </w:sectPr>
      </w:pPr>
    </w:p>
    <w:bookmarkStart w:id="73" w:name="page74"/>
    <w:bookmarkEnd w:id="73"/>
    <w:p>
      <w:pPr>
        <w:ind w:right="3299" w:firstLine="710"/>
        <w:spacing w:after="0" w:line="239" w:lineRule="auto"/>
        <w:rPr>
          <w:sz w:val="20"/>
          <w:szCs w:val="20"/>
          <w:color w:val="auto"/>
        </w:rPr>
      </w:pPr>
      <w:r>
        <w:rPr>
          <w:rFonts w:ascii="Courier New" w:cs="Courier New" w:eastAsia="Courier New" w:hAnsi="Courier New"/>
          <w:sz w:val="15"/>
          <w:szCs w:val="15"/>
          <w:color w:val="auto"/>
        </w:rPr>
        <w:t>In August 2001, ClearOne granted its CEO, Frances Flood, options to purchase 100,000 shares of common stock. The options have an exercise price of $11.39, expire on August 6, 2010, and are subject to vesting as provided under the ClearOne 1998 Stock Option Plan.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Marketing</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On October 23, 2001, ClearOne announced the implementation a new and major marketing and advertising campaign. This campaign focuses on ClearOne being a provider of an integrated suite of audio and videoconferencing products and services. ClearOne intends to build product demand through its current distribution channel and increase end-user awareness of the Gentner(R) brand. ClearOne anticipates that these marketing efforts will include a new advertising campaign, website, traditional and electronic direct marketing efforts, dealer road shows and training programs, and collateral materials that support channel partner efforts.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Financial Developments</w:t>
      </w:r>
    </w:p>
    <w:p>
      <w:pPr>
        <w:spacing w:after="0" w:line="174" w:lineRule="exact"/>
        <w:rPr>
          <w:sz w:val="20"/>
          <w:szCs w:val="20"/>
          <w:color w:val="auto"/>
        </w:rPr>
      </w:pPr>
    </w:p>
    <w:p>
      <w:pPr>
        <w:ind w:right="3119" w:firstLine="710"/>
        <w:spacing w:after="0" w:line="262" w:lineRule="auto"/>
        <w:rPr>
          <w:sz w:val="20"/>
          <w:szCs w:val="20"/>
          <w:color w:val="auto"/>
        </w:rPr>
      </w:pPr>
      <w:r>
        <w:rPr>
          <w:rFonts w:ascii="Courier New" w:cs="Courier New" w:eastAsia="Courier New" w:hAnsi="Courier New"/>
          <w:sz w:val="14"/>
          <w:szCs w:val="14"/>
          <w:color w:val="auto"/>
        </w:rPr>
        <w:t>On April 23, 2002, ClearOne issued a press release reporting its financial results for the three and nine months ended March 31, 2002. Set forth below is certain financial information reported by ClearOne in the press release and filed on Form 8-K on April 23, 2002, which is incorporated by reference.</w:t>
      </w:r>
    </w:p>
    <w:p>
      <w:pPr>
        <w:spacing w:after="0" w:line="200" w:lineRule="exact"/>
        <w:rPr>
          <w:sz w:val="20"/>
          <w:szCs w:val="20"/>
          <w:color w:val="auto"/>
        </w:rPr>
      </w:pPr>
    </w:p>
    <w:p>
      <w:pPr>
        <w:spacing w:after="0" w:line="299"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ClearOne Communications Inc.</w:t>
      </w:r>
    </w:p>
    <w:p>
      <w:pPr>
        <w:spacing w:after="0" w:line="17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Condensed Statement of Continuing Operations</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(unaudited)</w:t>
      </w:r>
    </w:p>
    <w:p>
      <w:pPr>
        <w:spacing w:after="0" w:line="342" w:lineRule="exact"/>
        <w:rPr>
          <w:sz w:val="20"/>
          <w:szCs w:val="20"/>
          <w:color w:val="auto"/>
        </w:rPr>
      </w:pPr>
    </w:p>
    <w:p>
      <w:pPr>
        <w:ind w:left="4340"/>
        <w:spacing w:after="0"/>
        <w:tabs>
          <w:tab w:leader="none" w:pos="7780" w:val="left"/>
        </w:tabs>
        <w:rPr>
          <w:sz w:val="20"/>
          <w:szCs w:val="20"/>
          <w:color w:val="auto"/>
        </w:rPr>
      </w:pPr>
      <w:r>
        <w:rPr>
          <w:rFonts w:ascii="Courier New" w:cs="Courier New" w:eastAsia="Courier New" w:hAnsi="Courier New"/>
          <w:sz w:val="15"/>
          <w:szCs w:val="15"/>
          <w:color w:val="auto"/>
        </w:rPr>
        <w:t>Three Months Ended</w:t>
      </w:r>
      <w:r>
        <w:rPr>
          <w:sz w:val="20"/>
          <w:szCs w:val="20"/>
          <w:color w:val="auto"/>
        </w:rPr>
        <w:tab/>
      </w:r>
      <w:r>
        <w:rPr>
          <w:rFonts w:ascii="Courier New" w:cs="Courier New" w:eastAsia="Courier New" w:hAnsi="Courier New"/>
          <w:sz w:val="14"/>
          <w:szCs w:val="14"/>
          <w:color w:val="auto"/>
        </w:rPr>
        <w:t>Nine Months Ended</w:t>
      </w:r>
    </w:p>
    <w:p>
      <w:pPr>
        <w:spacing w:after="0" w:line="1" w:lineRule="exact"/>
        <w:rPr>
          <w:sz w:val="20"/>
          <w:szCs w:val="20"/>
          <w:color w:val="auto"/>
        </w:rPr>
      </w:pPr>
    </w:p>
    <w:p>
      <w:pPr>
        <w:ind w:left="4260"/>
        <w:spacing w:after="0"/>
        <w:tabs>
          <w:tab w:leader="none" w:pos="5820" w:val="left"/>
          <w:tab w:leader="none" w:pos="7420" w:val="left"/>
          <w:tab w:leader="none" w:pos="9020" w:val="left"/>
        </w:tabs>
        <w:rPr>
          <w:sz w:val="20"/>
          <w:szCs w:val="20"/>
          <w:color w:val="auto"/>
        </w:rPr>
      </w:pPr>
      <w:r>
        <w:rPr>
          <w:rFonts w:ascii="Courier New" w:cs="Courier New" w:eastAsia="Courier New" w:hAnsi="Courier New"/>
          <w:sz w:val="15"/>
          <w:szCs w:val="15"/>
          <w:color w:val="auto"/>
        </w:rPr>
        <w:t>3/31/02</w:t>
      </w:r>
      <w:r>
        <w:rPr>
          <w:sz w:val="20"/>
          <w:szCs w:val="20"/>
          <w:color w:val="auto"/>
        </w:rPr>
        <w:tab/>
      </w:r>
      <w:r>
        <w:rPr>
          <w:rFonts w:ascii="Courier New" w:cs="Courier New" w:eastAsia="Courier New" w:hAnsi="Courier New"/>
          <w:sz w:val="15"/>
          <w:szCs w:val="15"/>
          <w:color w:val="auto"/>
        </w:rPr>
        <w:t>3/31/01</w:t>
      </w:r>
      <w:r>
        <w:rPr>
          <w:sz w:val="20"/>
          <w:szCs w:val="20"/>
          <w:color w:val="auto"/>
        </w:rPr>
        <w:tab/>
      </w:r>
      <w:r>
        <w:rPr>
          <w:rFonts w:ascii="Courier New" w:cs="Courier New" w:eastAsia="Courier New" w:hAnsi="Courier New"/>
          <w:sz w:val="15"/>
          <w:szCs w:val="15"/>
          <w:color w:val="auto"/>
        </w:rPr>
        <w:t>3/31/02</w:t>
      </w:r>
      <w:r>
        <w:rPr>
          <w:sz w:val="20"/>
          <w:szCs w:val="20"/>
          <w:color w:val="auto"/>
        </w:rPr>
        <w:tab/>
      </w:r>
      <w:r>
        <w:rPr>
          <w:rFonts w:ascii="Courier New" w:cs="Courier New" w:eastAsia="Courier New" w:hAnsi="Courier New"/>
          <w:sz w:val="14"/>
          <w:szCs w:val="14"/>
          <w:color w:val="auto"/>
        </w:rPr>
        <w:t>3/31/01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20" w:type="dxa"/>
            <w:vAlign w:val="bottom"/>
          </w:tcPr>
          <w:p>
            <w:pPr>
              <w:spacing w:after="0"/>
              <w:rPr>
                <w:sz w:val="20"/>
                <w:szCs w:val="20"/>
                <w:color w:val="auto"/>
              </w:rPr>
            </w:pPr>
            <w:r>
              <w:rPr>
                <w:rFonts w:ascii="Courier New" w:cs="Courier New" w:eastAsia="Courier New" w:hAnsi="Courier New"/>
                <w:sz w:val="15"/>
                <w:szCs w:val="15"/>
                <w:color w:val="auto"/>
              </w:rPr>
              <w:t>Sales</w:t>
            </w:r>
          </w:p>
        </w:tc>
        <w:tc>
          <w:tcPr>
            <w:tcW w:w="6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14,171,156</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10,212,333</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37,973,838</w:t>
            </w: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29,225,712</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Cost of goods sold</w:t>
            </w:r>
          </w:p>
        </w:tc>
        <w:tc>
          <w:tcPr>
            <w:tcW w:w="6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5,586,839</w:t>
            </w:r>
          </w:p>
        </w:tc>
        <w:tc>
          <w:tcPr>
            <w:tcW w:w="36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4,327,987</w:t>
            </w:r>
          </w:p>
        </w:tc>
        <w:tc>
          <w:tcPr>
            <w:tcW w:w="40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15,225,933</w:t>
            </w:r>
          </w:p>
        </w:tc>
        <w:tc>
          <w:tcPr>
            <w:tcW w:w="32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12,064,698</w:t>
            </w:r>
          </w:p>
        </w:tc>
      </w:tr>
      <w:tr>
        <w:trPr>
          <w:trHeight w:val="171"/>
        </w:trPr>
        <w:tc>
          <w:tcPr>
            <w:tcW w:w="3320" w:type="dxa"/>
            <w:vAlign w:val="bottom"/>
          </w:tcPr>
          <w:p>
            <w:pPr>
              <w:spacing w:after="0"/>
              <w:rPr>
                <w:sz w:val="14"/>
                <w:szCs w:val="14"/>
                <w:color w:val="auto"/>
              </w:rPr>
            </w:pPr>
          </w:p>
        </w:tc>
        <w:tc>
          <w:tcPr>
            <w:tcW w:w="6620" w:type="dxa"/>
            <w:vAlign w:val="bottom"/>
            <w:gridSpan w:val="8"/>
          </w:tcPr>
          <w:p>
            <w:pPr>
              <w:ind w:left="40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6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8,584,317</w:t>
            </w:r>
          </w:p>
        </w:tc>
        <w:tc>
          <w:tcPr>
            <w:tcW w:w="36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5,884,346</w:t>
            </w:r>
          </w:p>
        </w:tc>
        <w:tc>
          <w:tcPr>
            <w:tcW w:w="40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22,747,905</w:t>
            </w:r>
          </w:p>
        </w:tc>
        <w:tc>
          <w:tcPr>
            <w:tcW w:w="32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17,161,014</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Sales &amp; marketing expenses</w:t>
            </w:r>
          </w:p>
        </w:tc>
        <w:tc>
          <w:tcPr>
            <w:tcW w:w="620" w:type="dxa"/>
            <w:vAlign w:val="bottom"/>
          </w:tcPr>
          <w:p>
            <w:pPr>
              <w:spacing w:after="0"/>
              <w:rPr>
                <w:sz w:val="24"/>
                <w:szCs w:val="2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2,763,581</w:t>
            </w:r>
          </w:p>
        </w:tc>
        <w:tc>
          <w:tcPr>
            <w:tcW w:w="360" w:type="dxa"/>
            <w:vAlign w:val="bottom"/>
          </w:tcPr>
          <w:p>
            <w:pPr>
              <w:spacing w:after="0"/>
              <w:rPr>
                <w:sz w:val="24"/>
                <w:szCs w:val="2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1,932,327</w:t>
            </w:r>
          </w:p>
        </w:tc>
        <w:tc>
          <w:tcPr>
            <w:tcW w:w="400" w:type="dxa"/>
            <w:vAlign w:val="bottom"/>
          </w:tcPr>
          <w:p>
            <w:pPr>
              <w:spacing w:after="0"/>
              <w:rPr>
                <w:sz w:val="24"/>
                <w:szCs w:val="2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7,995,734</w:t>
            </w:r>
          </w:p>
        </w:tc>
        <w:tc>
          <w:tcPr>
            <w:tcW w:w="320" w:type="dxa"/>
            <w:vAlign w:val="bottom"/>
          </w:tcPr>
          <w:p>
            <w:pPr>
              <w:spacing w:after="0"/>
              <w:rPr>
                <w:sz w:val="24"/>
                <w:szCs w:val="2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5,755,898</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General &amp; administrative expenses</w:t>
            </w:r>
          </w:p>
        </w:tc>
        <w:tc>
          <w:tcPr>
            <w:tcW w:w="6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1,542,983</w:t>
            </w:r>
          </w:p>
        </w:tc>
        <w:tc>
          <w:tcPr>
            <w:tcW w:w="36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1,133,525</w:t>
            </w:r>
          </w:p>
        </w:tc>
        <w:tc>
          <w:tcPr>
            <w:tcW w:w="40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4,101,769</w:t>
            </w:r>
          </w:p>
        </w:tc>
        <w:tc>
          <w:tcPr>
            <w:tcW w:w="32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3,630,578</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Research &amp; development expenses</w:t>
            </w:r>
          </w:p>
        </w:tc>
        <w:tc>
          <w:tcPr>
            <w:tcW w:w="6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1,122,973</w:t>
            </w:r>
          </w:p>
        </w:tc>
        <w:tc>
          <w:tcPr>
            <w:tcW w:w="36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720,426</w:t>
            </w:r>
          </w:p>
        </w:tc>
        <w:tc>
          <w:tcPr>
            <w:tcW w:w="40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3,044,497</w:t>
            </w:r>
          </w:p>
        </w:tc>
        <w:tc>
          <w:tcPr>
            <w:tcW w:w="32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1,760,921</w:t>
            </w:r>
          </w:p>
        </w:tc>
      </w:tr>
      <w:tr>
        <w:trPr>
          <w:trHeight w:val="171"/>
        </w:trPr>
        <w:tc>
          <w:tcPr>
            <w:tcW w:w="3320" w:type="dxa"/>
            <w:vAlign w:val="bottom"/>
          </w:tcPr>
          <w:p>
            <w:pPr>
              <w:spacing w:after="0"/>
              <w:rPr>
                <w:sz w:val="14"/>
                <w:szCs w:val="14"/>
                <w:color w:val="auto"/>
              </w:rPr>
            </w:pPr>
          </w:p>
        </w:tc>
        <w:tc>
          <w:tcPr>
            <w:tcW w:w="6620" w:type="dxa"/>
            <w:vAlign w:val="bottom"/>
            <w:gridSpan w:val="8"/>
          </w:tcPr>
          <w:p>
            <w:pPr>
              <w:ind w:left="40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Total expenses</w:t>
            </w:r>
          </w:p>
        </w:tc>
        <w:tc>
          <w:tcPr>
            <w:tcW w:w="6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5,429,537</w:t>
            </w:r>
          </w:p>
        </w:tc>
        <w:tc>
          <w:tcPr>
            <w:tcW w:w="36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3,786,278</w:t>
            </w:r>
          </w:p>
        </w:tc>
        <w:tc>
          <w:tcPr>
            <w:tcW w:w="40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15,142,000</w:t>
            </w:r>
          </w:p>
        </w:tc>
        <w:tc>
          <w:tcPr>
            <w:tcW w:w="32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11,147,397</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620" w:type="dxa"/>
            <w:vAlign w:val="bottom"/>
          </w:tcPr>
          <w:p>
            <w:pPr>
              <w:spacing w:after="0"/>
              <w:rPr>
                <w:sz w:val="24"/>
                <w:szCs w:val="2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3,154,780</w:t>
            </w:r>
          </w:p>
        </w:tc>
        <w:tc>
          <w:tcPr>
            <w:tcW w:w="360" w:type="dxa"/>
            <w:vAlign w:val="bottom"/>
          </w:tcPr>
          <w:p>
            <w:pPr>
              <w:spacing w:after="0"/>
              <w:rPr>
                <w:sz w:val="24"/>
                <w:szCs w:val="2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2,098,068</w:t>
            </w:r>
          </w:p>
        </w:tc>
        <w:tc>
          <w:tcPr>
            <w:tcW w:w="400" w:type="dxa"/>
            <w:vAlign w:val="bottom"/>
          </w:tcPr>
          <w:p>
            <w:pPr>
              <w:spacing w:after="0"/>
              <w:rPr>
                <w:sz w:val="24"/>
                <w:szCs w:val="2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7,605,905</w:t>
            </w:r>
          </w:p>
        </w:tc>
        <w:tc>
          <w:tcPr>
            <w:tcW w:w="320" w:type="dxa"/>
            <w:vAlign w:val="bottom"/>
          </w:tcPr>
          <w:p>
            <w:pPr>
              <w:spacing w:after="0"/>
              <w:rPr>
                <w:sz w:val="24"/>
                <w:szCs w:val="2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6,013,617</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Other items</w:t>
            </w:r>
          </w:p>
        </w:tc>
        <w:tc>
          <w:tcPr>
            <w:tcW w:w="620" w:type="dxa"/>
            <w:vAlign w:val="bottom"/>
          </w:tcPr>
          <w:p>
            <w:pPr>
              <w:spacing w:after="0"/>
              <w:rPr>
                <w:sz w:val="14"/>
                <w:szCs w:val="14"/>
                <w:color w:val="auto"/>
              </w:rPr>
            </w:pP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(71,370)</w:t>
            </w:r>
          </w:p>
        </w:tc>
        <w:tc>
          <w:tcPr>
            <w:tcW w:w="36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69,277</w:t>
            </w:r>
          </w:p>
        </w:tc>
        <w:tc>
          <w:tcPr>
            <w:tcW w:w="40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139,188</w:t>
            </w:r>
          </w:p>
        </w:tc>
        <w:tc>
          <w:tcPr>
            <w:tcW w:w="32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252,083</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Income tax expense</w:t>
            </w:r>
          </w:p>
        </w:tc>
        <w:tc>
          <w:tcPr>
            <w:tcW w:w="620" w:type="dxa"/>
            <w:vAlign w:val="bottom"/>
          </w:tcPr>
          <w:p>
            <w:pPr>
              <w:spacing w:after="0"/>
              <w:rPr>
                <w:sz w:val="14"/>
                <w:szCs w:val="14"/>
                <w:color w:val="auto"/>
              </w:rPr>
            </w:pP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(1,012,464)</w:t>
            </w:r>
          </w:p>
        </w:tc>
        <w:tc>
          <w:tcPr>
            <w:tcW w:w="360" w:type="dxa"/>
            <w:vAlign w:val="bottom"/>
          </w:tcPr>
          <w:p>
            <w:pPr>
              <w:spacing w:after="0"/>
              <w:rPr>
                <w:sz w:val="14"/>
                <w:szCs w:val="14"/>
                <w:color w:val="auto"/>
              </w:rPr>
            </w:pPr>
          </w:p>
        </w:tc>
        <w:tc>
          <w:tcPr>
            <w:tcW w:w="124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(808,313)</w:t>
            </w:r>
          </w:p>
        </w:tc>
        <w:tc>
          <w:tcPr>
            <w:tcW w:w="400" w:type="dxa"/>
            <w:vAlign w:val="bottom"/>
          </w:tcPr>
          <w:p>
            <w:pPr>
              <w:spacing w:after="0"/>
              <w:rPr>
                <w:sz w:val="14"/>
                <w:szCs w:val="14"/>
                <w:color w:val="auto"/>
              </w:rPr>
            </w:pPr>
          </w:p>
        </w:tc>
        <w:tc>
          <w:tcPr>
            <w:tcW w:w="1240" w:type="dxa"/>
            <w:vAlign w:val="bottom"/>
          </w:tcPr>
          <w:p>
            <w:pPr>
              <w:jc w:val="right"/>
              <w:ind w:right="6"/>
              <w:spacing w:after="0"/>
              <w:rPr>
                <w:sz w:val="20"/>
                <w:szCs w:val="20"/>
                <w:color w:val="auto"/>
              </w:rPr>
            </w:pPr>
            <w:r>
              <w:rPr>
                <w:rFonts w:ascii="Courier New" w:cs="Courier New" w:eastAsia="Courier New" w:hAnsi="Courier New"/>
                <w:sz w:val="15"/>
                <w:szCs w:val="15"/>
                <w:color w:val="auto"/>
              </w:rPr>
              <w:t>(2,770,560)</w:t>
            </w:r>
          </w:p>
        </w:tc>
        <w:tc>
          <w:tcPr>
            <w:tcW w:w="320" w:type="dxa"/>
            <w:vAlign w:val="bottom"/>
          </w:tcPr>
          <w:p>
            <w:pPr>
              <w:spacing w:after="0"/>
              <w:rPr>
                <w:sz w:val="14"/>
                <w:szCs w:val="14"/>
                <w:color w:val="auto"/>
              </w:rPr>
            </w:pPr>
          </w:p>
        </w:tc>
        <w:tc>
          <w:tcPr>
            <w:tcW w:w="12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(2,360,303)</w:t>
            </w:r>
          </w:p>
        </w:tc>
      </w:tr>
      <w:tr>
        <w:trPr>
          <w:trHeight w:val="171"/>
        </w:trPr>
        <w:tc>
          <w:tcPr>
            <w:tcW w:w="3320" w:type="dxa"/>
            <w:vAlign w:val="bottom"/>
          </w:tcPr>
          <w:p>
            <w:pPr>
              <w:spacing w:after="0"/>
              <w:rPr>
                <w:sz w:val="14"/>
                <w:szCs w:val="14"/>
                <w:color w:val="auto"/>
              </w:rPr>
            </w:pPr>
          </w:p>
        </w:tc>
        <w:tc>
          <w:tcPr>
            <w:tcW w:w="6620" w:type="dxa"/>
            <w:vAlign w:val="bottom"/>
            <w:gridSpan w:val="8"/>
          </w:tcPr>
          <w:p>
            <w:pPr>
              <w:ind w:left="400"/>
              <w:spacing w:after="0"/>
              <w:rPr>
                <w:sz w:val="20"/>
                <w:szCs w:val="20"/>
                <w:color w:val="auto"/>
              </w:rPr>
            </w:pPr>
            <w:r>
              <w:rPr>
                <w:rFonts w:ascii="Courier New" w:cs="Courier New" w:eastAsia="Courier New" w:hAnsi="Courier New"/>
                <w:sz w:val="15"/>
                <w:szCs w:val="15"/>
                <w:color w:val="auto"/>
                <w:w w:val="98"/>
              </w:rPr>
              <w:t>----------------------------------------------------------------------</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6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2,070,946</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1,359,032</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4,974,533</w:t>
            </w: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3,905,397</w:t>
            </w:r>
          </w:p>
        </w:tc>
      </w:tr>
      <w:tr>
        <w:trPr>
          <w:trHeight w:val="171"/>
        </w:trPr>
        <w:tc>
          <w:tcPr>
            <w:tcW w:w="3320" w:type="dxa"/>
            <w:vAlign w:val="bottom"/>
          </w:tcPr>
          <w:p>
            <w:pPr>
              <w:spacing w:after="0"/>
              <w:rPr>
                <w:sz w:val="14"/>
                <w:szCs w:val="14"/>
                <w:color w:val="auto"/>
              </w:rPr>
            </w:pPr>
          </w:p>
        </w:tc>
        <w:tc>
          <w:tcPr>
            <w:tcW w:w="6620" w:type="dxa"/>
            <w:vAlign w:val="bottom"/>
            <w:gridSpan w:val="8"/>
          </w:tcPr>
          <w:p>
            <w:pPr>
              <w:ind w:left="400"/>
              <w:spacing w:after="0"/>
              <w:rPr>
                <w:sz w:val="20"/>
                <w:szCs w:val="20"/>
                <w:color w:val="auto"/>
              </w:rPr>
            </w:pPr>
            <w:r>
              <w:rPr>
                <w:rFonts w:ascii="Courier New" w:cs="Courier New" w:eastAsia="Courier New" w:hAnsi="Courier New"/>
                <w:sz w:val="15"/>
                <w:szCs w:val="15"/>
                <w:color w:val="auto"/>
                <w:w w:val="98"/>
              </w:rPr>
              <w:t>======================================================================</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6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0.20</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0.16</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0.54</w:t>
            </w: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0.46</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Fully diluted earnings per share</w:t>
            </w:r>
          </w:p>
        </w:tc>
        <w:tc>
          <w:tcPr>
            <w:tcW w:w="62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0.20</w:t>
            </w:r>
          </w:p>
        </w:tc>
        <w:tc>
          <w:tcPr>
            <w:tcW w:w="3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0.15</w:t>
            </w:r>
          </w:p>
        </w:tc>
        <w:tc>
          <w:tcPr>
            <w:tcW w:w="4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0.51</w:t>
            </w:r>
          </w:p>
        </w:tc>
        <w:tc>
          <w:tcPr>
            <w:tcW w:w="3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0.43</w:t>
            </w:r>
          </w:p>
        </w:tc>
      </w:tr>
      <w:tr>
        <w:trPr>
          <w:trHeight w:val="341"/>
        </w:trPr>
        <w:tc>
          <w:tcPr>
            <w:tcW w:w="3320" w:type="dxa"/>
            <w:vAlign w:val="bottom"/>
          </w:tcPr>
          <w:p>
            <w:pPr>
              <w:spacing w:after="0"/>
              <w:rPr>
                <w:sz w:val="20"/>
                <w:szCs w:val="20"/>
                <w:color w:val="auto"/>
              </w:rPr>
            </w:pPr>
            <w:r>
              <w:rPr>
                <w:rFonts w:ascii="Courier New" w:cs="Courier New" w:eastAsia="Courier New" w:hAnsi="Courier New"/>
                <w:sz w:val="15"/>
                <w:szCs w:val="15"/>
                <w:color w:val="auto"/>
              </w:rPr>
              <w:t>Basic shares outstanding</w:t>
            </w:r>
          </w:p>
        </w:tc>
        <w:tc>
          <w:tcPr>
            <w:tcW w:w="620" w:type="dxa"/>
            <w:vAlign w:val="bottom"/>
          </w:tcPr>
          <w:p>
            <w:pPr>
              <w:spacing w:after="0"/>
              <w:rPr>
                <w:sz w:val="24"/>
                <w:szCs w:val="2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10,158,894</w:t>
            </w:r>
          </w:p>
        </w:tc>
        <w:tc>
          <w:tcPr>
            <w:tcW w:w="360" w:type="dxa"/>
            <w:vAlign w:val="bottom"/>
          </w:tcPr>
          <w:p>
            <w:pPr>
              <w:spacing w:after="0"/>
              <w:rPr>
                <w:sz w:val="24"/>
                <w:szCs w:val="2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8,610,375</w:t>
            </w:r>
          </w:p>
        </w:tc>
        <w:tc>
          <w:tcPr>
            <w:tcW w:w="400" w:type="dxa"/>
            <w:vAlign w:val="bottom"/>
          </w:tcPr>
          <w:p>
            <w:pPr>
              <w:spacing w:after="0"/>
              <w:rPr>
                <w:sz w:val="24"/>
                <w:szCs w:val="2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9,246,512</w:t>
            </w:r>
          </w:p>
        </w:tc>
        <w:tc>
          <w:tcPr>
            <w:tcW w:w="320" w:type="dxa"/>
            <w:vAlign w:val="bottom"/>
          </w:tcPr>
          <w:p>
            <w:pPr>
              <w:spacing w:after="0"/>
              <w:rPr>
                <w:sz w:val="24"/>
                <w:szCs w:val="2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8,581,738</w:t>
            </w:r>
          </w:p>
        </w:tc>
      </w:tr>
      <w:tr>
        <w:trPr>
          <w:trHeight w:val="171"/>
        </w:trPr>
        <w:tc>
          <w:tcPr>
            <w:tcW w:w="3320" w:type="dxa"/>
            <w:vAlign w:val="bottom"/>
          </w:tcPr>
          <w:p>
            <w:pPr>
              <w:spacing w:after="0"/>
              <w:rPr>
                <w:sz w:val="20"/>
                <w:szCs w:val="20"/>
                <w:color w:val="auto"/>
              </w:rPr>
            </w:pPr>
            <w:r>
              <w:rPr>
                <w:rFonts w:ascii="Courier New" w:cs="Courier New" w:eastAsia="Courier New" w:hAnsi="Courier New"/>
                <w:sz w:val="15"/>
                <w:szCs w:val="15"/>
                <w:color w:val="auto"/>
              </w:rPr>
              <w:t>Fully diluted shares outstanding</w:t>
            </w:r>
          </w:p>
        </w:tc>
        <w:tc>
          <w:tcPr>
            <w:tcW w:w="62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10,614,839</w:t>
            </w:r>
          </w:p>
        </w:tc>
        <w:tc>
          <w:tcPr>
            <w:tcW w:w="36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9,047,289</w:t>
            </w:r>
          </w:p>
        </w:tc>
        <w:tc>
          <w:tcPr>
            <w:tcW w:w="400" w:type="dxa"/>
            <w:vAlign w:val="bottom"/>
          </w:tcPr>
          <w:p>
            <w:pPr>
              <w:spacing w:after="0"/>
              <w:rPr>
                <w:sz w:val="14"/>
                <w:szCs w:val="14"/>
                <w:color w:val="auto"/>
              </w:rPr>
            </w:pPr>
          </w:p>
        </w:tc>
        <w:tc>
          <w:tcPr>
            <w:tcW w:w="124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9,755,909</w:t>
            </w:r>
          </w:p>
        </w:tc>
        <w:tc>
          <w:tcPr>
            <w:tcW w:w="320" w:type="dxa"/>
            <w:vAlign w:val="bottom"/>
          </w:tcPr>
          <w:p>
            <w:pPr>
              <w:spacing w:after="0"/>
              <w:rPr>
                <w:sz w:val="14"/>
                <w:szCs w:val="14"/>
                <w:color w:val="auto"/>
              </w:rPr>
            </w:pPr>
          </w:p>
        </w:tc>
        <w:tc>
          <w:tcPr>
            <w:tcW w:w="12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9,026,182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65</w:t>
      </w:r>
    </w:p>
    <w:p>
      <w:pPr>
        <w:sectPr>
          <w:pgSz w:w="11900" w:h="16838" w:orient="portrait"/>
          <w:cols w:equalWidth="0" w:num="1">
            <w:col w:w="10219"/>
          </w:cols>
          <w:pgMar w:left="240" w:top="631" w:right="1440" w:bottom="1440" w:gutter="0" w:footer="0" w:header="0"/>
        </w:sectPr>
      </w:pPr>
    </w:p>
    <w:bookmarkStart w:id="74" w:name="page75"/>
    <w:bookmarkEnd w:id="74"/>
    <w:p>
      <w:pPr>
        <w:ind w:left="2300"/>
        <w:spacing w:after="0"/>
        <w:rPr>
          <w:sz w:val="20"/>
          <w:szCs w:val="20"/>
          <w:color w:val="auto"/>
        </w:rPr>
      </w:pPr>
      <w:r>
        <w:rPr>
          <w:rFonts w:ascii="Courier New" w:cs="Courier New" w:eastAsia="Courier New" w:hAnsi="Courier New"/>
          <w:sz w:val="15"/>
          <w:szCs w:val="15"/>
          <w:color w:val="auto"/>
        </w:rPr>
        <w:t>ClearOne Communications Inc.</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60" w:type="dxa"/>
            <w:vAlign w:val="bottom"/>
            <w:gridSpan w:val="2"/>
          </w:tcPr>
          <w:p>
            <w:pPr>
              <w:jc w:val="right"/>
              <w:ind w:right="426"/>
              <w:spacing w:after="0"/>
              <w:rPr>
                <w:sz w:val="20"/>
                <w:szCs w:val="20"/>
                <w:color w:val="auto"/>
              </w:rPr>
            </w:pPr>
            <w:r>
              <w:rPr>
                <w:rFonts w:ascii="Courier New" w:cs="Courier New" w:eastAsia="Courier New" w:hAnsi="Courier New"/>
                <w:sz w:val="15"/>
                <w:szCs w:val="15"/>
                <w:color w:val="auto"/>
              </w:rPr>
              <w:t>Balance Sheet</w:t>
            </w:r>
          </w:p>
        </w:tc>
        <w:tc>
          <w:tcPr>
            <w:tcW w:w="1100" w:type="dxa"/>
            <w:vAlign w:val="bottom"/>
          </w:tcPr>
          <w:p>
            <w:pPr>
              <w:spacing w:after="0"/>
              <w:rPr>
                <w:sz w:val="14"/>
                <w:szCs w:val="14"/>
                <w:color w:val="auto"/>
              </w:rPr>
            </w:pPr>
          </w:p>
        </w:tc>
      </w:tr>
      <w:tr>
        <w:trPr>
          <w:trHeight w:val="341"/>
        </w:trPr>
        <w:tc>
          <w:tcPr>
            <w:tcW w:w="3400" w:type="dxa"/>
            <w:vAlign w:val="bottom"/>
          </w:tcPr>
          <w:p>
            <w:pPr>
              <w:spacing w:after="0"/>
              <w:rPr>
                <w:sz w:val="24"/>
                <w:szCs w:val="24"/>
                <w:color w:val="auto"/>
              </w:rPr>
            </w:pPr>
          </w:p>
        </w:tc>
        <w:tc>
          <w:tcPr>
            <w:tcW w:w="12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3/31/02</w:t>
            </w:r>
          </w:p>
        </w:tc>
        <w:tc>
          <w:tcPr>
            <w:tcW w:w="11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6/30/01</w:t>
            </w:r>
          </w:p>
        </w:tc>
      </w:tr>
      <w:tr>
        <w:trPr>
          <w:trHeight w:val="171"/>
        </w:trPr>
        <w:tc>
          <w:tcPr>
            <w:tcW w:w="5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spacing w:after="0"/>
              <w:rPr>
                <w:sz w:val="14"/>
                <w:szCs w:val="14"/>
                <w:color w:val="auto"/>
              </w:rPr>
            </w:pP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(unaudited)</w:t>
            </w:r>
          </w:p>
        </w:tc>
        <w:tc>
          <w:tcPr>
            <w:tcW w:w="1100" w:type="dxa"/>
            <w:vAlign w:val="bottom"/>
          </w:tcPr>
          <w:p>
            <w:pPr>
              <w:jc w:val="right"/>
              <w:ind w:right="6"/>
              <w:spacing w:after="0"/>
              <w:rPr>
                <w:sz w:val="20"/>
                <w:szCs w:val="20"/>
                <w:color w:val="auto"/>
              </w:rPr>
            </w:pPr>
            <w:r>
              <w:rPr>
                <w:rFonts w:ascii="Courier New" w:cs="Courier New" w:eastAsia="Courier New" w:hAnsi="Courier New"/>
                <w:sz w:val="15"/>
                <w:szCs w:val="15"/>
                <w:color w:val="auto"/>
              </w:rPr>
              <w:t>(audited)</w:t>
            </w:r>
          </w:p>
        </w:tc>
      </w:tr>
      <w:tr>
        <w:trPr>
          <w:trHeight w:val="171"/>
        </w:trPr>
        <w:tc>
          <w:tcPr>
            <w:tcW w:w="3400" w:type="dxa"/>
            <w:vAlign w:val="bottom"/>
          </w:tcPr>
          <w:p>
            <w:pPr>
              <w:jc w:val="right"/>
              <w:ind w:right="2366"/>
              <w:spacing w:after="0"/>
              <w:rPr>
                <w:sz w:val="20"/>
                <w:szCs w:val="20"/>
                <w:color w:val="auto"/>
              </w:rPr>
            </w:pPr>
            <w:r>
              <w:rPr>
                <w:rFonts w:ascii="Courier New" w:cs="Courier New" w:eastAsia="Courier New" w:hAnsi="Courier New"/>
                <w:sz w:val="15"/>
                <w:szCs w:val="15"/>
                <w:color w:val="auto"/>
              </w:rPr>
              <w:t>ASSETS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41"/>
        </w:trPr>
        <w:tc>
          <w:tcPr>
            <w:tcW w:w="34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Cash and cash equivalents .......</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$23,168,321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$ 6,852,243</w:t>
            </w:r>
          </w:p>
        </w:tc>
      </w:tr>
      <w:tr>
        <w:trPr>
          <w:trHeight w:val="17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Accounts receivable .............</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14,192,043</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7,284,393</w:t>
            </w:r>
          </w:p>
        </w:tc>
      </w:tr>
      <w:tr>
        <w:trPr>
          <w:trHeight w:val="17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Inventory .......................</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5,792,134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4,132,034</w:t>
            </w:r>
          </w:p>
        </w:tc>
      </w:tr>
      <w:tr>
        <w:trPr>
          <w:trHeight w:val="17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Deferred taxes ..................</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246,000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247,402</w:t>
            </w:r>
          </w:p>
        </w:tc>
      </w:tr>
      <w:tr>
        <w:trPr>
          <w:trHeight w:val="17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Other current assets ............</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420,868</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779,648</w:t>
            </w:r>
          </w:p>
        </w:tc>
      </w:tr>
      <w:tr>
        <w:trPr>
          <w:trHeight w:val="171"/>
        </w:trPr>
        <w:tc>
          <w:tcPr>
            <w:tcW w:w="3400" w:type="dxa"/>
            <w:vAlign w:val="bottom"/>
          </w:tcPr>
          <w:p>
            <w:pPr>
              <w:spacing w:after="0"/>
              <w:rPr>
                <w:sz w:val="14"/>
                <w:szCs w:val="14"/>
                <w:color w:val="auto"/>
              </w:rPr>
            </w:pP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current assets .......</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43,819,366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19,295,720</w:t>
            </w:r>
          </w:p>
        </w:tc>
      </w:tr>
      <w:tr>
        <w:trPr>
          <w:trHeight w:val="34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Property and equipment, net .........</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3,992,612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3,696,615</w:t>
            </w:r>
          </w:p>
        </w:tc>
      </w:tr>
      <w:tr>
        <w:trPr>
          <w:trHeight w:val="17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Other assets, net ...................</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10,037,281</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4,605,288</w:t>
            </w:r>
          </w:p>
        </w:tc>
      </w:tr>
      <w:tr>
        <w:trPr>
          <w:trHeight w:val="171"/>
        </w:trPr>
        <w:tc>
          <w:tcPr>
            <w:tcW w:w="3400" w:type="dxa"/>
            <w:vAlign w:val="bottom"/>
          </w:tcPr>
          <w:p>
            <w:pPr>
              <w:spacing w:after="0"/>
              <w:rPr>
                <w:sz w:val="14"/>
                <w:szCs w:val="14"/>
                <w:color w:val="auto"/>
              </w:rPr>
            </w:pP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assets ...............</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$57,849,259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$27,597,623</w:t>
            </w:r>
          </w:p>
        </w:tc>
      </w:tr>
      <w:tr>
        <w:trPr>
          <w:trHeight w:val="171"/>
        </w:trPr>
        <w:tc>
          <w:tcPr>
            <w:tcW w:w="3400" w:type="dxa"/>
            <w:vAlign w:val="bottom"/>
          </w:tcPr>
          <w:p>
            <w:pPr>
              <w:spacing w:after="0"/>
              <w:rPr>
                <w:sz w:val="14"/>
                <w:szCs w:val="14"/>
                <w:color w:val="auto"/>
              </w:rPr>
            </w:pP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2"/>
        </w:trPr>
        <w:tc>
          <w:tcPr>
            <w:tcW w:w="3400" w:type="dxa"/>
            <w:vAlign w:val="bottom"/>
          </w:tcPr>
          <w:p>
            <w:pPr>
              <w:spacing w:after="0"/>
              <w:rPr>
                <w:sz w:val="20"/>
                <w:szCs w:val="20"/>
                <w:color w:val="auto"/>
              </w:rPr>
            </w:pPr>
            <w:r>
              <w:rPr>
                <w:rFonts w:ascii="Courier New" w:cs="Courier New" w:eastAsia="Courier New" w:hAnsi="Courier New"/>
                <w:sz w:val="15"/>
                <w:szCs w:val="15"/>
                <w:color w:val="auto"/>
              </w:rPr>
              <w:t>LIABILITIES AND EQUITY</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41"/>
        </w:trPr>
        <w:tc>
          <w:tcPr>
            <w:tcW w:w="34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Accounts payable $ ..............</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1,578,877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568,782</w:t>
            </w:r>
          </w:p>
        </w:tc>
      </w:tr>
      <w:tr>
        <w:trPr>
          <w:trHeight w:val="17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Accrued expenses ................</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1,320,052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1,129,528</w:t>
            </w:r>
          </w:p>
        </w:tc>
      </w:tr>
      <w:tr>
        <w:trPr>
          <w:trHeight w:val="17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Accrued income taxes ............</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472,192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421,749</w:t>
            </w:r>
          </w:p>
        </w:tc>
      </w:tr>
      <w:tr>
        <w:trPr>
          <w:trHeight w:val="17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Current portion of capital leases</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60,614</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181,827</w:t>
            </w:r>
          </w:p>
        </w:tc>
      </w:tr>
      <w:tr>
        <w:trPr>
          <w:trHeight w:val="171"/>
        </w:trPr>
        <w:tc>
          <w:tcPr>
            <w:tcW w:w="3400" w:type="dxa"/>
            <w:vAlign w:val="bottom"/>
          </w:tcPr>
          <w:p>
            <w:pPr>
              <w:spacing w:after="0"/>
              <w:rPr>
                <w:sz w:val="14"/>
                <w:szCs w:val="14"/>
                <w:color w:val="auto"/>
              </w:rPr>
            </w:pP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current liabilities ..</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3,431,735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2,301,886</w:t>
            </w:r>
          </w:p>
        </w:tc>
      </w:tr>
      <w:tr>
        <w:trPr>
          <w:trHeight w:val="34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Capital lease obligations ...........</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15,772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48,227</w:t>
            </w:r>
          </w:p>
        </w:tc>
      </w:tr>
      <w:tr>
        <w:trPr>
          <w:trHeight w:val="17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w w:val="97"/>
              </w:rPr>
              <w:t>Deferred tax liability ..............</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746,000</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746,000</w:t>
            </w:r>
          </w:p>
        </w:tc>
      </w:tr>
      <w:tr>
        <w:trPr>
          <w:trHeight w:val="171"/>
        </w:trPr>
        <w:tc>
          <w:tcPr>
            <w:tcW w:w="3400" w:type="dxa"/>
            <w:vAlign w:val="bottom"/>
          </w:tcPr>
          <w:p>
            <w:pPr>
              <w:spacing w:after="0"/>
              <w:rPr>
                <w:sz w:val="14"/>
                <w:szCs w:val="14"/>
                <w:color w:val="auto"/>
              </w:rPr>
            </w:pP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liabilities ..........</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4,193,507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3,096,113</w:t>
            </w:r>
          </w:p>
        </w:tc>
      </w:tr>
      <w:tr>
        <w:trPr>
          <w:trHeight w:val="341"/>
        </w:trPr>
        <w:tc>
          <w:tcPr>
            <w:tcW w:w="34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7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Common stock ....................</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10,179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8,618</w:t>
            </w:r>
          </w:p>
        </w:tc>
      </w:tr>
      <w:tr>
        <w:trPr>
          <w:trHeight w:val="17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Additional paid-in capital ......</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33,140,847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8,962,699</w:t>
            </w:r>
          </w:p>
        </w:tc>
      </w:tr>
      <w:tr>
        <w:trPr>
          <w:trHeight w:val="17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Retained earnings ...............</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20,504,726</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15,530,193</w:t>
            </w:r>
          </w:p>
        </w:tc>
      </w:tr>
      <w:tr>
        <w:trPr>
          <w:trHeight w:val="171"/>
        </w:trPr>
        <w:tc>
          <w:tcPr>
            <w:tcW w:w="3400" w:type="dxa"/>
            <w:vAlign w:val="bottom"/>
          </w:tcPr>
          <w:p>
            <w:pPr>
              <w:spacing w:after="0"/>
              <w:rPr>
                <w:sz w:val="14"/>
                <w:szCs w:val="14"/>
                <w:color w:val="auto"/>
              </w:rPr>
            </w:pP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shareholders' equity .</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53,655,752</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24,501,510</w:t>
            </w:r>
          </w:p>
        </w:tc>
      </w:tr>
      <w:tr>
        <w:trPr>
          <w:trHeight w:val="171"/>
        </w:trPr>
        <w:tc>
          <w:tcPr>
            <w:tcW w:w="3400" w:type="dxa"/>
            <w:vAlign w:val="bottom"/>
          </w:tcPr>
          <w:p>
            <w:pPr>
              <w:spacing w:after="0"/>
              <w:rPr>
                <w:sz w:val="14"/>
                <w:szCs w:val="14"/>
                <w:color w:val="auto"/>
              </w:rPr>
            </w:pP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1"/>
        </w:trPr>
        <w:tc>
          <w:tcPr>
            <w:tcW w:w="3400" w:type="dxa"/>
            <w:vAlign w:val="bottom"/>
          </w:tcPr>
          <w:p>
            <w:pPr>
              <w:jc w:val="right"/>
              <w:ind w:right="46"/>
              <w:spacing w:after="0"/>
              <w:rPr>
                <w:sz w:val="20"/>
                <w:szCs w:val="20"/>
                <w:color w:val="auto"/>
              </w:rPr>
            </w:pPr>
            <w:r>
              <w:rPr>
                <w:rFonts w:ascii="Courier New" w:cs="Courier New" w:eastAsia="Courier New" w:hAnsi="Courier New"/>
                <w:sz w:val="15"/>
                <w:szCs w:val="15"/>
                <w:color w:val="auto"/>
              </w:rPr>
              <w:t>Total liabilities and equity</w:t>
            </w: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$57,849,259</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$27,597,623</w:t>
            </w:r>
          </w:p>
        </w:tc>
      </w:tr>
      <w:tr>
        <w:trPr>
          <w:trHeight w:val="171"/>
        </w:trPr>
        <w:tc>
          <w:tcPr>
            <w:tcW w:w="3400" w:type="dxa"/>
            <w:vAlign w:val="bottom"/>
          </w:tcPr>
          <w:p>
            <w:pPr>
              <w:spacing w:after="0"/>
              <w:rPr>
                <w:sz w:val="14"/>
                <w:szCs w:val="14"/>
                <w:color w:val="auto"/>
              </w:rPr>
            </w:pPr>
          </w:p>
        </w:tc>
        <w:tc>
          <w:tcPr>
            <w:tcW w:w="12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5"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The above financial information includes all adjustments, consisting of normal, recurring adjustments, which ClearOne considers necessary for a fair presentation of its financial position and the results of operations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66</w:t>
      </w:r>
    </w:p>
    <w:p>
      <w:pPr>
        <w:sectPr>
          <w:pgSz w:w="11900" w:h="16838" w:orient="portrait"/>
          <w:cols w:equalWidth="0" w:num="1">
            <w:col w:w="10219"/>
          </w:cols>
          <w:pgMar w:left="240" w:top="628" w:right="1440" w:bottom="1440" w:gutter="0" w:footer="0" w:header="0"/>
        </w:sectPr>
      </w:pPr>
    </w:p>
    <w:bookmarkStart w:id="75" w:name="page76"/>
    <w:bookmarkEnd w:id="75"/>
    <w:p>
      <w:pPr>
        <w:ind w:left="2120"/>
        <w:spacing w:after="0"/>
        <w:rPr>
          <w:sz w:val="20"/>
          <w:szCs w:val="20"/>
          <w:color w:val="auto"/>
        </w:rPr>
      </w:pPr>
      <w:r>
        <w:rPr>
          <w:rFonts w:ascii="Courier New" w:cs="Courier New" w:eastAsia="Courier New" w:hAnsi="Courier New"/>
          <w:sz w:val="15"/>
          <w:szCs w:val="15"/>
          <w:color w:val="auto"/>
        </w:rPr>
        <w:t>COMPARISON OF STOCKHOLDER RIGHTS</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ClearOne is incorporated in the state of Utah under the Utah Revised Business Corporation Act ("URBCA"), and E.mergent is incorporated in the state of Delaware under the Delaware General Corporation Law ("DGCL"). E.mergent's stockholders will, upon consummation of the merger, become stockholders of ClearOne and their rights will be governed by the ClearOne Articles of Incorporation, as amended (the "ClearOne Articles"), the ClearOne By-laws and the URBCA.</w:t>
      </w:r>
    </w:p>
    <w:p>
      <w:pPr>
        <w:spacing w:after="0" w:line="176"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Certain material differences between the rights of stockholders of ClearOne and stockholders of E.mergent are set forth below. This summary is not intended to be relied upon as an exhaustive list or detailed description of the provisions discussed and is qualified entirely by the URBCA, the DGCL, the ClearOne Articles, the ClearOne By-laws, the E.mergent Certificate of Incorporation ("E.mergent Certificate") and the E.mergent bylaws.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Authorized Shares of Capital Stock</w:t>
      </w:r>
    </w:p>
    <w:p>
      <w:pPr>
        <w:spacing w:after="0" w:line="174"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The authorized capital stock of ClearOne consists of 50,000,000 shares of common stock, $0.001 par value. As of May 3, 2002, 10,283,918 shares of common stock of ClearOne were issued and outstanding.</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E.mergent Certificate authorizes the issuance of (i) 20,000,000 shares of common stock, par value $.01 per share, and (ii) 5,000,000 shares of preferred stock, $.01 par value per share, none of which have been issued. As of May 3, 2002, there were outstanding (a) 5,931,280 shares of E.mergent common stock, and (b) employee options to purchase an aggregate of 606,000 shares of common stock.</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E.mergent Certificate provides that the board of directors is authorized to provide for the issuance of shares of undesignated preferred stock in one or more series, and to fix the designations, power, preferences and rights of the shares of each series and any related qualifications, limitations or restrictions.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Number</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The ClearOne bylaws provide that the number of directors shall consist of not less than three nor more than nine directors, with the number of directors currently being fixed at seven. Under the ClearOne bylaws the number of directors is required to be fixed by resolution by either the board of directors of ClearOne or the stockholders.</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The E.mergent bylaws provide that the board of directors of E.mergent will consist of at least one director, with the number of directors currently being fixed at five. In the absence of a resolution of the E.mergent stockholders or the board of directors of E.mergent, the number shall be the number last fixed by the E.mergent's stockholders or the board of directors of E.mergent, provided however, that the board of directors of E.mergent may not decrease the number of directors below the number last designated by the stockholders.</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Special Meetings</w:t>
      </w:r>
    </w:p>
    <w:p>
      <w:pPr>
        <w:spacing w:after="0" w:line="174" w:lineRule="exact"/>
        <w:rPr>
          <w:sz w:val="20"/>
          <w:szCs w:val="20"/>
          <w:color w:val="auto"/>
        </w:rPr>
      </w:pPr>
    </w:p>
    <w:p>
      <w:pPr>
        <w:ind w:right="3399" w:firstLine="710"/>
        <w:spacing w:after="0" w:line="239" w:lineRule="auto"/>
        <w:rPr>
          <w:sz w:val="20"/>
          <w:szCs w:val="20"/>
          <w:color w:val="auto"/>
        </w:rPr>
      </w:pPr>
      <w:r>
        <w:rPr>
          <w:rFonts w:ascii="Courier New" w:cs="Courier New" w:eastAsia="Courier New" w:hAnsi="Courier New"/>
          <w:sz w:val="15"/>
          <w:szCs w:val="15"/>
          <w:color w:val="auto"/>
        </w:rPr>
        <w:t>Under the ClearOne bylaws, special meetings of ClearOne's board of directors may be called by the chairman of the board or the president on at least two days' notice to each director either by mail, telephone, electronic transmission or facsimile.</w:t>
      </w:r>
    </w:p>
    <w:p>
      <w:pPr>
        <w:spacing w:after="0" w:line="176" w:lineRule="exact"/>
        <w:rPr>
          <w:sz w:val="20"/>
          <w:szCs w:val="20"/>
          <w:color w:val="auto"/>
        </w:rPr>
      </w:pPr>
    </w:p>
    <w:p>
      <w:pPr>
        <w:ind w:right="3399" w:firstLine="710"/>
        <w:spacing w:after="0"/>
        <w:rPr>
          <w:sz w:val="20"/>
          <w:szCs w:val="20"/>
          <w:color w:val="auto"/>
        </w:rPr>
      </w:pPr>
      <w:r>
        <w:rPr>
          <w:rFonts w:ascii="Courier New" w:cs="Courier New" w:eastAsia="Courier New" w:hAnsi="Courier New"/>
          <w:sz w:val="15"/>
          <w:szCs w:val="15"/>
          <w:color w:val="auto"/>
        </w:rPr>
        <w:t>Under the E.mergent bylaws, special meetings of E.mergent's board of directors may be called by the chairman of the board, the president or by the secretary on three business days' notice to each director if by mail or twenty-four (24) hours notice to each director if delivered personally or by telephone, telegram or facsimile.</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Removal</w:t>
      </w:r>
    </w:p>
    <w:p>
      <w:pPr>
        <w:spacing w:after="0" w:line="174" w:lineRule="exact"/>
        <w:rPr>
          <w:sz w:val="20"/>
          <w:szCs w:val="20"/>
          <w:color w:val="auto"/>
        </w:rPr>
      </w:pPr>
    </w:p>
    <w:p>
      <w:pPr>
        <w:ind w:right="3219" w:firstLine="710"/>
        <w:spacing w:after="0" w:line="262" w:lineRule="auto"/>
        <w:rPr>
          <w:sz w:val="20"/>
          <w:szCs w:val="20"/>
          <w:color w:val="auto"/>
        </w:rPr>
      </w:pPr>
      <w:r>
        <w:rPr>
          <w:rFonts w:ascii="Courier New" w:cs="Courier New" w:eastAsia="Courier New" w:hAnsi="Courier New"/>
          <w:sz w:val="14"/>
          <w:szCs w:val="14"/>
          <w:color w:val="auto"/>
        </w:rPr>
        <w:t>Any ClearOne director, or the entire board of directors, may be removed from office for cause or without cause by a vote of the ClearOne stockholders provided that the number of the votes cast by the stockholders to remove the director exceeds the number of votes cast not to remove the director.</w:t>
      </w:r>
    </w:p>
    <w:p>
      <w:pPr>
        <w:spacing w:after="0" w:line="329"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67</w:t>
      </w:r>
    </w:p>
    <w:p>
      <w:pPr>
        <w:sectPr>
          <w:pgSz w:w="11900" w:h="16838" w:orient="portrait"/>
          <w:cols w:equalWidth="0" w:num="1">
            <w:col w:w="10219"/>
          </w:cols>
          <w:pgMar w:left="240" w:top="628" w:right="1440" w:bottom="1440" w:gutter="0" w:footer="0" w:header="0"/>
        </w:sectPr>
      </w:pPr>
    </w:p>
    <w:bookmarkStart w:id="76" w:name="page77"/>
    <w:bookmarkEnd w:id="76"/>
    <w:p>
      <w:pPr>
        <w:ind w:right="3119" w:firstLine="710"/>
        <w:spacing w:after="0" w:line="239" w:lineRule="auto"/>
        <w:rPr>
          <w:sz w:val="20"/>
          <w:szCs w:val="20"/>
          <w:color w:val="auto"/>
        </w:rPr>
      </w:pPr>
      <w:r>
        <w:rPr>
          <w:rFonts w:ascii="Courier New" w:cs="Courier New" w:eastAsia="Courier New" w:hAnsi="Courier New"/>
          <w:sz w:val="15"/>
          <w:szCs w:val="15"/>
          <w:color w:val="auto"/>
        </w:rPr>
        <w:t>Any E.mergent director, or the entire board of directors, may be removed from office for cause or without cause by the vote of a majority of the shares of E.mergent common stock entitled to vote at the election of the director or board of directors.</w:t>
      </w:r>
    </w:p>
    <w:p>
      <w:pPr>
        <w:spacing w:after="0" w:line="174"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Election</w:t>
      </w:r>
    </w:p>
    <w:p>
      <w:pPr>
        <w:spacing w:after="0" w:line="174" w:lineRule="exact"/>
        <w:rPr>
          <w:sz w:val="20"/>
          <w:szCs w:val="20"/>
          <w:color w:val="auto"/>
        </w:rPr>
      </w:pPr>
    </w:p>
    <w:p>
      <w:pPr>
        <w:ind w:right="3219" w:firstLine="710"/>
        <w:spacing w:after="0" w:line="239" w:lineRule="auto"/>
        <w:rPr>
          <w:sz w:val="20"/>
          <w:szCs w:val="20"/>
          <w:color w:val="auto"/>
        </w:rPr>
      </w:pPr>
      <w:r>
        <w:rPr>
          <w:rFonts w:ascii="Courier New" w:cs="Courier New" w:eastAsia="Courier New" w:hAnsi="Courier New"/>
          <w:sz w:val="15"/>
          <w:szCs w:val="15"/>
          <w:color w:val="auto"/>
        </w:rPr>
        <w:t>The ClearOne bylaws provide that directors shall be elected at each annual meeting of stockholders by a plurality of the votes present in person or represented by proxy at the meeting and entitled to vote for the election of directors.</w:t>
      </w:r>
    </w:p>
    <w:p>
      <w:pPr>
        <w:spacing w:after="0" w:line="176" w:lineRule="exact"/>
        <w:rPr>
          <w:sz w:val="20"/>
          <w:szCs w:val="20"/>
          <w:color w:val="auto"/>
        </w:rPr>
      </w:pPr>
    </w:p>
    <w:p>
      <w:pPr>
        <w:ind w:right="3119" w:firstLine="710"/>
        <w:spacing w:after="0" w:line="238" w:lineRule="auto"/>
        <w:rPr>
          <w:sz w:val="20"/>
          <w:szCs w:val="20"/>
          <w:color w:val="auto"/>
        </w:rPr>
      </w:pPr>
      <w:r>
        <w:rPr>
          <w:rFonts w:ascii="Courier New" w:cs="Courier New" w:eastAsia="Courier New" w:hAnsi="Courier New"/>
          <w:sz w:val="15"/>
          <w:szCs w:val="15"/>
          <w:color w:val="auto"/>
        </w:rPr>
        <w:t>The E.mergent bylaws provide that directors are elected by a majority of the stockholders voting at a duly held meeting in person or by proxy.</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Stockholder Action by Written Consent</w:t>
      </w:r>
    </w:p>
    <w:p>
      <w:pPr>
        <w:spacing w:after="0" w:line="17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Under the ClearOne bylaws and the URBCA, stockholders may take action without a meeting if a written consent is signed by the holders of outstanding shares of capital stock having the requisite number of votes that would be necessary to authorize or take such action at a meeting of stockholders, and notice of such action is given to all non-consenting stockholders at least 10 days prior to the effectiveness of such action. However, directors may be elected by written consent only if signed by the holders of all outstanding shares of capital stock.</w:t>
      </w:r>
    </w:p>
    <w:p>
      <w:pPr>
        <w:spacing w:after="0" w:line="177"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Under the E.mergent bylaws and the DGCL, stockholders may take action without a meeting, including election of directors and without prior notice, if a written consent is signed by the holders of outstanding shares of capital stock having the requisite number of votes that would be necessary to authorize or take such action at a meeting of stockholders. Notice of such action must be given promptly to all non-consenting stockholders.</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Ability to Call Special Meetings of Stockholders</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Under the ClearOne bylaws and the URBCA, special meetings of the stockholders may be called by either the president or the chairman of the board of directors and must be called by the president at the request of the holders of not less than one-tenth of all the outstanding shares entitled to vote at the meeting.</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Under the E.mergent bylaws and the DGCL, special meetings of the stockholders may be called by either the president or the board of directors. Stockholders generally do not have the right to call meetings of stockholders unless such right is granted in the certificate of incorporation or bylaws. However, if a corporation fails to hold its annual meeting within a period of 30 days after the date designated therefore, or if no date has been designated for a period of 13 months after its last annual meeting, the Delaware Court of Chancery may order a meeting to be held upon the application of a stockholder.</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Amendments To Charter</w:t>
      </w:r>
    </w:p>
    <w:p>
      <w:pPr>
        <w:spacing w:after="0" w:line="174"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Under the ClearOne bylaws and the URBCA, the board of directors may propose amendments to the for submission to the stockholders. For an amendment to be adopted, (i) the board of directors must recommend the amendment to the stockholders (unless the board determines that because of a conflict of interest or other special circumstances it should not make a recommendation and communicates the basis for its determination to the stockholders) and (ii) unless the ClearOne Articles, the ClearOne bylaws (if authorized by the ClearOne Articles), or a resolution of the board of directors require a greater number, the amendment must be approved by (a) a majority of the votes entitled to be cast on the amendment by any voting group as to which the amendment would create dissenters' rights, (b) a majority of the votes entitled to be cast on the amendment by any voting group as to which the amendment would materially and adversely affect the voting group's rights in shares (including preferential rights, rights in redemption, preemptive rights, voting rights or rights in certain reverse splits) and (c) a majority of the votes cast for all other voting groups (voting separately, as applicable).</w:t>
      </w:r>
    </w:p>
    <w:p>
      <w:pPr>
        <w:spacing w:after="0" w:line="334" w:lineRule="exact"/>
        <w:rPr>
          <w:sz w:val="20"/>
          <w:szCs w:val="20"/>
          <w:color w:val="auto"/>
        </w:rPr>
      </w:pPr>
    </w:p>
    <w:p>
      <w:pPr>
        <w:ind w:right="3219" w:firstLine="710"/>
        <w:spacing w:after="0" w:line="260" w:lineRule="auto"/>
        <w:rPr>
          <w:sz w:val="20"/>
          <w:szCs w:val="20"/>
          <w:color w:val="auto"/>
        </w:rPr>
      </w:pPr>
      <w:r>
        <w:rPr>
          <w:rFonts w:ascii="Courier New" w:cs="Courier New" w:eastAsia="Courier New" w:hAnsi="Courier New"/>
          <w:sz w:val="14"/>
          <w:szCs w:val="14"/>
          <w:color w:val="auto"/>
        </w:rPr>
        <w:t>The E.mergent Certificate reserves E.mergent's right to amend, alter, change or repeal any provision contained in the certificate, in the manner prescribed by Delaware law. Under Delaware law, a certificate of incorporation of a Delaware corporation may be amended by approval of the board of directors of the corporation and the affirmative vote of the holders of a majority of the outstanding shares entitled to vote for the amendment, unless a higher vote is required by the corporation's certificate of incorporation.</w:t>
      </w:r>
    </w:p>
    <w:p>
      <w:pPr>
        <w:spacing w:after="0" w:line="33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68</w:t>
      </w:r>
    </w:p>
    <w:p>
      <w:pPr>
        <w:sectPr>
          <w:pgSz w:w="11900" w:h="16838" w:orient="portrait"/>
          <w:cols w:equalWidth="0" w:num="1">
            <w:col w:w="10219"/>
          </w:cols>
          <w:pgMar w:left="240" w:top="631" w:right="1440" w:bottom="1440" w:gutter="0" w:footer="0" w:header="0"/>
        </w:sectPr>
      </w:pPr>
    </w:p>
    <w:bookmarkStart w:id="77" w:name="page78"/>
    <w:bookmarkEnd w:id="77"/>
    <w:p>
      <w:pPr>
        <w:ind w:left="9"/>
        <w:spacing w:after="0"/>
        <w:rPr>
          <w:sz w:val="20"/>
          <w:szCs w:val="20"/>
          <w:color w:val="auto"/>
        </w:rPr>
      </w:pPr>
      <w:r>
        <w:rPr>
          <w:rFonts w:ascii="Courier New" w:cs="Courier New" w:eastAsia="Courier New" w:hAnsi="Courier New"/>
          <w:sz w:val="15"/>
          <w:szCs w:val="15"/>
          <w:color w:val="auto"/>
        </w:rPr>
        <w:t>Amendments To By-laws</w:t>
      </w:r>
    </w:p>
    <w:p>
      <w:pPr>
        <w:spacing w:after="0" w:line="174" w:lineRule="exact"/>
        <w:rPr>
          <w:sz w:val="20"/>
          <w:szCs w:val="20"/>
          <w:color w:val="auto"/>
        </w:rPr>
      </w:pPr>
    </w:p>
    <w:p>
      <w:pPr>
        <w:ind w:left="9" w:right="3399" w:firstLine="710"/>
        <w:spacing w:after="0" w:line="261" w:lineRule="auto"/>
        <w:rPr>
          <w:sz w:val="20"/>
          <w:szCs w:val="20"/>
          <w:color w:val="auto"/>
        </w:rPr>
      </w:pPr>
      <w:r>
        <w:rPr>
          <w:rFonts w:ascii="Courier New" w:cs="Courier New" w:eastAsia="Courier New" w:hAnsi="Courier New"/>
          <w:sz w:val="14"/>
          <w:szCs w:val="14"/>
          <w:color w:val="auto"/>
        </w:rPr>
        <w:t>Under the ClearOne bylaws and the URBCA, the board of directors may amend the ClearOne bylaws at any time, except to the extent that the URBCA reserves such power exclusively to a corporation's stockholders. The URBCA provides that stockholders may amend a corporation's bylaws at any time, even though the bylaws may also be amended at any time by the board of directors.</w:t>
      </w:r>
    </w:p>
    <w:p>
      <w:pPr>
        <w:spacing w:after="0" w:line="162" w:lineRule="exact"/>
        <w:rPr>
          <w:sz w:val="20"/>
          <w:szCs w:val="20"/>
          <w:color w:val="auto"/>
        </w:rPr>
      </w:pPr>
    </w:p>
    <w:p>
      <w:pPr>
        <w:ind w:left="9" w:right="3119" w:firstLine="710"/>
        <w:spacing w:after="0"/>
        <w:rPr>
          <w:sz w:val="20"/>
          <w:szCs w:val="20"/>
          <w:color w:val="auto"/>
        </w:rPr>
      </w:pPr>
      <w:r>
        <w:rPr>
          <w:rFonts w:ascii="Courier New" w:cs="Courier New" w:eastAsia="Courier New" w:hAnsi="Courier New"/>
          <w:sz w:val="15"/>
          <w:szCs w:val="15"/>
          <w:color w:val="auto"/>
        </w:rPr>
        <w:t>Under Delaware law, stockholders entitled to vote have the power to adopt, amend or repeal bylaws. In addition, a corporation may, in its certificate of incorporation, confer such power upon the board of directors. The stockholders have the power to adopt, amend or repeal bylaws, even though the board may also be delegated such power. E.mergent has, in the E.mergent Certificate, conferred the power to adopt, amend or repeal the E.mergent bylaws upon its directors. The fact that this power has been conferred upon the directors does not divest the stockholders of the power, or limit their power to adopt, amend or repeal the bylaws.</w:t>
      </w:r>
    </w:p>
    <w:p>
      <w:pPr>
        <w:spacing w:after="0" w:line="345"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Limitation of Liability of Directors</w:t>
      </w:r>
    </w:p>
    <w:p>
      <w:pPr>
        <w:spacing w:after="0" w:line="174" w:lineRule="exact"/>
        <w:rPr>
          <w:sz w:val="20"/>
          <w:szCs w:val="20"/>
          <w:color w:val="auto"/>
        </w:rPr>
      </w:pPr>
    </w:p>
    <w:p>
      <w:pPr>
        <w:ind w:left="9" w:right="3119" w:firstLine="710"/>
        <w:spacing w:after="0" w:line="258" w:lineRule="auto"/>
        <w:rPr>
          <w:sz w:val="20"/>
          <w:szCs w:val="20"/>
          <w:color w:val="auto"/>
        </w:rPr>
      </w:pPr>
      <w:r>
        <w:rPr>
          <w:rFonts w:ascii="Courier New" w:cs="Courier New" w:eastAsia="Courier New" w:hAnsi="Courier New"/>
          <w:sz w:val="14"/>
          <w:szCs w:val="14"/>
          <w:color w:val="auto"/>
        </w:rPr>
        <w:t>The URBCA provides that a director or officer of a Utah corporation is not liable to the corporation or its stockholders for any action taken, or any failure to take any action, as an officer or director, unless (i) the director or officer has breached or failed to perform the duties of the office (which requires that the director or officer acted (A) in good faith, (B) with the care an ordinarily prudent person in like position would exercise under similar circumstances and (C) in a manner the director or officer reasonably believes to be in the best interests of the corporation) and (ii) the breach or failure to perform constitutes gross negligence, willful misconduct or intentional infliction of harm on the corporation or the stockholders. The URBCA permits a corporation to eliminate or limit the liability of a director to the corporation or its stockholders for monetary damages for any action taken or failure to take any action, as a director, except liability for (i) the amount of a financial benefit received by a director to which he is not entitled, (ii) an intentional infliction of harm on the corporation or its stockholders, (iii) voting for or assenting to an unlawful distribution of assets as defined under the URBCA or</w:t>
      </w:r>
    </w:p>
    <w:p>
      <w:pPr>
        <w:spacing w:after="0" w:line="3" w:lineRule="exact"/>
        <w:rPr>
          <w:sz w:val="20"/>
          <w:szCs w:val="20"/>
          <w:color w:val="auto"/>
        </w:rPr>
      </w:pPr>
    </w:p>
    <w:p>
      <w:pPr>
        <w:ind w:left="9" w:right="3399" w:hanging="9"/>
        <w:spacing w:after="0" w:line="262" w:lineRule="auto"/>
        <w:tabs>
          <w:tab w:leader="none" w:pos="453" w:val="left"/>
        </w:tabs>
        <w:numPr>
          <w:ilvl w:val="0"/>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intentional violation of criminal law. The ClearOne Articles provide that to the fullest extent permitted by the URBCA as now, or as it may in the future be, in effect, no director shall be liable to the corporation or its stockholders for monetary damages for breach of fiduciary duty as a director.</w:t>
      </w:r>
    </w:p>
    <w:p>
      <w:pPr>
        <w:spacing w:after="0" w:line="161" w:lineRule="exact"/>
        <w:rPr>
          <w:sz w:val="20"/>
          <w:szCs w:val="20"/>
          <w:color w:val="auto"/>
        </w:rPr>
      </w:pPr>
    </w:p>
    <w:p>
      <w:pPr>
        <w:ind w:left="9" w:right="3119" w:firstLine="710"/>
        <w:spacing w:after="0"/>
        <w:rPr>
          <w:sz w:val="20"/>
          <w:szCs w:val="20"/>
          <w:color w:val="auto"/>
        </w:rPr>
      </w:pPr>
      <w:r>
        <w:rPr>
          <w:rFonts w:ascii="Courier New" w:cs="Courier New" w:eastAsia="Courier New" w:hAnsi="Courier New"/>
          <w:sz w:val="15"/>
          <w:szCs w:val="15"/>
          <w:color w:val="auto"/>
        </w:rPr>
        <w:t>Delaware law permits a corporation to include a provision in its certificate of incorporation eliminating or limiting the personal liability of a director or officer to the corporation or its stockholders for damages for a breach of the director's fiduciary duty. However, no such provision can eliminate or limit director liability for:</w:t>
      </w:r>
    </w:p>
    <w:p>
      <w:pPr>
        <w:spacing w:after="0" w:line="174" w:lineRule="exact"/>
        <w:rPr>
          <w:sz w:val="20"/>
          <w:szCs w:val="20"/>
          <w:color w:val="auto"/>
        </w:rPr>
      </w:pPr>
    </w:p>
    <w:p>
      <w:pPr>
        <w:ind w:left="1069" w:right="3299" w:hanging="359"/>
        <w:spacing w:after="0" w:line="238" w:lineRule="auto"/>
        <w:tabs>
          <w:tab w:leader="none" w:pos="1069"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breach of the director's duty of loyalty to the corporation or it stockholders;</w:t>
      </w:r>
    </w:p>
    <w:p>
      <w:pPr>
        <w:spacing w:after="0" w:line="174" w:lineRule="exact"/>
        <w:rPr>
          <w:rFonts w:ascii="Courier New" w:cs="Courier New" w:eastAsia="Courier New" w:hAnsi="Courier New"/>
          <w:sz w:val="15"/>
          <w:szCs w:val="15"/>
          <w:color w:val="auto"/>
        </w:rPr>
      </w:pPr>
    </w:p>
    <w:p>
      <w:pPr>
        <w:ind w:left="1069" w:right="3479" w:hanging="359"/>
        <w:spacing w:after="0" w:line="238" w:lineRule="auto"/>
        <w:tabs>
          <w:tab w:leader="none" w:pos="1069"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acts or omissions not in good faith or which involve intentional misconduct or a knowing violation of the law;</w:t>
      </w:r>
    </w:p>
    <w:p>
      <w:pPr>
        <w:spacing w:after="0" w:line="174" w:lineRule="exact"/>
        <w:rPr>
          <w:rFonts w:ascii="Courier New" w:cs="Courier New" w:eastAsia="Courier New" w:hAnsi="Courier New"/>
          <w:sz w:val="15"/>
          <w:szCs w:val="15"/>
          <w:color w:val="auto"/>
        </w:rPr>
      </w:pPr>
    </w:p>
    <w:p>
      <w:pPr>
        <w:ind w:left="1069" w:right="3219" w:hanging="359"/>
        <w:spacing w:after="0" w:line="238" w:lineRule="auto"/>
        <w:tabs>
          <w:tab w:leader="none" w:pos="1069"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willful or negligent violation of the laws governing the payment of dividends or the purchase or redemption of stock; and</w:t>
      </w:r>
    </w:p>
    <w:p>
      <w:pPr>
        <w:spacing w:after="0" w:line="174" w:lineRule="exact"/>
        <w:rPr>
          <w:rFonts w:ascii="Courier New" w:cs="Courier New" w:eastAsia="Courier New" w:hAnsi="Courier New"/>
          <w:sz w:val="15"/>
          <w:szCs w:val="15"/>
          <w:color w:val="auto"/>
        </w:rPr>
      </w:pPr>
    </w:p>
    <w:p>
      <w:pPr>
        <w:ind w:left="1069" w:right="3119" w:hanging="359"/>
        <w:spacing w:after="0" w:line="238" w:lineRule="auto"/>
        <w:tabs>
          <w:tab w:leader="none" w:pos="1069"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transaction from which the director derived an improper personal benefit.</w:t>
      </w:r>
    </w:p>
    <w:p>
      <w:pPr>
        <w:spacing w:after="0" w:line="175" w:lineRule="exact"/>
        <w:rPr>
          <w:sz w:val="20"/>
          <w:szCs w:val="20"/>
          <w:color w:val="auto"/>
        </w:rPr>
      </w:pPr>
    </w:p>
    <w:p>
      <w:pPr>
        <w:jc w:val="both"/>
        <w:ind w:left="9" w:right="3399" w:firstLine="710"/>
        <w:spacing w:after="0" w:line="271" w:lineRule="auto"/>
        <w:rPr>
          <w:sz w:val="20"/>
          <w:szCs w:val="20"/>
          <w:color w:val="auto"/>
        </w:rPr>
      </w:pPr>
      <w:r>
        <w:rPr>
          <w:rFonts w:ascii="Courier New" w:cs="Courier New" w:eastAsia="Courier New" w:hAnsi="Courier New"/>
          <w:sz w:val="14"/>
          <w:szCs w:val="14"/>
          <w:color w:val="auto"/>
        </w:rPr>
        <w:t>E.mergent's Certificate includes such a provision to limit directors' personal liability to the corporation to the maximum extent permitted by law.</w:t>
      </w:r>
    </w:p>
    <w:p>
      <w:pPr>
        <w:spacing w:after="0" w:line="32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Indemnification of Directors and Officers</w:t>
      </w:r>
    </w:p>
    <w:p>
      <w:pPr>
        <w:spacing w:after="0" w:line="174" w:lineRule="exact"/>
        <w:rPr>
          <w:sz w:val="20"/>
          <w:szCs w:val="20"/>
          <w:color w:val="auto"/>
        </w:rPr>
      </w:pPr>
    </w:p>
    <w:p>
      <w:pPr>
        <w:ind w:left="9" w:right="3119" w:firstLine="710"/>
        <w:spacing w:after="0" w:line="239" w:lineRule="auto"/>
        <w:rPr>
          <w:sz w:val="20"/>
          <w:szCs w:val="20"/>
          <w:color w:val="auto"/>
        </w:rPr>
      </w:pPr>
      <w:r>
        <w:rPr>
          <w:rFonts w:ascii="Courier New" w:cs="Courier New" w:eastAsia="Courier New" w:hAnsi="Courier New"/>
          <w:sz w:val="15"/>
          <w:szCs w:val="15"/>
          <w:color w:val="auto"/>
        </w:rPr>
        <w:t>The ClearOne bylaws provide that it shall indemnify an individual made a party to a proceeding because he is or was a director, against any liability incurred in the proceeding if (i) the individual's conduct was in good faith,</w:t>
      </w:r>
    </w:p>
    <w:p>
      <w:pPr>
        <w:spacing w:after="0" w:line="4" w:lineRule="exact"/>
        <w:rPr>
          <w:sz w:val="20"/>
          <w:szCs w:val="20"/>
          <w:color w:val="auto"/>
        </w:rPr>
      </w:pPr>
    </w:p>
    <w:p>
      <w:pPr>
        <w:ind w:left="9" w:right="3119" w:hanging="9"/>
        <w:spacing w:after="0" w:line="259" w:lineRule="auto"/>
        <w:tabs>
          <w:tab w:leader="none" w:pos="453"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individual reasonably believed that his conduct was in, or not opposed to, the corporation's best interests and (iii) in the case of a criminal proceeding he had no reasonable cause to believe his conduct was unlawful; provided, however, that (x) in the case of an action by or in the right of the corporation, indemnification is limited to reasonable expenses incurred in connection with the proceeding and (y) the corporation may not, unless authorized by a court of competent jurisdiction, indemnify an individual (A) in connection with a proceeding by or in the right of the corporation in which the individual was adjudged liable to the corporation or (B) in connection with any other proceeding in which the individual is adjudged liable on the basis that he derived an improper personal benefit. In a judicial proceeding under the foregoing clause (y), in order to authorize indemnification the court must determine that the individual is fairly and reasonably entitled to indemnification in view of all the relevant circumstances. A director is</w:t>
      </w:r>
    </w:p>
    <w:p>
      <w:pPr>
        <w:spacing w:after="0" w:line="200" w:lineRule="exact"/>
        <w:rPr>
          <w:sz w:val="20"/>
          <w:szCs w:val="20"/>
          <w:color w:val="auto"/>
        </w:rPr>
      </w:pPr>
    </w:p>
    <w:p>
      <w:pPr>
        <w:spacing w:after="0" w:line="303"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69</w:t>
      </w:r>
    </w:p>
    <w:p>
      <w:pPr>
        <w:sectPr>
          <w:pgSz w:w="11900" w:h="16838" w:orient="portrait"/>
          <w:cols w:equalWidth="0" w:num="1">
            <w:col w:w="10228"/>
          </w:cols>
          <w:pgMar w:left="231" w:top="628" w:right="1440" w:bottom="969" w:gutter="0" w:footer="0" w:header="0"/>
        </w:sectPr>
      </w:pPr>
    </w:p>
    <w:bookmarkStart w:id="78" w:name="page79"/>
    <w:bookmarkEnd w:id="78"/>
    <w:p>
      <w:pPr>
        <w:ind w:left="9" w:right="3119"/>
        <w:spacing w:after="0"/>
        <w:rPr>
          <w:sz w:val="20"/>
          <w:szCs w:val="20"/>
          <w:color w:val="auto"/>
        </w:rPr>
      </w:pPr>
      <w:r>
        <w:rPr>
          <w:rFonts w:ascii="Courier New" w:cs="Courier New" w:eastAsia="Courier New" w:hAnsi="Courier New"/>
          <w:sz w:val="15"/>
          <w:szCs w:val="15"/>
          <w:color w:val="auto"/>
        </w:rPr>
        <w:t>entitled to mandatory indemnification if he was successful, on the merits or otherwise, in the defense of any proceeding, or in the defense of any claim, issue or matter in the proceeding, against the reasonable expenses incurred by him in connection with the proceeding or claim with respect to which he was successful. ClearOne must also advance a director expenses under certain circumstances. ClearOne may also indemnify and advance expenses to an officer, employee, fiduciary or agent to a greater extent if not inconsistent with public policy.</w:t>
      </w:r>
    </w:p>
    <w:p>
      <w:pPr>
        <w:spacing w:after="0" w:line="177" w:lineRule="exact"/>
        <w:rPr>
          <w:sz w:val="20"/>
          <w:szCs w:val="20"/>
          <w:color w:val="auto"/>
        </w:rPr>
      </w:pPr>
    </w:p>
    <w:p>
      <w:pPr>
        <w:ind w:left="9" w:right="3299" w:firstLine="710"/>
        <w:spacing w:after="0"/>
        <w:rPr>
          <w:sz w:val="20"/>
          <w:szCs w:val="20"/>
          <w:color w:val="auto"/>
        </w:rPr>
      </w:pPr>
      <w:r>
        <w:rPr>
          <w:rFonts w:ascii="Courier New" w:cs="Courier New" w:eastAsia="Courier New" w:hAnsi="Courier New"/>
          <w:sz w:val="15"/>
          <w:szCs w:val="15"/>
          <w:color w:val="auto"/>
        </w:rPr>
        <w:t>Delaware law permits a corporation to indemnify officers and directors for actions taken in good faith and in a manner they reasonably believed to be in, or not opposed to, the best interests of the corporation, and with respect to any criminal action, which they had no reasonable cause to believe was unlawful.</w:t>
      </w:r>
    </w:p>
    <w:p>
      <w:pPr>
        <w:spacing w:after="0" w:line="174" w:lineRule="exact"/>
        <w:rPr>
          <w:sz w:val="20"/>
          <w:szCs w:val="20"/>
          <w:color w:val="auto"/>
        </w:rPr>
      </w:pPr>
    </w:p>
    <w:p>
      <w:pPr>
        <w:ind w:left="9" w:right="3119" w:firstLine="710"/>
        <w:spacing w:after="0" w:line="259" w:lineRule="auto"/>
        <w:rPr>
          <w:sz w:val="20"/>
          <w:szCs w:val="20"/>
          <w:color w:val="auto"/>
        </w:rPr>
      </w:pPr>
      <w:r>
        <w:rPr>
          <w:rFonts w:ascii="Courier New" w:cs="Courier New" w:eastAsia="Courier New" w:hAnsi="Courier New"/>
          <w:sz w:val="14"/>
          <w:szCs w:val="14"/>
          <w:color w:val="auto"/>
        </w:rPr>
        <w:t>Under E.mergent's bylaws, E.mergent commits itself to indemnify each of its directors and officers to the maximum extent and in the manner permitted by Delaware law against expenses (including attorneys' fees), judgments, fines, settlements, and other amounts actually and reasonably incurred in connection with any proceeding, arising by reason of the fact that such person is or was an agent of E.mergent. Furthermore, E.mergent's bylaws authorize it to provide insurance for its directors, officers and/or agents, against any expense, liability or loss, whether or not E.mergent would have the power to indemnify such person against such expense, liability or loss under Delaware law.</w:t>
      </w:r>
    </w:p>
    <w:p>
      <w:pPr>
        <w:spacing w:after="0" w:line="33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Dissenters' Rights</w:t>
      </w:r>
    </w:p>
    <w:p>
      <w:pPr>
        <w:spacing w:after="0" w:line="174" w:lineRule="exact"/>
        <w:rPr>
          <w:sz w:val="20"/>
          <w:szCs w:val="20"/>
          <w:color w:val="auto"/>
        </w:rPr>
      </w:pPr>
    </w:p>
    <w:p>
      <w:pPr>
        <w:ind w:left="9" w:right="3119" w:firstLine="710"/>
        <w:spacing w:after="0"/>
        <w:rPr>
          <w:sz w:val="20"/>
          <w:szCs w:val="20"/>
          <w:color w:val="auto"/>
        </w:rPr>
      </w:pPr>
      <w:r>
        <w:rPr>
          <w:rFonts w:ascii="Courier New" w:cs="Courier New" w:eastAsia="Courier New" w:hAnsi="Courier New"/>
          <w:sz w:val="15"/>
          <w:szCs w:val="15"/>
          <w:color w:val="auto"/>
        </w:rPr>
        <w:t>Under the URBCA, in connection with a merger, share exchange or sale, lease, exchange or other disposition of all or substantially all of the assets of a corporation (other than in the ordinary course of the corporation's business), a dissenting stockholder, after complying with certain procedures, is entitled to payment from the corporation of the fair value of the stockholder's shares. The fair value is estimated by the corporation. However, if the stockholder is unwilling to accept the corporation's estimate, the stockholder may provide the corporation with an estimate of the fair value and demand payment of that amount. If the corporation is unwilling to pay that amount, the corporation shall apply for judicial determination of the fair value. Unless the articles of incorporation, bylaws or a resolution of the board of directors provide otherwise, stockholders are not entitled to dissenters' rights when the shares are listed on a national securities exchange or the Nasdaq National Market, or are held of record by more than 2,000 holders. However, this exception does not apply if, pursuant to the corporate action, the stockholder will receive anything except: (i) shares of the surviving corporation; (ii) shares of a corporation that is or will be listed on a national securities exchange, the Nasdaq National Market, or held of record by more than 2,000 holders; (iii) cash in lieu of fractional shares; or (iv) any combination of the foregoing.</w:t>
      </w:r>
    </w:p>
    <w:p>
      <w:pPr>
        <w:spacing w:after="0" w:line="186" w:lineRule="exact"/>
        <w:rPr>
          <w:sz w:val="20"/>
          <w:szCs w:val="20"/>
          <w:color w:val="auto"/>
        </w:rPr>
      </w:pPr>
    </w:p>
    <w:p>
      <w:pPr>
        <w:ind w:left="9" w:right="3119" w:firstLine="710"/>
        <w:spacing w:after="0" w:line="258" w:lineRule="auto"/>
        <w:rPr>
          <w:sz w:val="20"/>
          <w:szCs w:val="20"/>
          <w:color w:val="auto"/>
        </w:rPr>
      </w:pPr>
      <w:r>
        <w:rPr>
          <w:rFonts w:ascii="Courier New" w:cs="Courier New" w:eastAsia="Courier New" w:hAnsi="Courier New"/>
          <w:sz w:val="14"/>
          <w:szCs w:val="14"/>
          <w:color w:val="auto"/>
        </w:rPr>
        <w:t>Under the DGCL, stockholders are entitled to demand appraisal of their shares in the case of mergers or consolidations, except where: (i) they are stockholders of the surviving corporation and the merger did not require their approval under the DGCL; (ii) the corporation's shares are either listed on a national securities exchange or designated as a national market system security on an inter-dealer quotation system by The National Association of Securities Dealers, Inc.; or (iii) the corporation's shares are held of record by more than 2,000 stockholders. Appraisal rights are not available in either (i), (ii) or</w:t>
      </w:r>
    </w:p>
    <w:p>
      <w:pPr>
        <w:spacing w:after="0" w:line="1" w:lineRule="exact"/>
        <w:rPr>
          <w:sz w:val="20"/>
          <w:szCs w:val="20"/>
          <w:color w:val="auto"/>
        </w:rPr>
      </w:pPr>
    </w:p>
    <w:p>
      <w:pPr>
        <w:ind w:left="9" w:right="3119" w:hanging="9"/>
        <w:spacing w:after="0" w:line="259" w:lineRule="auto"/>
        <w:tabs>
          <w:tab w:leader="none" w:pos="541"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above, however, if the stockholders are required by the terms of the merger or consolidation to accept any consideration other than (a) stock of the corporation surviving or resulting from the merger or consolidation, (b) shares of stock of another corporation which are either listed on a national securities exchange or designated as a national market system security on an interdealer quotation system by The National Association of Securities Dealers, Inc. or held of record by more than 2,000 stockholders, (c) cash in lieu of fractional shares, or (d) any combination of the foregoing. Appraisal rights are not available in the case of a sale, lease, exchange or other disposition by a corporation of all or substantially all of its property and assets.</w:t>
      </w:r>
    </w:p>
    <w:p>
      <w:pPr>
        <w:spacing w:after="0" w:line="334"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Anti-Takeover Statutes</w:t>
      </w:r>
    </w:p>
    <w:p>
      <w:pPr>
        <w:spacing w:after="0" w:line="174" w:lineRule="exact"/>
        <w:rPr>
          <w:sz w:val="20"/>
          <w:szCs w:val="20"/>
          <w:color w:val="auto"/>
        </w:rPr>
      </w:pPr>
    </w:p>
    <w:p>
      <w:pPr>
        <w:ind w:left="9" w:right="3219" w:firstLine="710"/>
        <w:spacing w:after="0" w:line="259" w:lineRule="auto"/>
        <w:rPr>
          <w:sz w:val="20"/>
          <w:szCs w:val="20"/>
          <w:color w:val="auto"/>
        </w:rPr>
      </w:pPr>
      <w:r>
        <w:rPr>
          <w:rFonts w:ascii="Courier New" w:cs="Courier New" w:eastAsia="Courier New" w:hAnsi="Courier New"/>
          <w:sz w:val="14"/>
          <w:szCs w:val="14"/>
          <w:color w:val="auto"/>
        </w:rPr>
        <w:t>The Utah Control Share Acquisitions Act, set forth in Sections 61-6-1 through 61-6-12 of the Utah Code Annotated, generally provides that, when any person obtains shares (or the power to direct the voting of shares) of "an issuing public corporation" such that the person's voting power equals or exceeds any of three levels (20%, 33 1/3% or 50%), the ability to vote (or to direct the voting of) the "control shares" is conditioned on the approval by a majority of the corporation's shares (voting in voting groups, if applicable), excluding the "interested shares." Stockholder approval may occur at the next annual meeting of the stockholders, or, if the acquiring person requests and agrees to pay the associated costs of the corporation, at a special meeting of the stockholders (to be held within 50 days of the corporation's receipt of the request by an acquiring person). If authorized by the articles of incorporation or the bylaws, the corporation may redeem "control shares" at the fair market value if the acquiring person fails to file an "acquiring person statement" or if the stockholders do not grant voting rights to control shares. The ClearOne Articles and ClearOne bylaws make no reference to the Act. If the stockholders grant voting rights to the control shares, and if the acquiring person obtained a majority of the voting power, stockholders may be entitled to dissenters'</w:t>
      </w:r>
    </w:p>
    <w:p>
      <w:pPr>
        <w:spacing w:after="0" w:line="330" w:lineRule="exact"/>
        <w:rPr>
          <w:sz w:val="20"/>
          <w:szCs w:val="20"/>
          <w:color w:val="auto"/>
        </w:rPr>
      </w:pPr>
    </w:p>
    <w:p>
      <w:pPr>
        <w:ind w:left="3469"/>
        <w:spacing w:after="0"/>
        <w:rPr>
          <w:sz w:val="20"/>
          <w:szCs w:val="20"/>
          <w:color w:val="auto"/>
        </w:rPr>
      </w:pPr>
      <w:r>
        <w:rPr>
          <w:rFonts w:ascii="Courier New" w:cs="Courier New" w:eastAsia="Courier New" w:hAnsi="Courier New"/>
          <w:sz w:val="15"/>
          <w:szCs w:val="15"/>
          <w:color w:val="auto"/>
        </w:rPr>
        <w:t>70</w:t>
      </w:r>
    </w:p>
    <w:p>
      <w:pPr>
        <w:sectPr>
          <w:pgSz w:w="11900" w:h="16838" w:orient="portrait"/>
          <w:cols w:equalWidth="0" w:num="1">
            <w:col w:w="10228"/>
          </w:cols>
          <w:pgMar w:left="231" w:top="631" w:right="1440" w:bottom="0" w:gutter="0" w:footer="0" w:header="0"/>
        </w:sectPr>
      </w:pPr>
    </w:p>
    <w:bookmarkStart w:id="79" w:name="page80"/>
    <w:bookmarkEnd w:id="79"/>
    <w:p>
      <w:pPr>
        <w:ind w:right="3299"/>
        <w:spacing w:after="0"/>
        <w:rPr>
          <w:sz w:val="20"/>
          <w:szCs w:val="20"/>
          <w:color w:val="auto"/>
        </w:rPr>
      </w:pPr>
      <w:r>
        <w:rPr>
          <w:rFonts w:ascii="Courier New" w:cs="Courier New" w:eastAsia="Courier New" w:hAnsi="Courier New"/>
          <w:sz w:val="15"/>
          <w:szCs w:val="15"/>
          <w:color w:val="auto"/>
        </w:rPr>
        <w:t>rights under the URBCA. An acquisition of shares does not constitute a control share acquisition if (i) the corporation's articles of incorporation of bylaws provide that this Act does not apply (ii) the acquisition is consummated pursuant to a merger in accordance with the URBCA or (iii) under certain other specified circumstances.</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Delaware has adopted an anti-takeover statute governing takeovers of Delaware corporations. Effective December 31, 1987, a Delaware corporation may not engage in a business combination with any person acquiring 15% or more of the voting stock of such Delaware corporation (an "interested stockholder") for a period of three years following the date of such acquisition, unless: (i) prior to the date the stockholder became an interested stockholder, the board of directors of the corporation approved either the business combination or the transaction which resulted in the stockholder becoming an interested stockholder; (ii) the interested stockholder acquired 85% or more of the corporation's voting stock in the transaction in which he became an interested stockholder; or (iii) on or subsequent to the date the stockholder became an interested stockholder, the board of directors and stockholders owning two-thirds of the outstanding voting stock, other than the interested stockholder's stock, approve the business combination. The corporation may opt out of the effect of this statute by: (i) including a provision to such effect in the corporation's original certificate of incorporation; (ii) amendment to the corporation's bylaws made by the board of directors; or (iii) amendment of the corporation's certificate of incorporation or bylaws approved by holders of a majority of the shares entitled to vote; provided that such amendment shall not take effect until 12 months after its adoption and shall not effect any business combinations with interested stockholders which are effected during such 12 months. E.mergent has not elected to opt out of the effects of the statute.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71</w:t>
      </w:r>
    </w:p>
    <w:p>
      <w:pPr>
        <w:sectPr>
          <w:pgSz w:w="11900" w:h="16838" w:orient="portrait"/>
          <w:cols w:equalWidth="0" w:num="1">
            <w:col w:w="10219"/>
          </w:cols>
          <w:pgMar w:left="240" w:top="631" w:right="1440" w:bottom="1440" w:gutter="0" w:footer="0" w:header="0"/>
        </w:sectPr>
      </w:pPr>
    </w:p>
    <w:bookmarkStart w:id="80" w:name="page81"/>
    <w:bookmarkEnd w:id="80"/>
    <w:p>
      <w:pPr>
        <w:ind w:left="204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4" w:lineRule="exact"/>
        <w:rPr>
          <w:sz w:val="20"/>
          <w:szCs w:val="20"/>
          <w:color w:val="auto"/>
        </w:rPr>
      </w:pPr>
    </w:p>
    <w:p>
      <w:pPr>
        <w:ind w:right="3399" w:firstLine="710"/>
        <w:spacing w:after="0" w:line="239" w:lineRule="auto"/>
        <w:rPr>
          <w:sz w:val="20"/>
          <w:szCs w:val="20"/>
          <w:color w:val="auto"/>
        </w:rPr>
      </w:pPr>
      <w:r>
        <w:rPr>
          <w:rFonts w:ascii="Courier New" w:cs="Courier New" w:eastAsia="Courier New" w:hAnsi="Courier New"/>
          <w:sz w:val="15"/>
          <w:szCs w:val="15"/>
          <w:color w:val="auto"/>
        </w:rPr>
        <w:t>The following documents, which have been filed by ClearOne with the Securities and Exchange Commission, accompany this proxy statement/prospectus under a separate bound cover and are incorporated by reference into this document:</w:t>
      </w:r>
    </w:p>
    <w:p>
      <w:pPr>
        <w:spacing w:after="0" w:line="176" w:lineRule="exact"/>
        <w:rPr>
          <w:sz w:val="20"/>
          <w:szCs w:val="20"/>
          <w:color w:val="auto"/>
        </w:rPr>
      </w:pPr>
    </w:p>
    <w:p>
      <w:pPr>
        <w:ind w:left="1060" w:right="3299" w:hanging="359"/>
        <w:spacing w:after="0" w:line="238" w:lineRule="auto"/>
        <w:tabs>
          <w:tab w:leader="none" w:pos="106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Annual Report on Form 10-K for the fiscal year ended June 30, 2001;</w:t>
      </w:r>
    </w:p>
    <w:p>
      <w:pPr>
        <w:spacing w:after="0" w:line="174" w:lineRule="exact"/>
        <w:rPr>
          <w:rFonts w:ascii="Courier New" w:cs="Courier New" w:eastAsia="Courier New" w:hAnsi="Courier New"/>
          <w:sz w:val="15"/>
          <w:szCs w:val="15"/>
          <w:color w:val="auto"/>
        </w:rPr>
      </w:pPr>
    </w:p>
    <w:p>
      <w:pPr>
        <w:ind w:left="1060" w:right="3839" w:hanging="359"/>
        <w:spacing w:after="0" w:line="238" w:lineRule="auto"/>
        <w:tabs>
          <w:tab w:leader="none" w:pos="106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Quarterly Report on Form 10-Q for the quarter ended September 30, 2001;</w:t>
      </w:r>
    </w:p>
    <w:p>
      <w:pPr>
        <w:spacing w:after="0" w:line="174" w:lineRule="exact"/>
        <w:rPr>
          <w:rFonts w:ascii="Courier New" w:cs="Courier New" w:eastAsia="Courier New" w:hAnsi="Courier New"/>
          <w:sz w:val="15"/>
          <w:szCs w:val="15"/>
          <w:color w:val="auto"/>
        </w:rPr>
      </w:pPr>
    </w:p>
    <w:p>
      <w:pPr>
        <w:ind w:left="1060" w:right="3839" w:hanging="359"/>
        <w:spacing w:after="0" w:line="238" w:lineRule="auto"/>
        <w:tabs>
          <w:tab w:leader="none" w:pos="106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Quarterly Report on Form 10-Q for the quarter ended December 31, 2001;</w:t>
      </w:r>
    </w:p>
    <w:p>
      <w:pPr>
        <w:spacing w:after="0" w:line="172"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Current Report on Form 8-K filed October 18, 2001;</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Current Report on Form 8-K/A filed November 23, 2001;</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Current Report on Form 8-K filed February 1, 2002;</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Current Report on Form 8-K filed on February 6, 2002;</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Current Report on Form 8-K filed on March 21, 2002;</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Current Report on Form 8-K filed on April 10, 2002; and</w:t>
      </w:r>
    </w:p>
    <w:p>
      <w:pPr>
        <w:spacing w:after="0" w:line="171" w:lineRule="exact"/>
        <w:rPr>
          <w:rFonts w:ascii="Courier New" w:cs="Courier New" w:eastAsia="Courier New" w:hAnsi="Courier New"/>
          <w:sz w:val="15"/>
          <w:szCs w:val="15"/>
          <w:color w:val="auto"/>
        </w:rPr>
      </w:pPr>
    </w:p>
    <w:p>
      <w:pPr>
        <w:ind w:left="1060" w:hanging="359"/>
        <w:spacing w:after="0"/>
        <w:tabs>
          <w:tab w:leader="none" w:pos="106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ClearOne Current Report on Form 8-K filed April 23, 2002.</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Additionally, all reports, proxy and information statements and other information filed by ClearOne pursuant to Section 13(a), 13(c), 14 or 15(d) of the Securities Exchange Act of 1934, as amended, after the date of this document and before the date of the special meeting described herein are incorporated by reference into this document from the date of filing of those reports, proxy and information statements and other information.</w:t>
      </w:r>
    </w:p>
    <w:p>
      <w:pPr>
        <w:spacing w:after="0" w:line="175"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YOU SHOULD RELY ONLY ON THE INFORMATION CONTAINED IN THIS DOCUMENT OR TO WHICH CLEARONE HAS REFERRED YOU HEREIN. CLEARONE HAS NOT AUTHORIZED ANYONE TO PROVIDE YOU WITH DIFFERENT INFORMATION.</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reports incorporated by reference into this document but not accompanying it, and the exhibits not included in the reports that do accompany this document, are available from ClearOne upon request. ClearOne will provide a copy of any and all of the information that is incorporated by reference in this document (including exhibits) to any person, without charge, upon written or oral request to the following address and telephone number. ANY REQUEST FOR DOCUMENTS SHOULD BE MADE BY MAY 24, 2002 TO ENSURE TIMELY DELIVERY PRIOR TO THE SPECIAL MEETING OF E.MERGENT STOCKHOLDERS AT WHICH THE MERGER AGREEMENT AND THE MERGER WILL BE CONSIDERED AND VOTED UPON.</w:t>
      </w:r>
    </w:p>
    <w:p>
      <w:pPr>
        <w:spacing w:after="0" w:line="175"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ClearOne Communications, Inc.</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1825 Research Way</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Salt Lake City, UT 84119</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Telephone (801) 975-7200</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Attention: Bryce Benson</w:t>
      </w:r>
    </w:p>
    <w:p>
      <w:pPr>
        <w:spacing w:after="0" w:line="174" w:lineRule="exact"/>
        <w:rPr>
          <w:sz w:val="20"/>
          <w:szCs w:val="20"/>
          <w:color w:val="auto"/>
        </w:rPr>
      </w:pPr>
    </w:p>
    <w:p>
      <w:pPr>
        <w:jc w:val="both"/>
        <w:ind w:right="3299" w:firstLine="710"/>
        <w:spacing w:after="0" w:line="239" w:lineRule="auto"/>
        <w:rPr>
          <w:sz w:val="20"/>
          <w:szCs w:val="20"/>
          <w:color w:val="auto"/>
        </w:rPr>
      </w:pPr>
      <w:r>
        <w:rPr>
          <w:rFonts w:ascii="Courier New" w:cs="Courier New" w:eastAsia="Courier New" w:hAnsi="Courier New"/>
          <w:sz w:val="15"/>
          <w:szCs w:val="15"/>
          <w:color w:val="auto"/>
        </w:rPr>
        <w:t>A copy of E.mergent's Annual Report on Form 10-KSB for the fiscal year ended December 31, 2001, which has been filed with the Securities and Exchange Commission, accompanies this proxy statement/prospectus under a separate bound cover and is incorporated by reference into this document.</w:t>
      </w:r>
    </w:p>
    <w:p>
      <w:pPr>
        <w:spacing w:after="0" w:line="176" w:lineRule="exact"/>
        <w:rPr>
          <w:sz w:val="20"/>
          <w:szCs w:val="20"/>
          <w:color w:val="auto"/>
        </w:rPr>
      </w:pPr>
    </w:p>
    <w:p>
      <w:pPr>
        <w:ind w:right="3119" w:firstLine="710"/>
        <w:spacing w:after="0" w:line="260" w:lineRule="auto"/>
        <w:rPr>
          <w:sz w:val="20"/>
          <w:szCs w:val="20"/>
          <w:color w:val="auto"/>
        </w:rPr>
      </w:pPr>
      <w:r>
        <w:rPr>
          <w:rFonts w:ascii="Courier New" w:cs="Courier New" w:eastAsia="Courier New" w:hAnsi="Courier New"/>
          <w:sz w:val="14"/>
          <w:szCs w:val="14"/>
          <w:color w:val="auto"/>
        </w:rPr>
        <w:t>Any statement contained herein or in a document incorporated or deemed to be incorporated by reference into this document will be deemed to be modified or superseded for purposes of this document to the extent that a statement contained in this document or any other subsequently filed document that is deemed to be incorporated by reference into this document modifies or supersedes the statement. Any statement so modified or superseded will not be deemed, except as so modified or superseded, to constitute a part of this document.</w:t>
      </w:r>
    </w:p>
    <w:p>
      <w:pPr>
        <w:spacing w:after="0" w:line="163" w:lineRule="exact"/>
        <w:rPr>
          <w:sz w:val="20"/>
          <w:szCs w:val="20"/>
          <w:color w:val="auto"/>
        </w:rPr>
      </w:pPr>
    </w:p>
    <w:p>
      <w:pPr>
        <w:ind w:right="3119" w:firstLine="710"/>
        <w:spacing w:after="0" w:line="264" w:lineRule="auto"/>
        <w:rPr>
          <w:sz w:val="20"/>
          <w:szCs w:val="20"/>
          <w:color w:val="auto"/>
        </w:rPr>
      </w:pPr>
      <w:r>
        <w:rPr>
          <w:rFonts w:ascii="Courier New" w:cs="Courier New" w:eastAsia="Courier New" w:hAnsi="Courier New"/>
          <w:sz w:val="14"/>
          <w:szCs w:val="14"/>
          <w:color w:val="auto"/>
        </w:rPr>
        <w:t>ClearOne and E.mergent file reports, proxy statements and other information with the Securities and Exchange Commission. Copies of such reports, proxy statements and other information may be inspected and copied at the public</w:t>
      </w:r>
    </w:p>
    <w:p>
      <w:pPr>
        <w:spacing w:after="0" w:line="32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219"/>
          </w:cols>
          <w:pgMar w:left="240" w:top="628" w:right="1440" w:bottom="1440" w:gutter="0" w:footer="0" w:header="0"/>
        </w:sectPr>
      </w:pPr>
    </w:p>
    <w:bookmarkStart w:id="81" w:name="page82"/>
    <w:bookmarkEnd w:id="81"/>
    <w:p>
      <w:pPr>
        <w:ind w:right="3119"/>
        <w:spacing w:after="0" w:line="238" w:lineRule="auto"/>
        <w:rPr>
          <w:sz w:val="20"/>
          <w:szCs w:val="20"/>
          <w:color w:val="auto"/>
        </w:rPr>
      </w:pPr>
      <w:r>
        <w:rPr>
          <w:rFonts w:ascii="Courier New" w:cs="Courier New" w:eastAsia="Courier New" w:hAnsi="Courier New"/>
          <w:sz w:val="15"/>
          <w:szCs w:val="15"/>
          <w:color w:val="auto"/>
        </w:rPr>
        <w:t>reference facilities maintained by the Securities and Exchange Commission at the following locations: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Public Reference</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Room</w:t>
            </w:r>
          </w:p>
        </w:tc>
        <w:tc>
          <w:tcPr>
            <w:tcW w:w="2840" w:type="dxa"/>
            <w:vAlign w:val="bottom"/>
            <w:gridSpan w:val="2"/>
          </w:tcPr>
          <w:p>
            <w:pPr>
              <w:ind w:left="800"/>
              <w:spacing w:after="0"/>
              <w:rPr>
                <w:sz w:val="20"/>
                <w:szCs w:val="20"/>
                <w:color w:val="auto"/>
              </w:rPr>
            </w:pPr>
            <w:r>
              <w:rPr>
                <w:rFonts w:ascii="Courier New" w:cs="Courier New" w:eastAsia="Courier New" w:hAnsi="Courier New"/>
                <w:sz w:val="15"/>
                <w:szCs w:val="15"/>
                <w:color w:val="auto"/>
                <w:w w:val="97"/>
              </w:rPr>
              <w:t>Chicago Regional Office</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rPr>
              <w:t>Judiciary Plaza</w:t>
            </w:r>
          </w:p>
        </w:tc>
        <w:tc>
          <w:tcPr>
            <w:tcW w:w="1280" w:type="dxa"/>
            <w:vAlign w:val="bottom"/>
          </w:tcPr>
          <w:p>
            <w:pPr>
              <w:spacing w:after="0"/>
              <w:rPr>
                <w:sz w:val="14"/>
                <w:szCs w:val="14"/>
                <w:color w:val="auto"/>
              </w:rPr>
            </w:pPr>
          </w:p>
        </w:tc>
        <w:tc>
          <w:tcPr>
            <w:tcW w:w="1560" w:type="dxa"/>
            <w:vAlign w:val="bottom"/>
          </w:tcPr>
          <w:p>
            <w:pPr>
              <w:ind w:left="800"/>
              <w:spacing w:after="0"/>
              <w:rPr>
                <w:sz w:val="20"/>
                <w:szCs w:val="20"/>
                <w:color w:val="auto"/>
              </w:rPr>
            </w:pPr>
            <w:r>
              <w:rPr>
                <w:rFonts w:ascii="Courier New" w:cs="Courier New" w:eastAsia="Courier New" w:hAnsi="Courier New"/>
                <w:sz w:val="15"/>
                <w:szCs w:val="15"/>
                <w:color w:val="auto"/>
              </w:rPr>
              <w:t>Citicorp</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Center</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rPr>
              <w:t>Room 1024</w:t>
            </w:r>
          </w:p>
        </w:tc>
        <w:tc>
          <w:tcPr>
            <w:tcW w:w="1280" w:type="dxa"/>
            <w:vAlign w:val="bottom"/>
          </w:tcPr>
          <w:p>
            <w:pPr>
              <w:spacing w:after="0"/>
              <w:rPr>
                <w:sz w:val="14"/>
                <w:szCs w:val="14"/>
                <w:color w:val="auto"/>
              </w:rPr>
            </w:pPr>
          </w:p>
        </w:tc>
        <w:tc>
          <w:tcPr>
            <w:tcW w:w="1560" w:type="dxa"/>
            <w:vAlign w:val="bottom"/>
          </w:tcPr>
          <w:p>
            <w:pPr>
              <w:ind w:left="800"/>
              <w:spacing w:after="0"/>
              <w:rPr>
                <w:sz w:val="20"/>
                <w:szCs w:val="20"/>
                <w:color w:val="auto"/>
              </w:rPr>
            </w:pPr>
            <w:r>
              <w:rPr>
                <w:rFonts w:ascii="Courier New" w:cs="Courier New" w:eastAsia="Courier New" w:hAnsi="Courier New"/>
                <w:sz w:val="15"/>
                <w:szCs w:val="15"/>
                <w:color w:val="auto"/>
              </w:rPr>
              <w:t>500 West</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w w:val="96"/>
              </w:rPr>
              <w:t>Madison Street</w:t>
            </w:r>
          </w:p>
        </w:tc>
      </w:tr>
      <w:tr>
        <w:trPr>
          <w:trHeight w:val="171"/>
        </w:trPr>
        <w:tc>
          <w:tcPr>
            <w:tcW w:w="2740" w:type="dxa"/>
            <w:vAlign w:val="bottom"/>
            <w:gridSpan w:val="2"/>
          </w:tcPr>
          <w:p>
            <w:pPr>
              <w:spacing w:after="0"/>
              <w:rPr>
                <w:sz w:val="20"/>
                <w:szCs w:val="20"/>
                <w:color w:val="auto"/>
              </w:rPr>
            </w:pPr>
            <w:r>
              <w:rPr>
                <w:rFonts w:ascii="Courier New" w:cs="Courier New" w:eastAsia="Courier New" w:hAnsi="Courier New"/>
                <w:sz w:val="15"/>
                <w:szCs w:val="15"/>
                <w:color w:val="auto"/>
              </w:rPr>
              <w:t>450 Fifth Street, N.W.</w:t>
            </w:r>
          </w:p>
        </w:tc>
        <w:tc>
          <w:tcPr>
            <w:tcW w:w="284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Suite 1400</w:t>
            </w:r>
          </w:p>
        </w:tc>
      </w:tr>
      <w:tr>
        <w:trPr>
          <w:trHeight w:val="171"/>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Washington, D.C.</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rPr>
              <w:t>20549</w:t>
            </w:r>
          </w:p>
        </w:tc>
        <w:tc>
          <w:tcPr>
            <w:tcW w:w="1560" w:type="dxa"/>
            <w:vAlign w:val="bottom"/>
          </w:tcPr>
          <w:p>
            <w:pPr>
              <w:ind w:left="800"/>
              <w:spacing w:after="0"/>
              <w:rPr>
                <w:sz w:val="20"/>
                <w:szCs w:val="20"/>
                <w:color w:val="auto"/>
              </w:rPr>
            </w:pPr>
            <w:r>
              <w:rPr>
                <w:rFonts w:ascii="Courier New" w:cs="Courier New" w:eastAsia="Courier New" w:hAnsi="Courier New"/>
                <w:sz w:val="15"/>
                <w:szCs w:val="15"/>
                <w:color w:val="auto"/>
              </w:rPr>
              <w:t>Chicago,</w:t>
            </w:r>
          </w:p>
        </w:tc>
        <w:tc>
          <w:tcPr>
            <w:tcW w:w="1280" w:type="dxa"/>
            <w:vAlign w:val="bottom"/>
          </w:tcPr>
          <w:p>
            <w:pPr>
              <w:ind w:left="40"/>
              <w:spacing w:after="0"/>
              <w:rPr>
                <w:sz w:val="20"/>
                <w:szCs w:val="20"/>
                <w:color w:val="auto"/>
              </w:rPr>
            </w:pPr>
            <w:r>
              <w:rPr>
                <w:rFonts w:ascii="Courier New" w:cs="Courier New" w:eastAsia="Courier New" w:hAnsi="Courier New"/>
                <w:sz w:val="15"/>
                <w:szCs w:val="15"/>
                <w:color w:val="auto"/>
                <w:w w:val="96"/>
              </w:rPr>
              <w:t>Illinois 60661</w:t>
            </w:r>
          </w:p>
        </w:tc>
      </w:tr>
    </w:tbl>
    <w:p>
      <w:pPr>
        <w:spacing w:after="0" w:line="34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Information about the operation of the Public Reference Room can be obtained by calling the Securities and Exchange Commission at 1-800-SEC-0330. In addition, the Securities and Exchange Commission maintains an Internet "website" that contains reports, proxy and information statements and other information regarding ClearOne and E.mergent. The address of the Securities and Exchange Commission website is http://www.sec.gov.</w:t>
      </w:r>
    </w:p>
    <w:p>
      <w:pPr>
        <w:spacing w:after="0" w:line="175" w:lineRule="exact"/>
        <w:rPr>
          <w:sz w:val="20"/>
          <w:szCs w:val="20"/>
          <w:color w:val="auto"/>
        </w:rPr>
      </w:pPr>
    </w:p>
    <w:p>
      <w:pPr>
        <w:ind w:right="3399" w:firstLine="710"/>
        <w:spacing w:after="0" w:line="239" w:lineRule="auto"/>
        <w:rPr>
          <w:sz w:val="20"/>
          <w:szCs w:val="20"/>
          <w:color w:val="auto"/>
        </w:rPr>
      </w:pPr>
      <w:r>
        <w:rPr>
          <w:rFonts w:ascii="Courier New" w:cs="Courier New" w:eastAsia="Courier New" w:hAnsi="Courier New"/>
          <w:sz w:val="15"/>
          <w:szCs w:val="15"/>
          <w:color w:val="auto"/>
        </w:rPr>
        <w:t>Reports, proxy and information statements and other information concerning ClearOne and E.mergent also can be inspected at the offices of The National Association of Securities Dealers, Inc.:</w:t>
      </w:r>
    </w:p>
    <w:p>
      <w:pPr>
        <w:spacing w:after="0" w:line="172"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The National Association of Securities Dealers, Inc.</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1735 K Street, N.W.</w:t>
      </w:r>
    </w:p>
    <w:p>
      <w:pPr>
        <w:spacing w:after="0" w:line="1"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Washington, D.C. 20006</w:t>
      </w:r>
    </w:p>
    <w:p>
      <w:pPr>
        <w:spacing w:after="0" w:line="174"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ClearOne has filed a registration statement on Form S-4 under the Securities Act with the Securities and Exchange Commission with respect to ClearOne's common stock to be issued to E.mergent stockholders in the merger. This document constitutes the prospectus of ClearOne filed as part of the registration statement. This document does not contain all of the information set forth in the registration statement because certain parts of the registration statement are omitted in accordance with the rules and regulations of the Securities and Exchange Commission. Statements made in this document as to the content of any contract, agreement or other document referred to are not necessarily complete. With respect to each of those contracts, agreements or other documents to be filed or incorporated by reference as an exhibit to the registration statement, you should refer to the corresponding exhibit, when it is filed, for a more complete description of the matter involved and read all statements in this document in light of that exhibit. The registration statement and its exhibits are available for inspection and copying as set forth above.</w:t>
      </w:r>
    </w:p>
    <w:p>
      <w:pPr>
        <w:spacing w:after="0" w:line="16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THIS DOCUMENT DOES NOT CONSTITUTE AN OFFER TO SELL, OR A SOLICITATION OF AN OFFER TO PURCHASE, THE SECURITIES OFFERED BY THIS DOCUMENT, OR THE SOLICITATION OF A PROXY, IN ANY JURISDICTION TO OR FROM ANY PERSON TO WHOM OR FROM WHOM IT IS UNLAWFUL TO MAKE SUCH OFFER, SOLICITATION OF AN OFFER OR PROXY SOLICITATION IN SUCH JURISDICTION. NEITHER THE DELIVERY OF THIS DOCUMENT NOR ANY DISTRIBUTION OF SECURITIES PURSUANT TO THIS DOCUMENT SHALL, UNDER ANY CIRCUMSTANCES, CREATE ANY IMPLICATION THAT THERE HAS BEEN NO CHANGE IN THE INFORMATION SET FORTH OR INCORPORATED INTO THIS DOCUMENT BY REFERENCE OR IN THE AFFAIRS OF CLEARONE OR E.MERGENT SINCE THE DATE OF THIS DOCUMENT. THE INFORMATION CONTAINED IN THIS DOCUMENT WITH RESPECT TO CLEARONE AND ITS SUBSIDIARIES WAS PROVIDED BY CLEARONE AND THE INFORMATION CONTAINED IN THIS DOCUMENT WITH RESPECT TO E.MERGENT WAS PROVIDED BY E.MERGENT.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219"/>
          </w:cols>
          <w:pgMar w:left="240" w:top="631" w:right="1440" w:bottom="1440" w:gutter="0" w:footer="0" w:header="0"/>
        </w:sectPr>
      </w:pPr>
    </w:p>
    <w:bookmarkStart w:id="82" w:name="page83"/>
    <w:bookmarkEnd w:id="82"/>
    <w:p>
      <w:pPr>
        <w:jc w:val="center"/>
        <w:ind w:right="3039"/>
        <w:spacing w:after="0"/>
        <w:rPr>
          <w:sz w:val="20"/>
          <w:szCs w:val="20"/>
          <w:color w:val="auto"/>
        </w:rPr>
      </w:pPr>
      <w:r>
        <w:rPr>
          <w:rFonts w:ascii="Courier New" w:cs="Courier New" w:eastAsia="Courier New" w:hAnsi="Courier New"/>
          <w:sz w:val="15"/>
          <w:szCs w:val="15"/>
          <w:color w:val="auto"/>
        </w:rPr>
        <w:t>LEGAL AND TAX MATTERS</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validity of the shares of ClearOne common stock offered by this document will be passed upon for ClearOne by Jones, Waldo, Holbrook &amp; McDonough, Professional Corporation. E.mergent is represented in connection with the merger by Fredrikson &amp; Byron, P.A. At the request of E.mergent and ClearOne, Jones, Waldo, Holbrook &amp; McDonough, P.C. and Fredrikson &amp; Byron, P.A. have each provided tax opinions regarding material U.S. federal income tax consequences of the merger. See the section entitled "The Merger and Related Transactions - Material U.S. Federal Income Tax Consequences" beginning on page 42 of this document</w:t>
      </w:r>
    </w:p>
    <w:p>
      <w:pPr>
        <w:spacing w:after="0" w:line="177" w:lineRule="exact"/>
        <w:rPr>
          <w:sz w:val="20"/>
          <w:szCs w:val="20"/>
          <w:color w:val="auto"/>
        </w:rPr>
      </w:pPr>
    </w:p>
    <w:p>
      <w:pPr>
        <w:jc w:val="both"/>
        <w:ind w:right="3399" w:firstLine="710"/>
        <w:spacing w:after="0" w:line="239" w:lineRule="auto"/>
        <w:rPr>
          <w:sz w:val="20"/>
          <w:szCs w:val="20"/>
          <w:color w:val="auto"/>
        </w:rPr>
      </w:pPr>
      <w:r>
        <w:rPr>
          <w:rFonts w:ascii="Courier New" w:cs="Courier New" w:eastAsia="Courier New" w:hAnsi="Courier New"/>
          <w:sz w:val="15"/>
          <w:szCs w:val="15"/>
          <w:color w:val="auto"/>
        </w:rPr>
        <w:t>James A. Valeo, an attorney with Jones, Waldo, Holbrook &amp; McDonough, served as Vice President and General Counsel of ClearOne from October 2000 to December 2001.</w:t>
      </w:r>
    </w:p>
    <w:p>
      <w:pPr>
        <w:spacing w:after="0" w:line="34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EXPERTS</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Ernst &amp; Young LLP, independent auditors, have audited ClearOne's consolidated financial statements included in ClearOne's Annual Report on Form 10-K for the year ended June 30, 2001, as set forth in Ernst &amp; Young LLP's report, which is incorporated by reference in this prospectus and elsewhere in the registration statement. ClearOne's financial statements are incorporated by reference in reliance on Ernst &amp; Young LLP's report, given on their authority as experts in accounting and auditing.</w:t>
      </w:r>
    </w:p>
    <w:p>
      <w:pPr>
        <w:spacing w:after="0" w:line="176"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KPMG, Chartered Accountants, Dublin, Ireland, have audited the financial statements of Ivron Systems, Ltd. for the three years to December 31, 2000 included in ClearOne's Form 8-K/A filed with the Securities and Exchange Commission on November 23, 2001, which are incorporated by reference in this prospectus. Ivron Systems, Ltd.'s financial statements are incorporated by reference in reliance on KPMG, Chartered Accountant's report, given on their authority as experts in accounting and auditing.</w:t>
      </w:r>
    </w:p>
    <w:p>
      <w:pPr>
        <w:spacing w:after="0" w:line="176"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The financial statements incorporated in this prospectus by reference from the Annual Report on Form 10-KSB of E.mergent, Inc. for the year ended December 31, 2001, have been audited by Deloitte Touche LLP, independent auditors, as stated in their report, which is incorporated herein by reference, and has been so incorporated in reliance upon the report of such firm given upon their authority as experts in accounting and auditing.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74</w:t>
      </w:r>
    </w:p>
    <w:p>
      <w:pPr>
        <w:sectPr>
          <w:pgSz w:w="11900" w:h="16838" w:orient="portrait"/>
          <w:cols w:equalWidth="0" w:num="1">
            <w:col w:w="10219"/>
          </w:cols>
          <w:pgMar w:left="240" w:top="628" w:right="1440"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40" w:type="dxa"/>
            <w:vAlign w:val="bottom"/>
          </w:tcPr>
          <w:p>
            <w:pPr>
              <w:spacing w:after="0"/>
              <w:rPr>
                <w:sz w:val="20"/>
                <w:szCs w:val="20"/>
                <w:color w:val="auto"/>
              </w:rPr>
            </w:pPr>
            <w:r>
              <w:rPr>
                <w:rFonts w:ascii="Courier New" w:cs="Courier New" w:eastAsia="Courier New" w:hAnsi="Courier New"/>
                <w:sz w:val="15"/>
                <w:szCs w:val="15"/>
                <w:color w:val="auto"/>
              </w:rPr>
              <w:t>LIST OF ANNEXES</w:t>
            </w:r>
          </w:p>
        </w:tc>
      </w:tr>
      <w:tr>
        <w:trPr>
          <w:trHeight w:val="34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ANNEX A</w:t>
            </w:r>
          </w:p>
        </w:tc>
        <w:tc>
          <w:tcPr>
            <w:tcW w:w="18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Agreement and Plan</w:t>
            </w:r>
          </w:p>
        </w:tc>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of Merger</w:t>
            </w:r>
          </w:p>
        </w:tc>
      </w:tr>
      <w:tr>
        <w:trPr>
          <w:trHeight w:val="34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ANNEX A-1</w:t>
            </w:r>
          </w:p>
        </w:tc>
        <w:tc>
          <w:tcPr>
            <w:tcW w:w="186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7"/>
              </w:rPr>
              <w:t>Amendment No. 1 to</w:t>
            </w:r>
          </w:p>
        </w:tc>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Agreement and Plan of Merger</w:t>
            </w:r>
          </w:p>
        </w:tc>
      </w:tr>
      <w:tr>
        <w:trPr>
          <w:trHeight w:val="34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Annex B</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Form of</w:t>
            </w:r>
          </w:p>
        </w:tc>
        <w:tc>
          <w:tcPr>
            <w:tcW w:w="378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Voting Agreement</w:t>
            </w:r>
          </w:p>
        </w:tc>
      </w:tr>
      <w:tr>
        <w:trPr>
          <w:trHeight w:val="34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ANNEX C</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Opinion</w:t>
            </w:r>
          </w:p>
        </w:tc>
        <w:tc>
          <w:tcPr>
            <w:tcW w:w="3780" w:type="dxa"/>
            <w:vAlign w:val="bottom"/>
            <w:gridSpan w:val="2"/>
          </w:tcPr>
          <w:p>
            <w:pPr>
              <w:ind w:left="60"/>
              <w:spacing w:after="0"/>
              <w:rPr>
                <w:sz w:val="20"/>
                <w:szCs w:val="20"/>
                <w:color w:val="auto"/>
              </w:rPr>
            </w:pPr>
            <w:r>
              <w:rPr>
                <w:rFonts w:ascii="Courier New" w:cs="Courier New" w:eastAsia="Courier New" w:hAnsi="Courier New"/>
                <w:sz w:val="15"/>
                <w:szCs w:val="15"/>
                <w:color w:val="auto"/>
                <w:w w:val="97"/>
              </w:rPr>
              <w:t>of Goldsmith, Agio, Helms Securities, Inc.</w:t>
            </w:r>
          </w:p>
        </w:tc>
      </w:tr>
      <w:tr>
        <w:trPr>
          <w:trHeight w:val="341"/>
        </w:trPr>
        <w:tc>
          <w:tcPr>
            <w:tcW w:w="1060" w:type="dxa"/>
            <w:vAlign w:val="bottom"/>
          </w:tcPr>
          <w:p>
            <w:pPr>
              <w:spacing w:after="0"/>
              <w:rPr>
                <w:sz w:val="20"/>
                <w:szCs w:val="20"/>
                <w:color w:val="auto"/>
              </w:rPr>
            </w:pPr>
            <w:r>
              <w:rPr>
                <w:rFonts w:ascii="Courier New" w:cs="Courier New" w:eastAsia="Courier New" w:hAnsi="Courier New"/>
                <w:sz w:val="15"/>
                <w:szCs w:val="15"/>
                <w:color w:val="auto"/>
              </w:rPr>
              <w:t>ANNEX D</w:t>
            </w:r>
          </w:p>
        </w:tc>
        <w:tc>
          <w:tcPr>
            <w:tcW w:w="920" w:type="dxa"/>
            <w:vAlign w:val="bottom"/>
          </w:tcPr>
          <w:p>
            <w:pPr>
              <w:ind w:left="260"/>
              <w:spacing w:after="0"/>
              <w:rPr>
                <w:sz w:val="20"/>
                <w:szCs w:val="20"/>
                <w:color w:val="auto"/>
              </w:rPr>
            </w:pPr>
            <w:r>
              <w:rPr>
                <w:rFonts w:ascii="Courier New" w:cs="Courier New" w:eastAsia="Courier New" w:hAnsi="Courier New"/>
                <w:sz w:val="15"/>
                <w:szCs w:val="15"/>
                <w:color w:val="auto"/>
              </w:rPr>
              <w:t>Section</w:t>
            </w:r>
          </w:p>
        </w:tc>
        <w:tc>
          <w:tcPr>
            <w:tcW w:w="940" w:type="dxa"/>
            <w:vAlign w:val="bottom"/>
          </w:tcPr>
          <w:p>
            <w:pPr>
              <w:ind w:left="60"/>
              <w:spacing w:after="0"/>
              <w:rPr>
                <w:sz w:val="20"/>
                <w:szCs w:val="20"/>
                <w:color w:val="auto"/>
              </w:rPr>
            </w:pPr>
            <w:r>
              <w:rPr>
                <w:rFonts w:ascii="Courier New" w:cs="Courier New" w:eastAsia="Courier New" w:hAnsi="Courier New"/>
                <w:sz w:val="15"/>
                <w:szCs w:val="15"/>
                <w:color w:val="auto"/>
                <w:w w:val="95"/>
              </w:rPr>
              <w:t>262 of the</w:t>
            </w:r>
          </w:p>
        </w:tc>
        <w:tc>
          <w:tcPr>
            <w:tcW w:w="2840" w:type="dxa"/>
            <w:vAlign w:val="bottom"/>
          </w:tcPr>
          <w:p>
            <w:pPr>
              <w:ind w:left="80"/>
              <w:spacing w:after="0"/>
              <w:rPr>
                <w:sz w:val="20"/>
                <w:szCs w:val="20"/>
                <w:color w:val="auto"/>
              </w:rPr>
            </w:pPr>
            <w:r>
              <w:rPr>
                <w:rFonts w:ascii="Courier New" w:cs="Courier New" w:eastAsia="Courier New" w:hAnsi="Courier New"/>
                <w:sz w:val="15"/>
                <w:szCs w:val="15"/>
                <w:color w:val="auto"/>
              </w:rPr>
              <w:t>Delaware General Corporate Law</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3460"/>
        <w:spacing w:after="0"/>
        <w:rPr>
          <w:sz w:val="20"/>
          <w:szCs w:val="20"/>
          <w:color w:val="auto"/>
        </w:rPr>
      </w:pPr>
      <w:r>
        <w:rPr>
          <w:rFonts w:ascii="Courier New" w:cs="Courier New" w:eastAsia="Courier New" w:hAnsi="Courier New"/>
          <w:sz w:val="15"/>
          <w:szCs w:val="15"/>
          <w:color w:val="auto"/>
        </w:rPr>
        <w:t>75</w:t>
      </w:r>
    </w:p>
    <w:p>
      <w:pPr>
        <w:sectPr>
          <w:pgSz w:w="11900" w:h="16838" w:orient="portrait"/>
          <w:cols w:equalWidth="0" w:num="1">
            <w:col w:w="10219"/>
          </w:cols>
          <w:pgMar w:left="240" w:top="628" w:right="1440" w:bottom="1440" w:gutter="0" w:footer="0" w:header="0"/>
        </w:sectPr>
      </w:pPr>
    </w:p>
    <w:bookmarkStart w:id="84" w:name="page85"/>
    <w:bookmarkEnd w:id="84"/>
    <w:p>
      <w:pPr>
        <w:jc w:val="center"/>
        <w:ind w:right="3210"/>
        <w:spacing w:after="0"/>
        <w:rPr>
          <w:sz w:val="20"/>
          <w:szCs w:val="20"/>
          <w:color w:val="auto"/>
        </w:rPr>
      </w:pPr>
      <w:r>
        <w:rPr>
          <w:rFonts w:ascii="Courier New" w:cs="Courier New" w:eastAsia="Courier New" w:hAnsi="Courier New"/>
          <w:sz w:val="15"/>
          <w:szCs w:val="15"/>
          <w:color w:val="auto"/>
        </w:rPr>
        <w:t>ANNEX A</w:t>
      </w:r>
    </w:p>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AGREEMENT AND PLAN OF MERGER</w:t>
      </w:r>
    </w:p>
    <w:p>
      <w:pPr>
        <w:spacing w:after="0" w:line="174" w:lineRule="exact"/>
        <w:rPr>
          <w:sz w:val="20"/>
          <w:szCs w:val="20"/>
          <w:color w:val="auto"/>
        </w:rPr>
      </w:pPr>
    </w:p>
    <w:p>
      <w:pPr>
        <w:ind w:left="9" w:right="3299" w:firstLine="444"/>
        <w:spacing w:after="0" w:line="261" w:lineRule="auto"/>
        <w:rPr>
          <w:sz w:val="20"/>
          <w:szCs w:val="20"/>
          <w:color w:val="auto"/>
        </w:rPr>
      </w:pPr>
      <w:r>
        <w:rPr>
          <w:rFonts w:ascii="Courier New" w:cs="Courier New" w:eastAsia="Courier New" w:hAnsi="Courier New"/>
          <w:sz w:val="14"/>
          <w:szCs w:val="14"/>
          <w:color w:val="auto"/>
        </w:rPr>
        <w:t>This AGREEMENT AND PLAN OF MERGER is made and entered into as of January 21, 2002, by and among CLEARONE COMMUNICATIONS, INC. (formerly, Gentner Communications Corporation), a Utah corporation ("Parent"), TUNDRA ACQUISITION CORPORATION, a Delaware corporation and a wholly-owned subsidiary of Parent ("Merger Sub"), and E.MERGENT, INC., a Delaware corporation (the "Company").</w:t>
      </w:r>
    </w:p>
    <w:p>
      <w:pPr>
        <w:spacing w:after="0" w:line="159"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RECITALS</w:t>
      </w:r>
    </w:p>
    <w:p>
      <w:pPr>
        <w:spacing w:after="0" w:line="174" w:lineRule="exact"/>
        <w:rPr>
          <w:sz w:val="20"/>
          <w:szCs w:val="20"/>
          <w:color w:val="auto"/>
        </w:rPr>
      </w:pPr>
    </w:p>
    <w:p>
      <w:pPr>
        <w:ind w:left="449"/>
        <w:spacing w:after="0"/>
        <w:rPr>
          <w:sz w:val="20"/>
          <w:szCs w:val="20"/>
          <w:color w:val="auto"/>
        </w:rPr>
      </w:pPr>
      <w:r>
        <w:rPr>
          <w:rFonts w:ascii="Courier New" w:cs="Courier New" w:eastAsia="Courier New" w:hAnsi="Courier New"/>
          <w:sz w:val="14"/>
          <w:szCs w:val="14"/>
          <w:color w:val="auto"/>
        </w:rPr>
        <w:t>A. The Boards of Directors of the Company, Parent and Merger Sub have each</w:t>
      </w:r>
    </w:p>
    <w:p>
      <w:pPr>
        <w:spacing w:after="0" w:line="12" w:lineRule="exact"/>
        <w:rPr>
          <w:sz w:val="20"/>
          <w:szCs w:val="20"/>
          <w:color w:val="auto"/>
        </w:rPr>
      </w:pPr>
    </w:p>
    <w:p>
      <w:pPr>
        <w:ind w:left="9" w:right="3119" w:hanging="9"/>
        <w:spacing w:after="0" w:line="261" w:lineRule="auto"/>
        <w:tabs>
          <w:tab w:leader="none" w:pos="364"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determined that the Merger (as defined in Section 1.1) is advisable and fair to and in the best interests of their respective stockholders, (ii) approved the Merger upon the terms and subject to the conditions set forth in this Agreement, and (iii) determined, subject to the terms of this Agreement, to recommend that the stockholders of the Company adopt and approve this Agreement and the Merger;</w:t>
      </w:r>
    </w:p>
    <w:p>
      <w:pPr>
        <w:spacing w:after="0" w:line="161" w:lineRule="exact"/>
        <w:rPr>
          <w:rFonts w:ascii="Courier New" w:cs="Courier New" w:eastAsia="Courier New" w:hAnsi="Courier New"/>
          <w:sz w:val="14"/>
          <w:szCs w:val="14"/>
          <w:color w:val="auto"/>
        </w:rPr>
      </w:pPr>
    </w:p>
    <w:p>
      <w:pPr>
        <w:ind w:left="9" w:right="3119" w:firstLine="435"/>
        <w:spacing w:after="0"/>
        <w:tabs>
          <w:tab w:leader="none" w:pos="719"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furtherance thereof, it is proposed that Company merge with and into the Merger Sub (the "Merger") and the stock of the Company will thereupon be converted into the right to receive both cash and a fraction of a share of the common stock, par value $0.001, of the Parent (the "Parent Common Stock") in the amounts set forth in Section 1.7(a) hereof;</w:t>
      </w:r>
    </w:p>
    <w:p>
      <w:pPr>
        <w:spacing w:after="0" w:line="174" w:lineRule="exact"/>
        <w:rPr>
          <w:rFonts w:ascii="Courier New" w:cs="Courier New" w:eastAsia="Courier New" w:hAnsi="Courier New"/>
          <w:sz w:val="15"/>
          <w:szCs w:val="15"/>
          <w:color w:val="auto"/>
        </w:rPr>
      </w:pPr>
    </w:p>
    <w:p>
      <w:pPr>
        <w:ind w:left="9" w:right="3219" w:firstLine="435"/>
        <w:spacing w:after="0"/>
        <w:tabs>
          <w:tab w:leader="none" w:pos="719"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Concurrently with the execution of this Agreement, as a condition and inducement to Parent's willingness to enter into this Agreement, certain executive officers and directors of Company, in their capacity as stockholders, are entering into a Voting Agreement in substantially the form attached hereto as Exhibit A (the "Voting Agreement");</w:t>
      </w:r>
    </w:p>
    <w:p>
      <w:pPr>
        <w:spacing w:after="0" w:line="174" w:lineRule="exact"/>
        <w:rPr>
          <w:rFonts w:ascii="Courier New" w:cs="Courier New" w:eastAsia="Courier New" w:hAnsi="Courier New"/>
          <w:sz w:val="15"/>
          <w:szCs w:val="15"/>
          <w:color w:val="auto"/>
        </w:rPr>
      </w:pPr>
    </w:p>
    <w:p>
      <w:pPr>
        <w:jc w:val="both"/>
        <w:ind w:left="9" w:right="3119" w:firstLine="435"/>
        <w:spacing w:after="0" w:line="262" w:lineRule="auto"/>
        <w:tabs>
          <w:tab w:leader="none" w:pos="719" w:val="left"/>
        </w:tabs>
        <w:numPr>
          <w:ilvl w:val="1"/>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a condition and inducement to Parent's willingness to enter into this Agreement, certain affiliates of the Company are entering into Company Affiliate Agreements in substantially the form attached hereto as Exhibit B (the "Company Affiliate Agreements"), at or prior to the consummation of the Merger; and</w:t>
      </w:r>
    </w:p>
    <w:p>
      <w:pPr>
        <w:spacing w:after="0" w:line="160" w:lineRule="exact"/>
        <w:rPr>
          <w:rFonts w:ascii="Courier New" w:cs="Courier New" w:eastAsia="Courier New" w:hAnsi="Courier New"/>
          <w:sz w:val="14"/>
          <w:szCs w:val="14"/>
          <w:color w:val="auto"/>
        </w:rPr>
      </w:pPr>
    </w:p>
    <w:p>
      <w:pPr>
        <w:ind w:left="9" w:right="3119" w:firstLine="435"/>
        <w:spacing w:after="0" w:line="239" w:lineRule="auto"/>
        <w:tabs>
          <w:tab w:leader="none" w:pos="719"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hereto intend, by executing this Agreement, to adopt a plan of "reorganization" within the meaning of section 368(a) of the Internal Revenue Code of 1986, as amended (the "Code").</w:t>
      </w:r>
    </w:p>
    <w:p>
      <w:pPr>
        <w:spacing w:after="0" w:line="175"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NOW, THEREFORE, in consideration of the foregoing premises and the representations, warranties, covenants and agreements herein contained, and intending to be legally bound hereby, the Company, Parent and Merger Sub hereby agree as follows:</w:t>
      </w:r>
    </w:p>
    <w:p>
      <w:pPr>
        <w:spacing w:after="0" w:line="174"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ARTICLE I</w:t>
      </w:r>
    </w:p>
    <w:p>
      <w:pPr>
        <w:spacing w:after="0" w:line="1"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THE MERGER</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1.1 The Merger. At the Effective Time (as defined in Section 1.2) and subject to and upon the terms and conditions of this Agreement and the applicable provisions of Delaware Law, the Company shall be merged with and into the Merger Sub, the separate corporate existence of Company shall cease and Merger Sub shall continue as the surviving corporation. Merger Sub as the surviving corporation after the Merger is hereinafter sometimes referred to as the "Surviving Corporation."</w:t>
      </w:r>
    </w:p>
    <w:p>
      <w:pPr>
        <w:spacing w:after="0" w:line="176" w:lineRule="exact"/>
        <w:rPr>
          <w:sz w:val="20"/>
          <w:szCs w:val="20"/>
          <w:color w:val="auto"/>
        </w:rPr>
      </w:pPr>
    </w:p>
    <w:p>
      <w:pPr>
        <w:ind w:left="9" w:right="3119"/>
        <w:spacing w:after="0" w:line="259" w:lineRule="auto"/>
        <w:rPr>
          <w:sz w:val="20"/>
          <w:szCs w:val="20"/>
          <w:color w:val="auto"/>
        </w:rPr>
      </w:pPr>
      <w:r>
        <w:rPr>
          <w:rFonts w:ascii="Courier New" w:cs="Courier New" w:eastAsia="Courier New" w:hAnsi="Courier New"/>
          <w:sz w:val="14"/>
          <w:szCs w:val="14"/>
          <w:color w:val="auto"/>
        </w:rPr>
        <w:t>1.2 Effective Time; Closing. Subject to the provisions of this Agreement, the parties hereto shall cause the Merger to be consummated by filing the Certificate of Merger with the Secretary of State of the State of Delaware in accordance with the relevant provisions of Delaware Law (the "Merger Certificate") (the time of such filing, or such later time as may be agreed in writing by Company and Parent and specified in the Merger Certificate, being the "Effective Time") as soon as practicable on or after the Closing Date (as herein defined). Unless the context otherwise requires, the term "Agreement" as used herein refers collectively to this Agreement and Plan of Merger and the Merger Certificate. The closing of the Merger (the "Closing") shall take place at the offices of Jones, Waldo, Holbrook &amp; McDonough, 170 South Main Street, Salt Lake City, UT 84101, or at such other location as the parties may agree, and at a time and date to be specified by the parties, which shall be no later than the</w:t>
      </w:r>
    </w:p>
    <w:p>
      <w:pPr>
        <w:spacing w:after="0" w:line="33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A-1</w:t>
      </w:r>
    </w:p>
    <w:p>
      <w:pPr>
        <w:sectPr>
          <w:pgSz w:w="11900" w:h="16838" w:orient="portrait"/>
          <w:cols w:equalWidth="0" w:num="1">
            <w:col w:w="10228"/>
          </w:cols>
          <w:pgMar w:left="231" w:top="457" w:right="1440" w:bottom="1440" w:gutter="0" w:footer="0" w:header="0"/>
        </w:sectPr>
      </w:pPr>
    </w:p>
    <w:bookmarkStart w:id="85" w:name="page86"/>
    <w:bookmarkEnd w:id="85"/>
    <w:p>
      <w:pPr>
        <w:ind w:right="3119"/>
        <w:spacing w:after="0" w:line="239" w:lineRule="auto"/>
        <w:rPr>
          <w:sz w:val="20"/>
          <w:szCs w:val="20"/>
          <w:color w:val="auto"/>
        </w:rPr>
      </w:pPr>
      <w:r>
        <w:rPr>
          <w:rFonts w:ascii="Courier New" w:cs="Courier New" w:eastAsia="Courier New" w:hAnsi="Courier New"/>
          <w:sz w:val="15"/>
          <w:szCs w:val="15"/>
          <w:color w:val="auto"/>
        </w:rPr>
        <w:t>second business day after the satisfaction or waiver of the conditions set forth in Article VI, or at such other time, date and location as the parties hereto agree in writing (the "Closing Date").</w:t>
      </w:r>
    </w:p>
    <w:p>
      <w:pPr>
        <w:spacing w:after="0" w:line="17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1.3 Registration Statement. As soon as practicable after the date of this Agreement, Parent shall prepare and file with the SEC a registration statement on Form S-4 to register the offer and sale of Parent Common Stock pursuant to the Merger (the "Registration Statement"). The Company agrees that the information provided by the Company in writing specifically for inclusion or incorporation by reference in the Registration Statement shall not contain any untrue statement of a material fact or omit to state any material fact required to be stated therein or necessary in order to make the statements therein, in light of the circumstances under which they were made, not misleading. Each of Parent, Merger Sub and the Company agrees promptly to correct any information provided by it for use in the Registration Statement if and to the extent that such information shall have become false or misleading in any material respect. The Company and its counsel shall be given reasonable opportunity to review and comment on the Registration Statement prior to the filing thereof with the SEC. Parent agrees to provide in writing to the Company and its counsel any comments Parent or its counsel may receive from the SEC or its staff with respect to the Registration Statement promptly after receipt of such comments and shall provide Company and its counsel with a reasonable opportunity to participate in the response of Parent to such comments.</w:t>
      </w:r>
    </w:p>
    <w:p>
      <w:pPr>
        <w:spacing w:after="0" w:line="33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1.4 Effect of the Merger. At the Effective Time, the effect of the Merger shall be as provided in this Agreement and the applicable provisions of Delaware Law. Without limiting the generality of the foregoing, and subject thereto, at the Effective Time all the property, rights, privileges, powers and franchises of Company and Merger Sub shall vest in the Surviving Corporation, and all debts, liabilities and duties of Company and Merger Sub shall become the debts, liabilities and duties of the Surviving Corporation.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Certificate of Incorporation; Bylaws.</w:t>
      </w:r>
    </w:p>
    <w:p>
      <w:pPr>
        <w:spacing w:after="0" w:line="174" w:lineRule="exact"/>
        <w:rPr>
          <w:sz w:val="20"/>
          <w:szCs w:val="20"/>
          <w:color w:val="auto"/>
        </w:rPr>
      </w:pPr>
    </w:p>
    <w:p>
      <w:pPr>
        <w:ind w:left="440" w:right="3299" w:hanging="5"/>
        <w:spacing w:after="0" w:line="260" w:lineRule="auto"/>
        <w:tabs>
          <w:tab w:leader="none" w:pos="795"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Effective Time, the Certificate of Incorporation of Merger Sub shall be the Certificate of Incorporation of the Surviving Corporation except that it shall be amended to provide that the name of the Surviving Corporation shall be the Company name, or such other name as may be determined by Parent and/or Merger Sub, until thereafter amended in accordance with Delaware Law and such Certificate of Incorporation.</w:t>
      </w:r>
    </w:p>
    <w:p>
      <w:pPr>
        <w:spacing w:after="0" w:line="163" w:lineRule="exact"/>
        <w:rPr>
          <w:rFonts w:ascii="Courier New" w:cs="Courier New" w:eastAsia="Courier New" w:hAnsi="Courier New"/>
          <w:sz w:val="14"/>
          <w:szCs w:val="14"/>
          <w:color w:val="auto"/>
        </w:rPr>
      </w:pPr>
    </w:p>
    <w:p>
      <w:pPr>
        <w:ind w:left="440" w:right="3839" w:hanging="5"/>
        <w:spacing w:after="0" w:line="239" w:lineRule="auto"/>
        <w:tabs>
          <w:tab w:leader="none" w:pos="795"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Merger Sub, as in effect immediately prior to the Effective Time, shall be, at the Effective Time, the Bylaws of the Surviving Corporation until thereafter amended.</w:t>
      </w:r>
    </w:p>
    <w:p>
      <w:pPr>
        <w:spacing w:after="0" w:line="175"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1.6 Directors and Officers. The initial director of the Surviving Corporation shall be the director of Merger Sub immediately prior to the Effective Time, to hold office in accordance with the Certificate of Incorporation and Bylaws of the Surviving Corporation until his successors are duly elected or appointed and qualified. The initial officers of the Surviving Corporation shall be the officers of Merger Sub immediately prior to the Effective Time, each to hold office in accordance with the Certificate of Incorporation and Bylaws of the Surviving Corporation until their respective successors are duly appointed.</w:t>
      </w:r>
    </w:p>
    <w:p>
      <w:pPr>
        <w:spacing w:after="0" w:line="161"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1.7 Effect on Capital Stock. Subject to the terms and conditions of this Agreement, at the Effective Time, by virtue of the Merger and without any action on the part of Merger Sub, Company, or the holders of any of the following securities, the following shall occur:</w:t>
      </w:r>
    </w:p>
    <w:p>
      <w:pPr>
        <w:spacing w:after="0" w:line="176" w:lineRule="exact"/>
        <w:rPr>
          <w:sz w:val="20"/>
          <w:szCs w:val="20"/>
          <w:color w:val="auto"/>
        </w:rPr>
      </w:pPr>
    </w:p>
    <w:p>
      <w:pPr>
        <w:ind w:left="440" w:right="3119" w:hanging="5"/>
        <w:spacing w:after="0" w:line="259" w:lineRule="auto"/>
        <w:tabs>
          <w:tab w:leader="none" w:pos="795"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Conversion of Company Common Stock. Each share of Common Stock, $0.01 par value per share, of Company (the "Company Common Stock") issued and outstanding immediately prior to the Effective Time will be canceled and extinguished and automatically converted into the right to receive (x) a cash payment per Share, without any interest thereon (the "Cash Portion"), and (y) a fraction of a share of Parent Common Stock (the "Stock Portion") (the Cash Portion and the Stock Portion, and cash in lieu of fractional shares as specified below, are collectively referred to as the "Merger Consideration") upon surrender of the certificate representing such share of Company Common Stock (each a "Share Certificate"), in the manner provided in Section 1.10 (or in the case of a lost, stolen or destroyed upon delivery of an affidavit (and bond, if required) in the manner provided in Section 1.9). The parties agree that the aggregate Cash Portion shall be $7,300,000 and the aggregate Stock Portion shall be 873,000 shares of Parent Common Stock less the aggregate number of shares of Parent Common Stock allocated to the Company Stock Options (defined below) as provided in</w:t>
      </w:r>
    </w:p>
    <w:p>
      <w:pPr>
        <w:spacing w:after="0" w:line="33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w:t>
      </w:r>
    </w:p>
    <w:p>
      <w:pPr>
        <w:sectPr>
          <w:pgSz w:w="11900" w:h="16838" w:orient="portrait"/>
          <w:cols w:equalWidth="0" w:num="1">
            <w:col w:w="10219"/>
          </w:cols>
          <w:pgMar w:left="240" w:top="631" w:right="1440" w:bottom="1440" w:gutter="0" w:footer="0" w:header="0"/>
        </w:sectPr>
      </w:pPr>
    </w:p>
    <w:bookmarkStart w:id="86" w:name="page87"/>
    <w:bookmarkEnd w:id="86"/>
    <w:p>
      <w:pPr>
        <w:ind w:left="440" w:right="3119"/>
        <w:spacing w:after="0"/>
        <w:rPr>
          <w:sz w:val="20"/>
          <w:szCs w:val="20"/>
          <w:color w:val="auto"/>
        </w:rPr>
      </w:pPr>
      <w:r>
        <w:rPr>
          <w:rFonts w:ascii="Courier New" w:cs="Courier New" w:eastAsia="Courier New" w:hAnsi="Courier New"/>
          <w:sz w:val="15"/>
          <w:szCs w:val="15"/>
          <w:color w:val="auto"/>
        </w:rPr>
        <w:t>Sections 1.7(c) and 5.8 (the "Parent Option Shares"). Accordingly, the Cash Portion shall be the quotient obtained by dividing (A) $7,300,000 by (B) the total number of shares of Company Common Stock issued and outstanding immediately prior to the Effective Time. The Stock Portion shall be a quotient obtained by dividing (X) the sum of (a) 873,000 minus (b) the Parent Option Shares divided by (Y) the total number of shares of Company Common Stock issued and outstanding immediately prior to the Effective Time.</w:t>
      </w:r>
    </w:p>
    <w:p>
      <w:pPr>
        <w:spacing w:after="0" w:line="177" w:lineRule="exact"/>
        <w:rPr>
          <w:sz w:val="20"/>
          <w:szCs w:val="20"/>
          <w:color w:val="auto"/>
        </w:rPr>
      </w:pPr>
    </w:p>
    <w:p>
      <w:pPr>
        <w:ind w:left="440" w:right="3119" w:hanging="5"/>
        <w:spacing w:after="0"/>
        <w:tabs>
          <w:tab w:leader="none" w:pos="795"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 of Company-Owned Stock. Each share of Company Common Stock held by Company immediately prior to the Effective Time shall be cancelled and extinguished without any conversion thereof, other than fifty thousand three hundred seventeen (50,317) shares currently held in treasury which will be distributed to Company employees effective immediately prior to the Closing and treated pursuant to Section 1.7(a).</w:t>
      </w:r>
    </w:p>
    <w:p>
      <w:pPr>
        <w:spacing w:after="0" w:line="175" w:lineRule="exact"/>
        <w:rPr>
          <w:rFonts w:ascii="Courier New" w:cs="Courier New" w:eastAsia="Courier New" w:hAnsi="Courier New"/>
          <w:sz w:val="15"/>
          <w:szCs w:val="15"/>
          <w:color w:val="auto"/>
        </w:rPr>
      </w:pPr>
    </w:p>
    <w:p>
      <w:pPr>
        <w:ind w:left="440" w:right="3119" w:hanging="5"/>
        <w:spacing w:after="0" w:line="239" w:lineRule="auto"/>
        <w:tabs>
          <w:tab w:leader="none" w:pos="795"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At the Effective Time all options to purchase Company Common Stock ("Company Stock Options") then outstanding under the E.mergent Employee Stock Option Plan (the "Company Option Plans") shall be treated in accordance with Section 5.8 hereof.</w:t>
      </w:r>
    </w:p>
    <w:p>
      <w:pPr>
        <w:spacing w:after="0" w:line="176" w:lineRule="exact"/>
        <w:rPr>
          <w:rFonts w:ascii="Courier New" w:cs="Courier New" w:eastAsia="Courier New" w:hAnsi="Courier New"/>
          <w:sz w:val="15"/>
          <w:szCs w:val="15"/>
          <w:color w:val="auto"/>
        </w:rPr>
      </w:pPr>
    </w:p>
    <w:p>
      <w:pPr>
        <w:ind w:left="440" w:right="3119" w:hanging="5"/>
        <w:spacing w:after="0"/>
        <w:tabs>
          <w:tab w:leader="none" w:pos="795"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Stock Purchase Plan. All shares outstanding under Company's Employee Stock Purchase Plan (the "ESPP") will be converted as of the Effective Time pursuant to Section 1.7(a), above. Any outstanding employee deposits not applied to the purchase of shares of Company Common Stock will be refunded to the depositing employee.</w:t>
      </w:r>
    </w:p>
    <w:p>
      <w:pPr>
        <w:spacing w:after="0" w:line="174" w:lineRule="exact"/>
        <w:rPr>
          <w:rFonts w:ascii="Courier New" w:cs="Courier New" w:eastAsia="Courier New" w:hAnsi="Courier New"/>
          <w:sz w:val="15"/>
          <w:szCs w:val="15"/>
          <w:color w:val="auto"/>
        </w:rPr>
      </w:pPr>
    </w:p>
    <w:p>
      <w:pPr>
        <w:ind w:left="440" w:right="3119" w:hanging="5"/>
        <w:spacing w:after="0"/>
        <w:tabs>
          <w:tab w:leader="none" w:pos="795"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to the Stock Portion and the Cash Portion. The Stock Portion and the Cash Portion shall be adjusted appropriately to reflect the effect of any permitted stock split, reverse stock split, stock dividend (including any dividend or distribution of securities convertible into Company Common Stock or Parent Common Stock), extraordinary cash dividends, reorganization, recapitalization, reclassification, combination, exchange of shares or other like change with respect to the Company Common Stock or the Parent Common Stock occurring on or after the date hereof and prior to the Effective Time.</w:t>
      </w:r>
    </w:p>
    <w:p>
      <w:pPr>
        <w:spacing w:after="0" w:line="177" w:lineRule="exact"/>
        <w:rPr>
          <w:rFonts w:ascii="Courier New" w:cs="Courier New" w:eastAsia="Courier New" w:hAnsi="Courier New"/>
          <w:sz w:val="15"/>
          <w:szCs w:val="15"/>
          <w:color w:val="auto"/>
        </w:rPr>
      </w:pPr>
    </w:p>
    <w:p>
      <w:pPr>
        <w:ind w:left="440" w:right="3119" w:hanging="5"/>
        <w:spacing w:after="0"/>
        <w:tabs>
          <w:tab w:leader="none" w:pos="795"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Fractional Shares. No fraction of a share of Parent Common Stock will be issued in connection with the payment of the Stock Portion of the Merger Consideration, but in lieu thereof each holder of a Share Certificate who would otherwise be entitled to receive a fraction of a share of Parent Common Stock (after aggregating all fractional shares of Parent Common Stock that otherwise would be received by such holder) in the Merger shall receive from Parent an amount of cash (rounded to the nearest whole cent), without interest, equal to the product obtained by multiplying such fraction by the Average Price.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Exchange of Certificates.</w:t>
      </w:r>
    </w:p>
    <w:p>
      <w:pPr>
        <w:spacing w:after="0" w:line="174" w:lineRule="exact"/>
        <w:rPr>
          <w:sz w:val="20"/>
          <w:szCs w:val="20"/>
          <w:color w:val="auto"/>
        </w:rPr>
      </w:pPr>
    </w:p>
    <w:p>
      <w:pPr>
        <w:jc w:val="both"/>
        <w:ind w:left="440" w:right="3219" w:hanging="5"/>
        <w:spacing w:after="0" w:line="271" w:lineRule="auto"/>
        <w:tabs>
          <w:tab w:leader="none" w:pos="795"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Exchange Agent. Parent shall select an entity reasonably acceptable to Company to act as the exchange agent (the "Exchange Agent") in the Merger.</w:t>
      </w:r>
    </w:p>
    <w:p>
      <w:pPr>
        <w:spacing w:after="0" w:line="153" w:lineRule="exact"/>
        <w:rPr>
          <w:rFonts w:ascii="Courier New" w:cs="Courier New" w:eastAsia="Courier New" w:hAnsi="Courier New"/>
          <w:sz w:val="14"/>
          <w:szCs w:val="14"/>
          <w:color w:val="auto"/>
        </w:rPr>
      </w:pPr>
    </w:p>
    <w:p>
      <w:pPr>
        <w:ind w:left="440" w:right="3119" w:hanging="5"/>
        <w:spacing w:after="0"/>
        <w:tabs>
          <w:tab w:leader="none" w:pos="795"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to Provide Cash and Stock. Promptly after the Effective Time, Parent shall make available to the Exchange Agent, for payment in accordance with this Article I, (i) an amount in cash equal to the product of the Cash Portion and the number of shares that are issued and outstanding at the Effective Time and (ii) a number of shares of Parent Common Stock representing the number of shares of Parent Common Stock equal to the product of the Stock Portion and the number of shares issued and outstanding at the Effective Time, and (iii) the cash amount payable in lieu of fractional shares in accordance with Section 1.7(f). Any portion of such cash and stock which remains undistributed to the holders of the Share Certificates for six (6) months after the Effective Time shall be delivered to Parent, upon demand, and any holders of shares of Company Common Stock prior to the Merger who have not theretofore complied with this Article I shall thereafter look for payment, as general creditors thereof, only to Parent for their claim for the Merger Consideration to which such holders may be entitled.</w:t>
      </w:r>
    </w:p>
    <w:p>
      <w:pPr>
        <w:spacing w:after="0" w:line="182" w:lineRule="exact"/>
        <w:rPr>
          <w:rFonts w:ascii="Courier New" w:cs="Courier New" w:eastAsia="Courier New" w:hAnsi="Courier New"/>
          <w:sz w:val="15"/>
          <w:szCs w:val="15"/>
          <w:color w:val="auto"/>
        </w:rPr>
      </w:pPr>
    </w:p>
    <w:p>
      <w:pPr>
        <w:ind w:left="440" w:right="3119" w:hanging="5"/>
        <w:spacing w:after="0" w:line="261" w:lineRule="auto"/>
        <w:tabs>
          <w:tab w:leader="none" w:pos="795" w:val="left"/>
        </w:tabs>
        <w:numPr>
          <w:ilvl w:val="0"/>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Procedures. Promptly after the Effective Time, Parent shall cause the Exchange Agent to mail to each holder of record (as of the Effective Time) of a Share Certificate, which immediately prior to the Effective Time represented outstanding shares of Company Common Stock (i) a letter of transmittal in customary form (which shall specify that delivery</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w:t>
      </w:r>
    </w:p>
    <w:p>
      <w:pPr>
        <w:sectPr>
          <w:pgSz w:w="11900" w:h="16838" w:orient="portrait"/>
          <w:cols w:equalWidth="0" w:num="1">
            <w:col w:w="10219"/>
          </w:cols>
          <w:pgMar w:left="240" w:top="631" w:right="1440" w:bottom="1440" w:gutter="0" w:footer="0" w:header="0"/>
        </w:sectPr>
      </w:pPr>
    </w:p>
    <w:bookmarkStart w:id="87" w:name="page88"/>
    <w:bookmarkEnd w:id="87"/>
    <w:p>
      <w:pPr>
        <w:ind w:left="440" w:right="3119"/>
        <w:spacing w:after="0"/>
        <w:rPr>
          <w:sz w:val="20"/>
          <w:szCs w:val="20"/>
          <w:color w:val="auto"/>
        </w:rPr>
      </w:pPr>
      <w:r>
        <w:rPr>
          <w:rFonts w:ascii="Courier New" w:cs="Courier New" w:eastAsia="Courier New" w:hAnsi="Courier New"/>
          <w:sz w:val="15"/>
          <w:szCs w:val="15"/>
          <w:color w:val="auto"/>
        </w:rPr>
        <w:t>shall be effected, and risk of loss and title to the Share Certificates shall pass, only upon delivery of the Share Certificates to the Exchange Agent, and (ii) instructions for use in effecting the surrender of the Share Certificates in exchange for the Merger Consideration. Upon surrender of Share Certificates for cancellation to the Exchange Agent or to such other agent or agents as may be appointed by Parent, together with such letter of transmittal, duly completed and validly executed in accordance with the instructions thereto, and such other documents as may be required pursuant to such instructions, the holder of such Share Certificate shall be entitled to receive in payment therefor an amount equal to the product of the Merger Consideration and the number of shares represented by such Share Certificate, and the Share Certificate so surrendered shall be forthwith cancelled. In the event of a transfer of ownership of shares that is not registered in the stock transfer books of Company, the proper amount of cash and Parent Common Stock may be paid in exchange therefor to a person other than the person in whose name the Share Certificate so surrendered is registered if such Share Certificate shall be properly endorsed or otherwise be in proper form for transfer and the person requesting such payment shall pay any transfer or other taxes required by reason of the payment to a person other than the registered holder of such Share Certificate the Merger Consideration or establish to the satisfaction of Parent that such tax has been paid or is not applicable. The Exchange Agent shall accept such Share Certificates upon compliance with such reasonable terms and conditions as the Exchange Agent may impose to effect an orderly exchange thereof in accordance with normal exchange practices. No interest shall be paid or accrued for the benefit of holders of the Share Certificates on the cash payable upon the surrender of the Share Certificates. Until so surrendered, outstanding Share Certificates will be deemed from and after the Effective Time, to evidence only the right to receive the Merger Consideration.</w:t>
      </w:r>
    </w:p>
    <w:p>
      <w:pPr>
        <w:spacing w:after="0" w:line="193" w:lineRule="exact"/>
        <w:rPr>
          <w:sz w:val="20"/>
          <w:szCs w:val="20"/>
          <w:color w:val="auto"/>
        </w:rPr>
      </w:pPr>
    </w:p>
    <w:p>
      <w:pPr>
        <w:ind w:left="440" w:right="3219" w:hanging="5"/>
        <w:spacing w:after="0"/>
        <w:tabs>
          <w:tab w:leader="none" w:pos="795"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Required Withholding. Each of the Exchange Agent, Parent and the Surviving Corporation shall be entitled to deduct and withhold from any consideration payable or otherwise deliverable pursuant to this Agreement to any holder or former holder of Company Common Stock such amounts as may be required to be deducted or withheld therefrom under U.S. federal or state, local or foreign law. To the extent such amounts are so deducted or withheld, such amounts shall be treated for all purposes under this Agreement as having been paid to the person to whom such amounts would otherwise have been paid.</w:t>
      </w:r>
    </w:p>
    <w:p>
      <w:pPr>
        <w:spacing w:after="0" w:line="177" w:lineRule="exact"/>
        <w:rPr>
          <w:rFonts w:ascii="Courier New" w:cs="Courier New" w:eastAsia="Courier New" w:hAnsi="Courier New"/>
          <w:sz w:val="15"/>
          <w:szCs w:val="15"/>
          <w:color w:val="auto"/>
        </w:rPr>
      </w:pPr>
    </w:p>
    <w:p>
      <w:pPr>
        <w:jc w:val="both"/>
        <w:ind w:left="440" w:right="3219" w:hanging="5"/>
        <w:spacing w:after="0" w:line="261" w:lineRule="auto"/>
        <w:tabs>
          <w:tab w:leader="none" w:pos="795"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Liability. Notwithstanding anything to the contrary in this Section 1.8, neither the Exchange Agent, Parent, the Surviving Corporation nor any party hereto shall be liable to a holder of shares of Parent Common Stock or Company Common Stock for any amount properly paid to a public official pursuant to any applicable abandoned property, escheat or similar law.</w:t>
      </w:r>
    </w:p>
    <w:p>
      <w:pPr>
        <w:spacing w:after="0" w:line="162"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1.9 No Further Ownership Rights in Company Common Stock. From and after the Effective Time, all shares of Company Common Stock shall no longer be outstanding and shall automatically be cancelled, retired and cease to exist and each holder of a Share Certificate representing any such shares shall cease to have any rights with respect thereto, except the right to receive the Merger Consideration therefor upon the surrender thereof in accordance with Section 1.8 hereof. The Merger Consideration issued in accordance with the terms hereof shall be deemed to have been issued in full satisfaction of all rights pertaining to such shares of Company Common Stock. There shall be no further registration of transfers on the records of the Surviving Corporation of shares of Company Common Stock which were outstanding immediately prior to the Effective Time. If, after the Effective Time, Share Certificates are presented to the Surviving Corporation for any reason, they shall be canceled and exchanged as provided in this Article I.</w:t>
      </w:r>
    </w:p>
    <w:p>
      <w:pPr>
        <w:spacing w:after="0" w:line="18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1.10 Lost, Stolen or Destroyed Share Certificates. In the event that any Share Certificates shall have been lost, stolen or destroyed, the Exchange Agent shall issue in exchange for such lost, stolen or destroyed Share Certificates, upon the making of an affidavit of that fact by the holder thereof, the Merger Consideration pursuant to Section 1.7; provided, however, that Parent may, in its discretion and as a condition precedent to the issuance of such Merger Consideration and other distributions, require the owner of such lost, stolen or destroyed Share Certificates to deliver a bond in such sum as it may reasonably direct as indemnity against any claim that may be made against Parent, the Surviving Corporation or the Exchange Agent with respect to the Share Certificates alleged to have been lost, stolen or destroyed.</w:t>
      </w:r>
    </w:p>
    <w:p>
      <w:pPr>
        <w:spacing w:after="0" w:line="34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w:t>
      </w:r>
    </w:p>
    <w:p>
      <w:pPr>
        <w:sectPr>
          <w:pgSz w:w="11900" w:h="16838" w:orient="portrait"/>
          <w:cols w:equalWidth="0" w:num="1">
            <w:col w:w="10219"/>
          </w:cols>
          <w:pgMar w:left="240" w:top="631" w:right="1440" w:bottom="1440" w:gutter="0" w:footer="0" w:header="0"/>
        </w:sectPr>
      </w:pPr>
    </w:p>
    <w:bookmarkStart w:id="88" w:name="page89"/>
    <w:bookmarkEnd w:id="88"/>
    <w:p>
      <w:pPr>
        <w:spacing w:after="0"/>
        <w:rPr>
          <w:sz w:val="20"/>
          <w:szCs w:val="20"/>
          <w:color w:val="auto"/>
        </w:rPr>
      </w:pPr>
      <w:r>
        <w:rPr>
          <w:rFonts w:ascii="Courier New" w:cs="Courier New" w:eastAsia="Courier New" w:hAnsi="Courier New"/>
          <w:sz w:val="15"/>
          <w:szCs w:val="15"/>
          <w:color w:val="auto"/>
        </w:rPr>
        <w:t>1.11 Dissenting Shares.</w:t>
      </w:r>
    </w:p>
    <w:p>
      <w:pPr>
        <w:spacing w:after="0" w:line="174" w:lineRule="exact"/>
        <w:rPr>
          <w:sz w:val="20"/>
          <w:szCs w:val="20"/>
          <w:color w:val="auto"/>
        </w:rPr>
      </w:pPr>
    </w:p>
    <w:p>
      <w:pPr>
        <w:ind w:left="440" w:right="3119" w:hanging="5"/>
        <w:spacing w:after="0"/>
        <w:tabs>
          <w:tab w:leader="none" w:pos="795"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provision of this Agreement to the contrary, shares that are outstanding immediately prior to the Effective Time and that are held by stockholders who shall have neither voted in favor of the Merger nor consented thereto in writing and who shall have demanded properly in writing appraisal for such shares in accordance with Section 262 of Delaware Law (collectively, the "Dissenting Shares") shall not be converted into, or represent the right to receive, the Merger Consideration. Such stockholders shall be entitled to receive payment of the appraised value of such shares held by them in accordance with the provisions of such Section 262, except that all Dissenting Shares held by stockholders who shall have failed to perfect or who effectively shall have withdrawn or lost their rights to appraisal of such shares under such Section 262 shall thereupon be deemed to have been converted into, and to have become exchangeable for, as of the Effective Time, the right to receive the Merger Consideration, without any interest thereon, upon surrender, in the manner provided in Section 1.7, of the certificate or certificates that formerly evidenced such shares.</w:t>
      </w:r>
    </w:p>
    <w:p>
      <w:pPr>
        <w:spacing w:after="0" w:line="183" w:lineRule="exact"/>
        <w:rPr>
          <w:rFonts w:ascii="Courier New" w:cs="Courier New" w:eastAsia="Courier New" w:hAnsi="Courier New"/>
          <w:sz w:val="15"/>
          <w:szCs w:val="15"/>
          <w:color w:val="auto"/>
        </w:rPr>
      </w:pPr>
    </w:p>
    <w:p>
      <w:pPr>
        <w:ind w:left="440" w:right="3119" w:hanging="5"/>
        <w:spacing w:after="0"/>
        <w:tabs>
          <w:tab w:leader="none" w:pos="795"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give Parent (i) prompt notice of any demands for appraisal received by the Company, withdrawals of such demands, and any other instruments served pursuant to Delaware Law and received by the Company and (ii) the opportunity to direct all negotiations and proceedings with respect to demands for appraisal under Delaware Law. The Company shall not, except with the prior written consent of Parent, make any payment with respect to any demands for appraisal or offer to settle or settle any such demands.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1.12 Tax and Accounting Consequences.</w:t>
      </w:r>
    </w:p>
    <w:p>
      <w:pPr>
        <w:spacing w:after="0" w:line="174" w:lineRule="exact"/>
        <w:rPr>
          <w:sz w:val="20"/>
          <w:szCs w:val="20"/>
          <w:color w:val="auto"/>
        </w:rPr>
      </w:pPr>
    </w:p>
    <w:p>
      <w:pPr>
        <w:ind w:left="440" w:right="3219" w:hanging="5"/>
        <w:spacing w:after="0"/>
        <w:tabs>
          <w:tab w:leader="none" w:pos="795"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It is intended by the parties hereto that the Merger will constitute a reorganization within the meaning of Section 368 of the Code. The parties hereto adopt this Agreement as a "plan of reorganization" within the meaning of Sections 1.368-2(g) and 1.368-3(a) of the United States Income Tax Regulations.</w:t>
      </w:r>
    </w:p>
    <w:p>
      <w:pPr>
        <w:spacing w:after="0" w:line="174" w:lineRule="exact"/>
        <w:rPr>
          <w:rFonts w:ascii="Courier New" w:cs="Courier New" w:eastAsia="Courier New" w:hAnsi="Courier New"/>
          <w:sz w:val="15"/>
          <w:szCs w:val="15"/>
          <w:color w:val="auto"/>
        </w:rPr>
      </w:pPr>
    </w:p>
    <w:p>
      <w:pPr>
        <w:ind w:left="440" w:right="3219" w:hanging="5"/>
        <w:spacing w:after="0" w:line="238" w:lineRule="auto"/>
        <w:tabs>
          <w:tab w:leader="none" w:pos="795"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It is intended by the parties hereto that the Merger shall qualify as a purchase for accounting purposes.</w:t>
      </w:r>
    </w:p>
    <w:p>
      <w:pPr>
        <w:spacing w:after="0" w:line="175"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1.13 Taking of Necessary Action; Further Action. If, at any time after the Effective Time, any further action is necessary or desirable to carry out the purposes of this Agreement and to vest the Surviving Corporation with full right, title and possession to all assets, property, rights, privileges, powers and franchises of Company and Merger Sub, the officers and directors of Company and Merger Sub will take all such lawful and necessary action.</w:t>
      </w:r>
    </w:p>
    <w:p>
      <w:pPr>
        <w:spacing w:after="0" w:line="343"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II</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REPRESENTATIONS AND WARRANTIES OF COMPANY</w:t>
      </w:r>
    </w:p>
    <w:p>
      <w:pPr>
        <w:spacing w:after="0" w:line="174" w:lineRule="exact"/>
        <w:rPr>
          <w:sz w:val="20"/>
          <w:szCs w:val="20"/>
          <w:color w:val="auto"/>
        </w:rPr>
      </w:pPr>
    </w:p>
    <w:p>
      <w:pPr>
        <w:ind w:right="3399"/>
        <w:spacing w:after="0"/>
        <w:rPr>
          <w:sz w:val="20"/>
          <w:szCs w:val="20"/>
          <w:color w:val="auto"/>
        </w:rPr>
      </w:pPr>
      <w:r>
        <w:rPr>
          <w:rFonts w:ascii="Courier New" w:cs="Courier New" w:eastAsia="Courier New" w:hAnsi="Courier New"/>
          <w:sz w:val="15"/>
          <w:szCs w:val="15"/>
          <w:color w:val="auto"/>
        </w:rPr>
        <w:t>Company represents and warrants to Parent and Merger Sub, subject to such exceptions as are disclosed in writing in the disclosure letter supplied by Company to Parent dated as of the date hereof (the "Company Schedule"), which disclosure shall provide an exception to or otherwise qualify the representations and warranties of Company contained in the section of this Agreement corresponding by number to such disclosure, as follows:</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 Organization and Qualification; Subsidiaries.</w:t>
      </w:r>
    </w:p>
    <w:p>
      <w:pPr>
        <w:spacing w:after="0" w:line="174" w:lineRule="exact"/>
        <w:rPr>
          <w:sz w:val="20"/>
          <w:szCs w:val="20"/>
          <w:color w:val="auto"/>
        </w:rPr>
      </w:pPr>
    </w:p>
    <w:p>
      <w:pPr>
        <w:ind w:left="440" w:right="3119" w:hanging="5"/>
        <w:spacing w:after="0" w:line="259" w:lineRule="auto"/>
        <w:tabs>
          <w:tab w:leader="none" w:pos="795" w:val="left"/>
        </w:tabs>
        <w:numPr>
          <w:ilvl w:val="0"/>
          <w:numId w:val="99"/>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Company and its subsidiaries is a corporation duly organized, validly existing and in good standing under the laws of the jurisdiction of its incorporation and has the requisite corporate power and authority to own, lease and operate its assets and properties and to carry on its business as it is now being conducted, except where the failure to do so would not, individually, or in the aggregate, have a Material Adverse Effect (as defined in Section 8.3 below) on Company. Each of Company and its subsidiaries is in possession of all franchises, grants, authorizations, licenses, permits, easements, consents, certificates, approvals and orders ("Approvals") necessary to own, lease and operate the properties it purports to own, operate or lease and to carry on its business as it is now being conducted, except where the failure to have such Approvals would not, individually or in the aggregate, have a Material Adverse Effect on Company. Company and its subsidiaries are and have been</w:t>
      </w:r>
    </w:p>
    <w:p>
      <w:pPr>
        <w:spacing w:after="0" w:line="200" w:lineRule="exact"/>
        <w:rPr>
          <w:sz w:val="20"/>
          <w:szCs w:val="20"/>
          <w:color w:val="auto"/>
        </w:rPr>
      </w:pPr>
    </w:p>
    <w:p>
      <w:pPr>
        <w:spacing w:after="0" w:line="30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A-5</w:t>
      </w:r>
    </w:p>
    <w:p>
      <w:pPr>
        <w:sectPr>
          <w:pgSz w:w="11900" w:h="16838" w:orient="portrait"/>
          <w:cols w:equalWidth="0" w:num="1">
            <w:col w:w="10219"/>
          </w:cols>
          <w:pgMar w:left="240" w:top="628" w:right="1440" w:bottom="1440" w:gutter="0" w:footer="0" w:header="0"/>
        </w:sectPr>
      </w:pPr>
    </w:p>
    <w:bookmarkStart w:id="89" w:name="page90"/>
    <w:bookmarkEnd w:id="89"/>
    <w:p>
      <w:pPr>
        <w:ind w:left="440" w:right="3219"/>
        <w:spacing w:after="0" w:line="239" w:lineRule="auto"/>
        <w:rPr>
          <w:sz w:val="20"/>
          <w:szCs w:val="20"/>
          <w:color w:val="auto"/>
        </w:rPr>
      </w:pPr>
      <w:r>
        <w:rPr>
          <w:rFonts w:ascii="Courier New" w:cs="Courier New" w:eastAsia="Courier New" w:hAnsi="Courier New"/>
          <w:sz w:val="15"/>
          <w:szCs w:val="15"/>
          <w:color w:val="auto"/>
        </w:rPr>
        <w:t>in compliance with the terms of the Approvals, except where the failure to be or have been in such compliance would not, individually or in the aggregate, result in a Material Adverse Effect on Company.</w:t>
      </w:r>
    </w:p>
    <w:p>
      <w:pPr>
        <w:spacing w:after="0" w:line="175" w:lineRule="exact"/>
        <w:rPr>
          <w:sz w:val="20"/>
          <w:szCs w:val="20"/>
          <w:color w:val="auto"/>
        </w:rPr>
      </w:pPr>
    </w:p>
    <w:p>
      <w:pPr>
        <w:ind w:left="440" w:right="3119" w:hanging="5"/>
        <w:spacing w:after="0"/>
        <w:tabs>
          <w:tab w:leader="none" w:pos="795"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 (b) of the Company Schedule lists each of Company's subsidiaries, the jurisdiction of incorporation of each such subsidiary, and Company's equity interest therein. Neither Company nor any of its subsidiaries has agreed nor is obligated to make nor is bound by any written or oral agreement, contract, subcontract, lease, binding understanding, instrument, note, option, warranty, purchase order, license, sublicense, insurance policy, benefit plan, commitment or undertaking of any nature, as of the date hereof or as may hereafter be in effect (a "Contract") under which it may become obligated to make, any future investment in or capital contribution to any other entity. Other than Company's interests in its subsidiaries or except as set forth in Section 2.1(b) of the Company Schedule, neither Company nor any of its subsidiaries directly or indirectly owns any equity or similar interest in or any interest convertible, exchangeable or exercisable for, any equity or similar interest in, any corporation, partnership, joint venture or other business, association or entity.</w:t>
      </w:r>
    </w:p>
    <w:p>
      <w:pPr>
        <w:spacing w:after="0" w:line="182" w:lineRule="exact"/>
        <w:rPr>
          <w:rFonts w:ascii="Courier New" w:cs="Courier New" w:eastAsia="Courier New" w:hAnsi="Courier New"/>
          <w:sz w:val="15"/>
          <w:szCs w:val="15"/>
          <w:color w:val="auto"/>
        </w:rPr>
      </w:pPr>
    </w:p>
    <w:p>
      <w:pPr>
        <w:ind w:left="440" w:right="3299" w:hanging="5"/>
        <w:spacing w:after="0"/>
        <w:tabs>
          <w:tab w:leader="none" w:pos="795"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and each of its subsidiaries is qualified to do business as a foreign corporation, and is in good standing, under the laws of all jurisdictions where the nature of their business requires such qualification, except where the failure to be so qualified or in good standing would not, individually or in the aggregate, have a Material Adverse Effect on Company.</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2.2 Certificate of Incorporation and Bylaws. Company has previously furnished to Parent a complete and correct copy of its Certificate of Incorporation and Bylaws as amended to date (together, the "Company Charter Documents"). Such Company Charter Documents and equivalent organizational documents of each of its subsidiaries are in full force and effect, Company is not in violation of any of the provisions of the Company Charter Documents, and no subsidiary of Company is in violation of its equivalent organizational documents except where the failure to be in full force or effect or the violation of any such equivalent organizational documents of a subsidiary of Company would not, individually or in the aggregate, have a Material Adverse Effect on Company.</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 Capitalization.</w:t>
      </w:r>
    </w:p>
    <w:p>
      <w:pPr>
        <w:spacing w:after="0" w:line="174" w:lineRule="exact"/>
        <w:rPr>
          <w:sz w:val="20"/>
          <w:szCs w:val="20"/>
          <w:color w:val="auto"/>
        </w:rPr>
      </w:pPr>
    </w:p>
    <w:p>
      <w:pPr>
        <w:ind w:left="440" w:right="3119" w:hanging="5"/>
        <w:spacing w:after="0" w:line="258" w:lineRule="auto"/>
        <w:tabs>
          <w:tab w:leader="none" w:pos="795"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authorized capital stock of Company consists of 20,000,000 shares of Company Common Stock, $0.01 par value per share and 5,000,000 shares of Preferred Stock, $0.01 par value per share. As of the close of business on January 17, 2002: (i) 5,929,280 shares of Company Common Stock were issued and outstanding, all of which were validly issued, fully paid and nonassessable, which number includes 50,317 shares of Company Common Stock held in the Company's treasury; (ii) no shares of Company Common Stock were held by subsidiaries of the Company; (iii) vested Company Stock Options for 588,000 shares of Company Common Stock were outstanding, with at least an equivalent number of shares of Company Common Stock reserved for issuance upon the exercise of such options under the Company Option Plans; and (iv) unvested Company Stock Options for 20,000 shares of Company Common Stock are outstanding with at least an equivalent number of shares of Company Common Stock reserved for issuance upon the exercise of such options under the Company Option Plans. Section 2.3(a) of the Company Schedule sets forth the following information with respect to each Company Stock Option (as defined in Section 5.8) outstanding as of the date of this Agreement: (i) the name and address of the optionee; (ii) the number of shares of Company Common Stock subject to such Company Stock Option; (iii) the exercise price of such Company Stock Option; (iv) the date on which such Company Stock Option was granted and (v) the date on which such Company Stock Option expires. Company has made available to Parent accurate and complete copies of all stock option plans pursuant to which Company has granted such Company Stock Options that are currently outstanding and the form of all stock option agreements evidencing such Company Stock Options. All shares of Company Common Stock subject to issuance as aforesaid, upon issuance on the terms and conditions specified in the instrument pursuant to which they are issuable, would be duly authorized, validly issued, fully paid and nonassessable. Except as set forth in Section 2.3(a) of the Company Schedule, there are no commitments or agreements of any character to which Company is bound obligating Company to accelerate the vesting of any Company Stock Option as a result of the Merger. All outstanding shares of Company Common Stock, all outstanding Company Stock Options, and all outstanding shares of capital stock of each subsidiary of Company have been issued and granted in compliance with (i) all applicable securities laws and other applicable Legal Requirements (as defined below) and (ii) all requirements set forth in applicable Contracts in all material respects. For the purposes of this Agreement, "Legal Requirements" means any federal, state, local, municipal, foreign or other law, statute, constitution,</w:t>
      </w:r>
    </w:p>
    <w:p>
      <w:pPr>
        <w:spacing w:after="0" w:line="200" w:lineRule="exact"/>
        <w:rPr>
          <w:sz w:val="20"/>
          <w:szCs w:val="20"/>
          <w:color w:val="auto"/>
        </w:rPr>
      </w:pPr>
    </w:p>
    <w:p>
      <w:pPr>
        <w:spacing w:after="0" w:line="316"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A-6</w:t>
      </w:r>
    </w:p>
    <w:p>
      <w:pPr>
        <w:sectPr>
          <w:pgSz w:w="11900" w:h="16838" w:orient="portrait"/>
          <w:cols w:equalWidth="0" w:num="1">
            <w:col w:w="10219"/>
          </w:cols>
          <w:pgMar w:left="240" w:top="631" w:right="1440" w:bottom="1440" w:gutter="0" w:footer="0" w:header="0"/>
        </w:sectPr>
      </w:pPr>
    </w:p>
    <w:bookmarkStart w:id="90" w:name="page91"/>
    <w:bookmarkEnd w:id="90"/>
    <w:p>
      <w:pPr>
        <w:ind w:left="440" w:right="3219"/>
        <w:spacing w:after="0" w:line="239" w:lineRule="auto"/>
        <w:rPr>
          <w:sz w:val="20"/>
          <w:szCs w:val="20"/>
          <w:color w:val="auto"/>
        </w:rPr>
      </w:pPr>
      <w:r>
        <w:rPr>
          <w:rFonts w:ascii="Courier New" w:cs="Courier New" w:eastAsia="Courier New" w:hAnsi="Courier New"/>
          <w:sz w:val="15"/>
          <w:szCs w:val="15"/>
          <w:color w:val="auto"/>
        </w:rPr>
        <w:t>principle of common law, resolution, ordinance, code, edict, decree, rule, regulation, ruling or requirement issues, enacted, adopted, promulgated, implemented or otherwise put into effect by or under the authority of any Governmental Entity (as defined below).</w:t>
      </w:r>
    </w:p>
    <w:p>
      <w:pPr>
        <w:spacing w:after="0" w:line="176" w:lineRule="exact"/>
        <w:rPr>
          <w:sz w:val="20"/>
          <w:szCs w:val="20"/>
          <w:color w:val="auto"/>
        </w:rPr>
      </w:pPr>
    </w:p>
    <w:p>
      <w:pPr>
        <w:ind w:left="440" w:right="3119" w:hanging="5"/>
        <w:spacing w:after="0" w:line="258" w:lineRule="auto"/>
        <w:tabs>
          <w:tab w:leader="none" w:pos="795"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for securities set forth in Schedule 2.3(b) of the Company Schedule, Company owns free and clear of all liens, pledges, hypothecations, charges, mortgages, security interests, encumbrances, claims, infringements, interferences, options, right of first refusals, preemptive rights, community property interests or restrictions of any nature (including any restriction on the voting of any security, any restriction on the transfer of any security or other asset, any restriction on the possession, exercise or transfer of any other attribute of ownership of any asset but other than restrictions imposed by federal or state securities laws) directly or indirectly through one or more subsidiaries, and there are no equity securities, partnership interests or similar ownership interests of any class of equity security of any subsidiary of Company, or any security exchangeable or convertible into or exercisable for such equity securities, partnership interests or similar ownership interests, issued, reserved for issuance or outstanding. Except as set forth in Section 2.3(b) of Company Schedule or as set forth in Section 2.3(a) hereof, there are no subscriptions, options, warrants, equity securities, partnership interests or similar ownership interests, calls, rights (including preemptive rights), commitments or agreements of any character to which Company or any of its subsidiaries is a party or by which it is bound obligating Company or any of its subsidiaries to issue, deliver or sell, or cause to be issued, delivered or sold, or repurchase, redeem or otherwise acquire, or cause the repurchase, redemption or acquisition of, any shares of capital stock, partnership interests or similar ownership interests of Company or any of its subsidiaries or obligating Company or any of its subsidiaries to grant, extend, accelerate the vesting of or enter into any such subscription, option, warrant, equity security, call, right, commitment or agreement. There are no registration rights and there is, except for the Voting Agreement, no voting trust, proxy, rights plan, antitakeover plan or other agreement or understanding to which Company or any of its subsidiaries is a party or by which they are bound with respect to any equity security of any class of Company or with respect to any equity security, partnership interest or similar ownership interest of any class of any of its subsidiaries.</w:t>
      </w:r>
    </w:p>
    <w:p>
      <w:pPr>
        <w:spacing w:after="0" w:line="200" w:lineRule="exact"/>
        <w:rPr>
          <w:sz w:val="20"/>
          <w:szCs w:val="20"/>
          <w:color w:val="auto"/>
        </w:rPr>
      </w:pPr>
    </w:p>
    <w:p>
      <w:pPr>
        <w:spacing w:after="0" w:line="318"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2.4 Authority Relative to this Agreement. Company has all necessary corporate power and authority to execute and deliver this Agreement, and to perform its obligations hereunder and thereunder and, subject to obtaining the approval of the stockholders of Company of this Agreement and the Merger, to consummate the transactions contemplated hereby and thereby. The execution and delivery of this Agreement and the consummation by Company of the transactions contemplated hereby and thereby have been duly and validly authorized by all necessary corporate action on the part of Company and no other corporate proceedings on the part of Company are necessary to authorize this Agreement, or to consummate the transactions contemplated hereby (other than the approval and adoption of this Agreement and the Merger by holders of a majority of the outstanding shares of Company Common Stock in accordance with Delaware Law and the Company Charter Documents, if required). This Agreement has been duly and validly executed and delivered by Company and, assuming the due authorization, execution and delivery by Parent and/or Merger Sub, constitute legal and binding obligations of Company, enforceable against Company in accordance with their respective terms, subject to bankruptcy, insolvency, fraudulent transfer, reorganization, moratorium and similar laws of general applicability relating to or affecting creditor rights and for general equitable principles.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 No Conflict; Required Filings and Consents.</w:t>
      </w:r>
    </w:p>
    <w:p>
      <w:pPr>
        <w:spacing w:after="0" w:line="174" w:lineRule="exact"/>
        <w:rPr>
          <w:sz w:val="20"/>
          <w:szCs w:val="20"/>
          <w:color w:val="auto"/>
        </w:rPr>
      </w:pPr>
    </w:p>
    <w:p>
      <w:pPr>
        <w:ind w:left="440" w:right="3119" w:hanging="5"/>
        <w:spacing w:after="0" w:line="259" w:lineRule="auto"/>
        <w:tabs>
          <w:tab w:leader="none" w:pos="795"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Company does not, and the performance of this Agreement by Company shall not, (i) violate the Company Charter Documents or the equivalent organizational documents of any of Company's subsidiaries, (ii) subject to obtaining the approval of Company's stockholders of this Agreement and the Merger (if required) and the consents, approvals, authorizations and permits, and making the filings and notifications, set forth in Section 2.5(b) below, conflict with or violate any law, rule, regulation, order, judgment or decree applicable to Company or any of its subsidiaries or by which its or any of their respective properties is bound or affected, or (iii) result in any breach of or constitute a default (or an event that with notice or lapse of time or both would become a default) under, or materially impair Company's or any of its subsidiaries' rights or alter the rights or obligations of any third party under, or give to others any rights of termination, amendment, acceleration or cancellation of, or result in the creation of a lien or encumbrance on any of the properties or assets of Company or any of its subsidiaries pursuant to, any material note, bond, mortgage, indenture,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A-7</w:t>
      </w:r>
    </w:p>
    <w:p>
      <w:pPr>
        <w:sectPr>
          <w:pgSz w:w="11900" w:h="16838" w:orient="portrait"/>
          <w:cols w:equalWidth="0" w:num="1">
            <w:col w:w="10219"/>
          </w:cols>
          <w:pgMar w:left="240" w:top="630" w:right="1440" w:bottom="1440" w:gutter="0" w:footer="0" w:header="0"/>
        </w:sectPr>
      </w:pPr>
    </w:p>
    <w:bookmarkStart w:id="91" w:name="page92"/>
    <w:bookmarkEnd w:id="91"/>
    <w:p>
      <w:pPr>
        <w:ind w:left="440" w:right="3219"/>
        <w:spacing w:after="0" w:line="261" w:lineRule="auto"/>
        <w:rPr>
          <w:sz w:val="20"/>
          <w:szCs w:val="20"/>
          <w:color w:val="auto"/>
        </w:rPr>
      </w:pPr>
      <w:r>
        <w:rPr>
          <w:rFonts w:ascii="Courier New" w:cs="Courier New" w:eastAsia="Courier New" w:hAnsi="Courier New"/>
          <w:sz w:val="14"/>
          <w:szCs w:val="14"/>
          <w:color w:val="auto"/>
        </w:rPr>
        <w:t>contract, agreement, lease, license, permit, franchise or other instrument or obligation to which Company or any of its subsidiaries is a party or by which Company or any of its subsidiaries or its or any of their respective properties are bound or affected, and including, without limitation, any contract, agreement or license described in Section 2.17, below.</w:t>
      </w:r>
    </w:p>
    <w:p>
      <w:pPr>
        <w:spacing w:after="0" w:line="162" w:lineRule="exact"/>
        <w:rPr>
          <w:sz w:val="20"/>
          <w:szCs w:val="20"/>
          <w:color w:val="auto"/>
        </w:rPr>
      </w:pPr>
    </w:p>
    <w:p>
      <w:pPr>
        <w:ind w:left="440" w:right="3119" w:hanging="5"/>
        <w:spacing w:after="0" w:line="259" w:lineRule="auto"/>
        <w:tabs>
          <w:tab w:leader="none" w:pos="795" w:val="left"/>
        </w:tabs>
        <w:numPr>
          <w:ilvl w:val="0"/>
          <w:numId w:val="10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delivery and performance of this Agreement, together with the documents contemplated hereby, shall not, require any consent, approval, authorization or permit of, or filing with or notification to, any court, administrative agency, commission, governmental or regulatory authority, domestic or foreign (a "Governmental Entity"), except (i) for applicable requirements, if any, of the Securities Act of 1933, as amended (the "Securities Act"), the Exchange Act of 1934, as amended (the "Exchange Act"), state securities laws ("Blue Sky Laws"), the rules and regulations of the NASDAQ, and the filing and recordation of the Agreement of Merger as required by Delaware Law and (ii) where the failure to obtain such consents, approvals, authorizations or permits, or to make such filings or notifications (A) would not prevent consummation of the Merger or otherwise prevent the parties hereto from performing their respective obligations under this Agreement, or (B) would not, individually or in the aggregate, reasonably be expected to have a Material Adverse Effect on Company.</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 Compliance; Permits</w:t>
      </w:r>
    </w:p>
    <w:p>
      <w:pPr>
        <w:spacing w:after="0" w:line="171" w:lineRule="exact"/>
        <w:rPr>
          <w:sz w:val="20"/>
          <w:szCs w:val="20"/>
          <w:color w:val="auto"/>
        </w:rPr>
      </w:pPr>
    </w:p>
    <w:p>
      <w:pPr>
        <w:ind w:left="780" w:hanging="345"/>
        <w:spacing w:after="0"/>
        <w:tabs>
          <w:tab w:leader="none" w:pos="78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1"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"Hazardous Material" is any material or substance that is</w:t>
      </w:r>
    </w:p>
    <w:p>
      <w:pPr>
        <w:spacing w:after="0" w:line="3" w:lineRule="exact"/>
        <w:rPr>
          <w:rFonts w:ascii="Courier New" w:cs="Courier New" w:eastAsia="Courier New" w:hAnsi="Courier New"/>
          <w:sz w:val="15"/>
          <w:szCs w:val="15"/>
          <w:color w:val="auto"/>
        </w:rPr>
      </w:pPr>
    </w:p>
    <w:p>
      <w:pPr>
        <w:ind w:left="880" w:right="3479"/>
        <w:spacing w:after="0" w:line="23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prohibited or regulated by any Environmental Law or that has been designated by any governmental authority to be radioactive, toxic, hazardous or otherwise a danger to health, reproduction or the environment.</w:t>
      </w:r>
    </w:p>
    <w:p>
      <w:pPr>
        <w:spacing w:after="0" w:line="176" w:lineRule="exact"/>
        <w:rPr>
          <w:rFonts w:ascii="Courier New" w:cs="Courier New" w:eastAsia="Courier New" w:hAnsi="Courier New"/>
          <w:sz w:val="15"/>
          <w:szCs w:val="15"/>
          <w:color w:val="auto"/>
        </w:rPr>
      </w:pPr>
    </w:p>
    <w:p>
      <w:pPr>
        <w:ind w:left="880" w:right="3119" w:hanging="2"/>
        <w:spacing w:after="0" w:line="259" w:lineRule="auto"/>
        <w:tabs>
          <w:tab w:leader="none" w:pos="1324"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"Environmental Laws" are all applicable laws, rules, regulations, orders, treaties, statutes, and codes promulgated by any governmental authority which prohibit, regulate or control any Hazardous Material or any Hazardous Material activity, including, without limitation, the Comprehensive Environmental Response, Compensation, and Liability Act of 1980, the Resource Recovery and Conservation Act of 1976, the Federal Water Pollution Control Act, the Clean Air Act, the Hazardous Materials Transportation Act, the Clean Water Act, comparable laws, rules, regulations, ordinances, orders, treaties, statutes, and codes of other governmental authorities, the regulations promulgated pursuant to any of the foregoing, and all amendments and modifications of any of the foregoing, all as amended to date.</w:t>
      </w:r>
    </w:p>
    <w:p>
      <w:pPr>
        <w:spacing w:after="0" w:line="164" w:lineRule="exact"/>
        <w:rPr>
          <w:rFonts w:ascii="Courier New" w:cs="Courier New" w:eastAsia="Courier New" w:hAnsi="Courier New"/>
          <w:sz w:val="14"/>
          <w:szCs w:val="14"/>
          <w:color w:val="auto"/>
        </w:rPr>
      </w:pPr>
    </w:p>
    <w:p>
      <w:pPr>
        <w:ind w:left="440" w:right="3119" w:hanging="5"/>
        <w:spacing w:after="0"/>
        <w:tabs>
          <w:tab w:leader="none" w:pos="795"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Company nor any of its subsidiaries is in conflict with, or in default or violation of, (i) any law, rule (including Environmental Laws), regulation, order, judgment or decree applicable to Company or any of its subsidiaries or by which its or any of their respective properties is bound, or (ii) any material note, bond, mortgage, indenture, contract, agreement, lease, license, permit, franchise or other instrument or obligation to which Company or any of its subsidiaries is a party or by which Company or any of its subsidiaries or its or any of their respective properties is bound, except for any conflicts, defaults or violations that (individually or in the aggregate) would not reasonably be expected to have a Material Adverse Effect on the Company. No investigation or review by any governmental or regulatory body or authority is, to the knowledge of Company, pending or threatened against Company or its subsidiaries, nor has any governmental or regulatory body or authority indicated to Company or any of its subsidiaries an intention to conduct the same, other than, in each such case, those the outcome of which could not, individually or in the aggregate, reasonably be expected to have a Material Adverse Effect on the Company.</w:t>
      </w:r>
    </w:p>
    <w:p>
      <w:pPr>
        <w:spacing w:after="0" w:line="181"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Company nor any of its subsidiaries has (and no Hazardous</w:t>
      </w:r>
    </w:p>
    <w:p>
      <w:pPr>
        <w:spacing w:after="0" w:line="3" w:lineRule="exact"/>
        <w:rPr>
          <w:rFonts w:ascii="Courier New" w:cs="Courier New" w:eastAsia="Courier New" w:hAnsi="Courier New"/>
          <w:sz w:val="15"/>
          <w:szCs w:val="15"/>
          <w:color w:val="auto"/>
        </w:rPr>
      </w:pPr>
    </w:p>
    <w:p>
      <w:pPr>
        <w:ind w:left="440"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Materials generated, stored or used by Company or any of its subsidiaries have been) disposed of, released, discharged or emitted any Hazardous Materials into the soil or groundwater at any properties owned or leased at any time by Company or any of its subsidiaries, or at any other property, or exposed any employee or other individual to any Hazardous Materials or any workplace or environmental condition in such a manner as would result in any liability or clean-up obligation of any kind or nature to Company or any of its subsidiaries. To the knowledge of Company, no Hazardous Materials are present in, on, or under any properties owned, leased or used at any time by Company or any of its subsidiaries, and no reasonable likelihood exists that any Hazardous Materials will come to be present in, on, or under any properties owned, leased or used at any time by Company or</w:t>
      </w:r>
    </w:p>
    <w:p>
      <w:pPr>
        <w:spacing w:after="0" w:line="33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A-8</w:t>
      </w:r>
    </w:p>
    <w:p>
      <w:pPr>
        <w:sectPr>
          <w:pgSz w:w="11900" w:h="16838" w:orient="portrait"/>
          <w:cols w:equalWidth="0" w:num="1">
            <w:col w:w="10219"/>
          </w:cols>
          <w:pgMar w:left="240" w:top="631" w:right="1440" w:bottom="1440" w:gutter="0" w:footer="0" w:header="0"/>
        </w:sectPr>
      </w:pPr>
    </w:p>
    <w:bookmarkStart w:id="92" w:name="page93"/>
    <w:bookmarkEnd w:id="92"/>
    <w:p>
      <w:pPr>
        <w:ind w:left="440" w:right="3399"/>
        <w:spacing w:after="0" w:line="238" w:lineRule="auto"/>
        <w:rPr>
          <w:sz w:val="20"/>
          <w:szCs w:val="20"/>
          <w:color w:val="auto"/>
        </w:rPr>
      </w:pPr>
      <w:r>
        <w:rPr>
          <w:rFonts w:ascii="Courier New" w:cs="Courier New" w:eastAsia="Courier New" w:hAnsi="Courier New"/>
          <w:sz w:val="15"/>
          <w:szCs w:val="15"/>
          <w:color w:val="auto"/>
        </w:rPr>
        <w:t>any of its subsidiaries, so as to give rise to any liability or clean-up obligation under any Environmental Laws.</w:t>
      </w:r>
    </w:p>
    <w:p>
      <w:pPr>
        <w:spacing w:after="0" w:line="175" w:lineRule="exact"/>
        <w:rPr>
          <w:sz w:val="20"/>
          <w:szCs w:val="20"/>
          <w:color w:val="auto"/>
        </w:rPr>
      </w:pPr>
    </w:p>
    <w:p>
      <w:pPr>
        <w:ind w:left="440" w:right="3219" w:hanging="5"/>
        <w:spacing w:after="0"/>
        <w:tabs>
          <w:tab w:leader="none" w:pos="795"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and its subsidiaries hold all permits, licenses, variances, exemptions, orders, approvals and other authorizations from governmental authorities which are material to the operation of the business of Company and its subsidiaries taken as a whole (collectively, the "Company Permits"). Company and its subsidiaries have been and are in compliance in all material respects with the terms of the Company Permits and any conditions placed thereon.</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 SEC Filings; Financial Statements.</w:t>
      </w:r>
    </w:p>
    <w:p>
      <w:pPr>
        <w:spacing w:after="0" w:line="174" w:lineRule="exact"/>
        <w:rPr>
          <w:sz w:val="20"/>
          <w:szCs w:val="20"/>
          <w:color w:val="auto"/>
        </w:rPr>
      </w:pPr>
    </w:p>
    <w:p>
      <w:pPr>
        <w:ind w:left="440" w:right="3119" w:hanging="5"/>
        <w:spacing w:after="0" w:line="259" w:lineRule="auto"/>
        <w:tabs>
          <w:tab w:leader="none" w:pos="795"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has delivered or made available to Parent a correct and complete copy of each report, schedule, registration statement and definitive proxy statement filed by Company with the Securities and Exchange Commission ("SEC") since December 31, 1998 (the "Company SEC Reports"), which are all the forms, reports and documents required to be filed by Company with the SEC since such time. The Company SEC Reports (i) were prepared in accordance with the requirements of the Securities Act or the Exchange Act, as the case may be, and the rules and regulations of the SEC promulgated thereunder, and (ii) did not at the time they were filed (or, if such Company SEC Report was amended or superseded by another filing, then on the date of filing of such amendment or superceding filing) contain any untrue statement of a material fact or omit to state a material fact required to be stated therein or necessary in order to make the statements therein, in light of the circumstances under which they were made, not misleading. None of Company's subsidiaries is required to file any reports or other documents with the SEC.</w:t>
      </w:r>
    </w:p>
    <w:p>
      <w:pPr>
        <w:spacing w:after="0" w:line="334" w:lineRule="exact"/>
        <w:rPr>
          <w:rFonts w:ascii="Courier New" w:cs="Courier New" w:eastAsia="Courier New" w:hAnsi="Courier New"/>
          <w:sz w:val="14"/>
          <w:szCs w:val="14"/>
          <w:color w:val="auto"/>
        </w:rPr>
      </w:pPr>
    </w:p>
    <w:p>
      <w:pPr>
        <w:ind w:left="440" w:right="3119" w:hanging="5"/>
        <w:spacing w:after="0"/>
        <w:tabs>
          <w:tab w:leader="none" w:pos="795"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their respective dates, each set of consolidated financial statements (including, in each case, any related notes thereto) contained in the Company SEC Reports, (i) complied as to form in all material respects with the published rules and regulations of the SEC with respect thereto, (ii) was prepared in accordance with generally accepted accounting principles ("GAAP") applied on a consistent basis throughout the periods involved (except as may be indicated in the notes thereto or, in the case of unaudited statements, do not contain footnotes as permitted by Form 10-Q of the Exchange Act) and each fairly presents the consolidated financial position of Company and its subsidiaries at the respective dates thereof and the consolidated results of its operations and cash flows for the periods indicated, except that the unaudited interim financial statements were or are subject to the absence of footnotes and normal adjustments which (in addition to those noted therein) were not or are not expected to be material in amount.</w:t>
      </w:r>
    </w:p>
    <w:p>
      <w:pPr>
        <w:spacing w:after="0" w:line="181" w:lineRule="exact"/>
        <w:rPr>
          <w:rFonts w:ascii="Courier New" w:cs="Courier New" w:eastAsia="Courier New" w:hAnsi="Courier New"/>
          <w:sz w:val="15"/>
          <w:szCs w:val="15"/>
          <w:color w:val="auto"/>
        </w:rPr>
      </w:pPr>
    </w:p>
    <w:p>
      <w:pPr>
        <w:ind w:left="440" w:right="3119" w:hanging="5"/>
        <w:spacing w:after="0"/>
        <w:tabs>
          <w:tab w:leader="none" w:pos="795"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has previously furnished to Parent a complete and correct copy of any amendments or modifications, which have not yet been filed as of the date hereof with the SEC but which are required to be filed, to agreements, documents or other instruments which previously had been filed by Company with the SEC pursuant to the Securities Act or the Exchange Act or any material agreements potentially required to be filed that have not been so filed.</w:t>
      </w:r>
    </w:p>
    <w:p>
      <w:pPr>
        <w:spacing w:after="0" w:line="176"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2.8 No Undisclosed Liabilities. Neither Company nor any of its subsidiaries has any liabilities (absolute, accrued, contingent or otherwise) of a nature required to be disclosed on a balance sheet or in the related notes to the consolidated financial statements prepared in accordance with GAAP which are, individually or in the aggregate, material to the business, results of operations, assets or financial condition of Company and its subsidiaries taken as a whole, except (i) liabilities provided for in Company's balance sheet as of September 30, 2001 set forth in the Company SEC Reports (ii) liabilities incurred since September 30, 2001 in the ordinary course of business, none of which is material to the business, results of operations or financial condition of Company and its subsidiaries, taken as a whole, or (iii) except as disclosed in Schedule 2.8.</w:t>
      </w:r>
    </w:p>
    <w:p>
      <w:pPr>
        <w:spacing w:after="0" w:line="180"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2.9 Absence of Certain Changes or Events. Except as set forth in this Agreement, since September 30, 2001, there has not been: (i) any event or circumstance that results in a Material Adverse Effect on Company, (ii) any declaration, setting aside or payment of any dividend on, or other distribution (whether in cash, stock or property) in respect of, any of Company's or any of its subsidiaries' capital stock, or any purchase, redemption or other acquisition by Company of any of Company's capital stock or any other securities of Company or its</w:t>
      </w:r>
    </w:p>
    <w:p>
      <w:pPr>
        <w:spacing w:after="0" w:line="33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A-9</w:t>
      </w:r>
    </w:p>
    <w:p>
      <w:pPr>
        <w:sectPr>
          <w:pgSz w:w="11900" w:h="16838" w:orient="portrait"/>
          <w:cols w:equalWidth="0" w:num="1">
            <w:col w:w="10219"/>
          </w:cols>
          <w:pgMar w:left="240" w:top="631" w:right="1440" w:bottom="1440" w:gutter="0" w:footer="0" w:header="0"/>
        </w:sectPr>
      </w:pPr>
    </w:p>
    <w:bookmarkStart w:id="93" w:name="page94"/>
    <w:bookmarkEnd w:id="93"/>
    <w:p>
      <w:pPr>
        <w:ind w:right="3119"/>
        <w:spacing w:after="0"/>
        <w:rPr>
          <w:sz w:val="20"/>
          <w:szCs w:val="20"/>
          <w:color w:val="auto"/>
        </w:rPr>
      </w:pPr>
      <w:r>
        <w:rPr>
          <w:rFonts w:ascii="Courier New" w:cs="Courier New" w:eastAsia="Courier New" w:hAnsi="Courier New"/>
          <w:sz w:val="15"/>
          <w:szCs w:val="15"/>
          <w:color w:val="auto"/>
        </w:rPr>
        <w:t>subsidiaries or any options, warrants, calls or rights to acquire any such shares or other securities except for repurchases from employees following their termination pursuant to the terms of their pre-existing stock option or purchase agreements, (iii) any split, combination or reclassification of any of Company's or any of its subsidiaries' capital stock, (iv) any granting by Company or any of its subsidiaries of any increase in compensation or fringe benefits, except for normal increases of cash or non-cash benefits compensation in the ordinary course of business consistent with past practice, or any payment by Company or any of its subsidiaries of any bonus, except for bonuses made in the ordinary course of business consistent with past practice, or any granting by Company or any of its subsidiaries of any increase in severance or termination pay or any entry by Company or any of its subsidiaries into any currently effective employment, severance, termination or indemnification agreement or any agreement the benefits of which are contingent or the terms of which are materially altered upon the occurrence of a transaction involving Company of the nature contemplated hereby, (v) entry by Company or any of its subsidiaries into any material licensing or other agreement with regard to the acquisition or disposition of any Intellectual Property (as defined in Section 2.16) other than licenses in the ordinary course of business consistent with past practice or any amendment or consent with respect to any licensing agreement filed or required to be filed by Company with the SEC, (vi) any material change by Company in its accounting methods, principles or practices, except as required by concurrent changes in GAAP, or (vii) any material revaluation by Company of any of its assets, including, without limitation, writing down the value of capitalized inventory or writing off notes or accounts receivable or any sale of assets of Company other than in the ordinary course of business consistent with past practice.</w:t>
      </w:r>
    </w:p>
    <w:p>
      <w:pPr>
        <w:spacing w:after="0" w:line="191"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2.10 Absence of Litigation. Except as specifically disclosed on Section 2.10 of the Company Schedule, or in the Company SEC Reports as of the date hereof, there are no material claims, actions, suits or proceedings pending or, to the knowledge of Company, threatened (or, to the knowledge of Company, any governmental or regulatory investigation pending or threatened) against Company or any of its subsidiaries or any properties or rights of Company or any of its subsidiaries, before any court, arbitrator or administrative, governmental or regulatory authority or body, domestic or foreign.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2.11 Employee Matters and Benefit Plans.</w:t>
      </w:r>
    </w:p>
    <w:p>
      <w:pPr>
        <w:spacing w:after="0" w:line="174" w:lineRule="exact"/>
        <w:rPr>
          <w:sz w:val="20"/>
          <w:szCs w:val="20"/>
          <w:color w:val="auto"/>
        </w:rPr>
      </w:pPr>
    </w:p>
    <w:p>
      <w:pPr>
        <w:ind w:left="440" w:right="3399" w:hanging="5"/>
        <w:spacing w:after="0" w:line="239" w:lineRule="auto"/>
        <w:tabs>
          <w:tab w:leader="none" w:pos="795"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With the exception of the definition of "Affiliate" set forth in Section 3.11(a)(i) below (which definition shall apply only to this Section 2.11), for purposes of this Agreement, the following terms shall have the meanings set forth below:</w:t>
      </w:r>
    </w:p>
    <w:p>
      <w:pPr>
        <w:spacing w:after="0" w:line="174" w:lineRule="exact"/>
        <w:rPr>
          <w:sz w:val="20"/>
          <w:szCs w:val="20"/>
          <w:color w:val="auto"/>
        </w:rPr>
      </w:pPr>
    </w:p>
    <w:p>
      <w:pPr>
        <w:ind w:left="1240" w:hanging="362"/>
        <w:spacing w:after="0"/>
        <w:tabs>
          <w:tab w:leader="none" w:pos="124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shall mean any other person or entity under common</w:t>
      </w:r>
    </w:p>
    <w:p>
      <w:pPr>
        <w:spacing w:after="0" w:line="3" w:lineRule="exact"/>
        <w:rPr>
          <w:rFonts w:ascii="Courier New" w:cs="Courier New" w:eastAsia="Courier New" w:hAnsi="Courier New"/>
          <w:sz w:val="15"/>
          <w:szCs w:val="15"/>
          <w:color w:val="auto"/>
        </w:rPr>
      </w:pPr>
    </w:p>
    <w:p>
      <w:pPr>
        <w:ind w:left="880"/>
        <w:spacing w:after="0"/>
        <w:rPr>
          <w:rFonts w:ascii="Courier New" w:cs="Courier New" w:eastAsia="Courier New" w:hAnsi="Courier New"/>
          <w:sz w:val="15"/>
          <w:szCs w:val="15"/>
          <w:color w:val="auto"/>
        </w:rPr>
      </w:pPr>
      <w:r>
        <w:rPr>
          <w:rFonts w:ascii="Courier New" w:cs="Courier New" w:eastAsia="Courier New" w:hAnsi="Courier New"/>
          <w:sz w:val="14"/>
          <w:szCs w:val="14"/>
          <w:color w:val="auto"/>
        </w:rPr>
        <w:t>control with Company within the meaning of Section 414(b), (c), (m) or</w:t>
      </w:r>
    </w:p>
    <w:p>
      <w:pPr>
        <w:spacing w:after="0" w:line="9"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Code and the regulations issued thereunder;</w:t>
      </w:r>
    </w:p>
    <w:p>
      <w:pPr>
        <w:spacing w:after="0" w:line="174" w:lineRule="exact"/>
        <w:rPr>
          <w:sz w:val="20"/>
          <w:szCs w:val="20"/>
          <w:color w:val="auto"/>
        </w:rPr>
      </w:pPr>
    </w:p>
    <w:p>
      <w:pPr>
        <w:ind w:left="880" w:right="3119" w:hanging="2"/>
        <w:spacing w:after="0" w:line="238" w:lineRule="auto"/>
        <w:tabs>
          <w:tab w:leader="none" w:pos="1324"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"COBRA" shall mean the Consolidated Omnibus Budget Reconciliation Act of 1985, as amended;</w:t>
      </w:r>
    </w:p>
    <w:p>
      <w:pPr>
        <w:spacing w:after="0" w:line="174" w:lineRule="exact"/>
        <w:rPr>
          <w:rFonts w:ascii="Courier New" w:cs="Courier New" w:eastAsia="Courier New" w:hAnsi="Courier New"/>
          <w:sz w:val="15"/>
          <w:szCs w:val="15"/>
          <w:color w:val="auto"/>
        </w:rPr>
      </w:pPr>
    </w:p>
    <w:p>
      <w:pPr>
        <w:ind w:left="1420" w:hanging="542"/>
        <w:spacing w:after="0"/>
        <w:tabs>
          <w:tab w:leader="none" w:pos="1420"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"Code" shall mean the Internal Revenue Code of 1986, as amended;</w:t>
      </w:r>
    </w:p>
    <w:p>
      <w:pPr>
        <w:spacing w:after="0" w:line="182" w:lineRule="exact"/>
        <w:rPr>
          <w:rFonts w:ascii="Courier New" w:cs="Courier New" w:eastAsia="Courier New" w:hAnsi="Courier New"/>
          <w:sz w:val="14"/>
          <w:szCs w:val="14"/>
          <w:color w:val="auto"/>
        </w:rPr>
      </w:pPr>
    </w:p>
    <w:p>
      <w:pPr>
        <w:ind w:left="880" w:right="3119" w:hanging="2"/>
        <w:spacing w:after="0"/>
        <w:tabs>
          <w:tab w:leader="none" w:pos="1324"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Employee Plan" shall mean any plan, program, policy, practice, contract, agreement or other arrangement providing for compensation, severance, termination pay, deferred compensation, performance awards, stock or stock-related awards, fringe benefits or other employee benefits or remuneration of any kind, whether written or unwritten or otherwise, funded or unfunded, including without limitation, each "employee benefit plan," within the meaning of Section 3(3) of ERISA which is or has been maintained, contributed to, or required to be contributed to, by Company or any Affiliate for the benefit of any Employee, or with respect to which Company or any Affiliate has or may have any liability or obligation;</w:t>
      </w:r>
    </w:p>
    <w:p>
      <w:pPr>
        <w:spacing w:after="0" w:line="176" w:lineRule="exact"/>
        <w:rPr>
          <w:rFonts w:ascii="Courier New" w:cs="Courier New" w:eastAsia="Courier New" w:hAnsi="Courier New"/>
          <w:sz w:val="15"/>
          <w:szCs w:val="15"/>
          <w:color w:val="auto"/>
        </w:rPr>
      </w:pPr>
    </w:p>
    <w:p>
      <w:pPr>
        <w:ind w:left="1240" w:hanging="362"/>
        <w:spacing w:after="0"/>
        <w:tabs>
          <w:tab w:leader="none" w:pos="124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"DOL" shall mean the Department of Labor;</w:t>
      </w:r>
    </w:p>
    <w:p>
      <w:pPr>
        <w:spacing w:after="0" w:line="174" w:lineRule="exact"/>
        <w:rPr>
          <w:rFonts w:ascii="Courier New" w:cs="Courier New" w:eastAsia="Courier New" w:hAnsi="Courier New"/>
          <w:sz w:val="15"/>
          <w:szCs w:val="15"/>
          <w:color w:val="auto"/>
        </w:rPr>
      </w:pPr>
    </w:p>
    <w:p>
      <w:pPr>
        <w:ind w:left="880" w:right="3219" w:hanging="2"/>
        <w:spacing w:after="0" w:line="238" w:lineRule="auto"/>
        <w:tabs>
          <w:tab w:leader="none" w:pos="1324"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shall mean any current or former or retired employee, consultant or director of Company or any Affiliate;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A-10</w:t>
      </w:r>
    </w:p>
    <w:p>
      <w:pPr>
        <w:sectPr>
          <w:pgSz w:w="11900" w:h="16838" w:orient="portrait"/>
          <w:cols w:equalWidth="0" w:num="1">
            <w:col w:w="10219"/>
          </w:cols>
          <w:pgMar w:left="240" w:top="631" w:right="1440" w:bottom="1440" w:gutter="0" w:footer="0" w:header="0"/>
        </w:sectPr>
      </w:pPr>
    </w:p>
    <w:bookmarkStart w:id="94" w:name="page95"/>
    <w:bookmarkEnd w:id="94"/>
    <w:p>
      <w:pPr>
        <w:ind w:left="445" w:right="3119" w:hanging="2"/>
        <w:spacing w:after="0" w:line="239" w:lineRule="auto"/>
        <w:tabs>
          <w:tab w:leader="none" w:pos="978"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shall mean each employment, severance, consulting, relocation, repatriation, expatriation, visas, work permit or other agreement or contract relating to provisions of services between the Company or any Affiliate and any Employee;</w:t>
      </w:r>
    </w:p>
    <w:p>
      <w:pPr>
        <w:spacing w:after="0" w:line="176" w:lineRule="exact"/>
        <w:rPr>
          <w:rFonts w:ascii="Courier New" w:cs="Courier New" w:eastAsia="Courier New" w:hAnsi="Courier New"/>
          <w:sz w:val="15"/>
          <w:szCs w:val="15"/>
          <w:color w:val="auto"/>
        </w:rPr>
      </w:pPr>
    </w:p>
    <w:p>
      <w:pPr>
        <w:ind w:left="445" w:right="3219" w:hanging="2"/>
        <w:spacing w:after="0" w:line="239" w:lineRule="auto"/>
        <w:tabs>
          <w:tab w:leader="none" w:pos="1067"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"ERISA" shall mean the Employee Retirement Income Security Act of 1974, as amended; (ix) "FMLA" shall mean the Family Medical Leave Act of 1993, as amended;</w:t>
      </w:r>
    </w:p>
    <w:p>
      <w:pPr>
        <w:spacing w:after="0" w:line="172" w:lineRule="exact"/>
        <w:rPr>
          <w:sz w:val="20"/>
          <w:szCs w:val="20"/>
          <w:color w:val="auto"/>
        </w:rPr>
      </w:pPr>
    </w:p>
    <w:p>
      <w:pPr>
        <w:ind w:left="805" w:hanging="362"/>
        <w:spacing w:after="0"/>
        <w:tabs>
          <w:tab w:leader="none" w:pos="805"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"IRS" shall mean the Internal Revenue Service;</w:t>
      </w:r>
    </w:p>
    <w:p>
      <w:pPr>
        <w:spacing w:after="0" w:line="174" w:lineRule="exact"/>
        <w:rPr>
          <w:rFonts w:ascii="Courier New" w:cs="Courier New" w:eastAsia="Courier New" w:hAnsi="Courier New"/>
          <w:sz w:val="15"/>
          <w:szCs w:val="15"/>
          <w:color w:val="auto"/>
        </w:rPr>
      </w:pPr>
    </w:p>
    <w:p>
      <w:pPr>
        <w:ind w:left="445" w:right="3119" w:hanging="2"/>
        <w:spacing w:after="0" w:line="239" w:lineRule="auto"/>
        <w:tabs>
          <w:tab w:leader="none" w:pos="889"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"Multiemployer Plan" shall mean any "Pension Plan" (as defined below) which is a "multiemployer plan," as defined in Section 3(37) of ERISA; and</w:t>
      </w:r>
    </w:p>
    <w:p>
      <w:pPr>
        <w:spacing w:after="0" w:line="175" w:lineRule="exact"/>
        <w:rPr>
          <w:rFonts w:ascii="Courier New" w:cs="Courier New" w:eastAsia="Courier New" w:hAnsi="Courier New"/>
          <w:sz w:val="15"/>
          <w:szCs w:val="15"/>
          <w:color w:val="auto"/>
        </w:rPr>
      </w:pPr>
    </w:p>
    <w:p>
      <w:pPr>
        <w:jc w:val="both"/>
        <w:ind w:left="445" w:right="3119" w:hanging="2"/>
        <w:spacing w:after="0" w:line="258" w:lineRule="auto"/>
        <w:tabs>
          <w:tab w:leader="none" w:pos="978" w:val="left"/>
        </w:tabs>
        <w:numPr>
          <w:ilvl w:val="1"/>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Plan" shall mean each Company Employee Plan which is an "employee pension benefit plan," within the meaning of Section 3(2) of</w:t>
      </w:r>
    </w:p>
    <w:p>
      <w:pPr>
        <w:ind w:left="445"/>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ERISA.</w:t>
      </w:r>
    </w:p>
    <w:p>
      <w:pPr>
        <w:spacing w:after="0" w:line="174" w:lineRule="exact"/>
        <w:rPr>
          <w:rFonts w:ascii="Courier New" w:cs="Courier New" w:eastAsia="Courier New" w:hAnsi="Courier New"/>
          <w:sz w:val="14"/>
          <w:szCs w:val="14"/>
          <w:color w:val="auto"/>
        </w:rPr>
      </w:pPr>
    </w:p>
    <w:p>
      <w:pPr>
        <w:ind w:left="5" w:right="3119" w:hanging="5"/>
        <w:spacing w:after="0" w:line="259" w:lineRule="auto"/>
        <w:tabs>
          <w:tab w:leader="none" w:pos="36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Schedule. Section 2.11(b) of the Company Schedule contains an accurate and complete list in all material respects of each Company Employee Plan, and each Employment Agreement. Company does not have any plan or commitment to establish any new Company Employee Plan or Employment Agreement, to modify any Company Employee Plan or Employment Agreement (except to the extent required by law or to conform any such Company Employee Plan or Employment Agreement to the requirements of any applicable law, in each case as previously disclosed to Parent in writing, or as required by this Agreement), or to adopt or enter into any Company Employee Plan, or Employment Agreement. Section 2.11(b) of the Company Schedule contains a representation of the percentage of the Company's employee base which falls within each of the following categories: non-exempt employees, exempt employees and key employees; average employee salary in each such category; and average tenure in each such category. The Company represents and warrants that the foregoing information, as more fully reflected in Section 2.11(b) of the Company Schedule, is accurate and complete.</w:t>
      </w:r>
    </w:p>
    <w:p>
      <w:pPr>
        <w:spacing w:after="0" w:line="331" w:lineRule="exact"/>
        <w:rPr>
          <w:rFonts w:ascii="Courier New" w:cs="Courier New" w:eastAsia="Courier New" w:hAnsi="Courier New"/>
          <w:sz w:val="14"/>
          <w:szCs w:val="14"/>
          <w:color w:val="auto"/>
        </w:rPr>
      </w:pPr>
    </w:p>
    <w:p>
      <w:pPr>
        <w:ind w:left="345" w:hanging="345"/>
        <w:spacing w:after="0"/>
        <w:tabs>
          <w:tab w:leader="none" w:pos="345"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Documents. Company has provided to Parent correct and complete copies</w:t>
      </w:r>
    </w:p>
    <w:p>
      <w:pPr>
        <w:spacing w:after="0" w:line="3" w:lineRule="exact"/>
        <w:rPr>
          <w:rFonts w:ascii="Courier New" w:cs="Courier New" w:eastAsia="Courier New" w:hAnsi="Courier New"/>
          <w:sz w:val="15"/>
          <w:szCs w:val="15"/>
          <w:color w:val="auto"/>
        </w:rPr>
      </w:pPr>
    </w:p>
    <w:p>
      <w:pPr>
        <w:ind w:left="5" w:right="3119"/>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of: (i) all documents embodying each Company Employee Plan and each Employment Agreement including (without limitation) all amendments thereto and all related trust documents, administrative service agreements, group annuity contracts, group insurance contracts, and policies pertaining to fiduciary liability insurance covering the fiduciaries for each Plan; (ii) the most recent annual actuarial valuations, if any, prepared for each Company Employee Plan; (iii) the three (3) most recent annual reports (Form Series 5500 and all schedules and financial statements attached thereto), if any, required under ERISA or the Code in connection with each Company Employee Plan; (iv) if Company Employee Plan is funded, the most recent annual and periodic accounting of Company Employee Plan assets; (v) the most recent summary plan description together with the summary(ies) of material modifications thereto, if any, required under ERISA with respect to each Company Employee Plan; (vi) the most recent IRS determination letter, and all applications and correspondence to or from the IRS or the DOL with respect to any such application or letter; (vii) all written communications material to any Employee or Employees relating to any Company Employee Plan and any proposed Company Employee Plans, in each case, relating to any amendments, terminations, establishments, increases or decreases in benefits, acceleration of payments or vesting schedules or other events which would result in any material liability to Company; (viii) all material correspondence to or from any governmental agency relating to any Company Employee Plan; (ix) all current model COBRA forms and related notices (or such forms and notices as required under comparable law); (x) the three (3) most recent plan years discrimination tests for each Company Employee Plan; and (xi) all registration statements, annual reports (Form 11-K and all attachments thereto) and prospectuses prepared in connection with each Company Employee Plan.</w:t>
      </w:r>
    </w:p>
    <w:p>
      <w:pPr>
        <w:spacing w:after="0" w:line="345" w:lineRule="exact"/>
        <w:rPr>
          <w:rFonts w:ascii="Courier New" w:cs="Courier New" w:eastAsia="Courier New" w:hAnsi="Courier New"/>
          <w:sz w:val="15"/>
          <w:szCs w:val="15"/>
          <w:color w:val="auto"/>
        </w:rPr>
      </w:pPr>
    </w:p>
    <w:p>
      <w:pPr>
        <w:ind w:left="5" w:right="3119" w:hanging="5"/>
        <w:spacing w:after="0" w:line="259" w:lineRule="auto"/>
        <w:tabs>
          <w:tab w:leader="none" w:pos="360" w:val="left"/>
        </w:tabs>
        <w:numPr>
          <w:ilvl w:val="0"/>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Employee Plan Compliance. (i) Company has performed in all material respects all obligations required to be performed by it under, is not in material default or violation of, and has no knowledge of any material default or violation by any other party to each Company Employee Plan, and each Company Employee Plan has been established and maintained in all material respects in accordance with its terms and in compliance with all applicable laws, statutes, orders, rules and regulations, including but not limited to ERISA or the Code; (ii) each Company Employee Plan intended to qualify under Section 401(a) of the Code and each related trust intended to</w:t>
      </w:r>
    </w:p>
    <w:p>
      <w:pPr>
        <w:spacing w:after="0" w:line="334"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9784"/>
          </w:cols>
          <w:pgMar w:left="675" w:top="801" w:right="1440" w:bottom="1440" w:gutter="0" w:footer="0" w:header="0"/>
        </w:sectPr>
      </w:pPr>
    </w:p>
    <w:bookmarkStart w:id="95" w:name="page96"/>
    <w:bookmarkEnd w:id="95"/>
    <w:p>
      <w:pPr>
        <w:ind w:left="5" w:right="3119"/>
        <w:spacing w:after="0" w:line="258" w:lineRule="auto"/>
        <w:rPr>
          <w:sz w:val="20"/>
          <w:szCs w:val="20"/>
          <w:color w:val="auto"/>
        </w:rPr>
      </w:pPr>
      <w:r>
        <w:rPr>
          <w:rFonts w:ascii="Courier New" w:cs="Courier New" w:eastAsia="Courier New" w:hAnsi="Courier New"/>
          <w:sz w:val="14"/>
          <w:szCs w:val="14"/>
          <w:color w:val="auto"/>
        </w:rPr>
        <w:t>qualify under Section 501(a) of the Code has either received a favorable determination, opinion, notification or advisory letter from the IRS with respect to each such Company Employee Plan as to its qualified status under the Code, including all amendments to the Code effected by the Tax Reform Act of 1986 and subsequent legislation, or has remaining a period of time under applicable Treasury regulations or IRS pronouncements in which to apply for such a letter and make any amendments necessary to obtain a favorable determination as to the qualified status of each such Company Employee Plan; (iii) no "prohibited transaction," within the meaning of Section 4975 of the Code or Sections 406 and 407 of ERISA, and not otherwise exempt under Section 4975 of the Code or Section 408 of ERISA (or any administrative class exemption issued thereunder), has occurred with respect to any Company Employee Plan; (iv) there are no actions, suits or, to the knowledge of the Company, claims pending or threatened (other than routine claims for benefits) against any Company Employee Plan or against the assets of any Company Employee Plan; (v) each Company Employee Plan (other than any stock option plan) can be amended, terminated or otherwise discontinued after the Effective Time, without material liability to Parent, Company or any of its Affiliates (other than benefits accrued to date and ordinary administration expenses); (vi) there are no audits, inquiries or proceedings pending or, to the knowledge of Company, threatened by the IRS or DOL with respect to any Company Employee Plan; and</w:t>
      </w:r>
    </w:p>
    <w:p>
      <w:pPr>
        <w:spacing w:after="0" w:line="174" w:lineRule="exact"/>
        <w:rPr>
          <w:sz w:val="20"/>
          <w:szCs w:val="20"/>
          <w:color w:val="auto"/>
        </w:rPr>
      </w:pPr>
    </w:p>
    <w:p>
      <w:pPr>
        <w:ind w:left="5" w:right="3219" w:hanging="5"/>
        <w:spacing w:after="0" w:line="239" w:lineRule="auto"/>
        <w:tabs>
          <w:tab w:leader="none" w:pos="538"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Company nor any Affiliate is subject to any penalty or tax with respect to any Company Employee Plan under Section 502(i) of ERISA or Sections 4975 through 4980 of the Code.</w:t>
      </w:r>
    </w:p>
    <w:p>
      <w:pPr>
        <w:spacing w:after="0" w:line="175" w:lineRule="exact"/>
        <w:rPr>
          <w:sz w:val="20"/>
          <w:szCs w:val="20"/>
          <w:color w:val="auto"/>
        </w:rPr>
      </w:pPr>
    </w:p>
    <w:p>
      <w:pPr>
        <w:ind w:left="5" w:right="3399" w:hanging="5"/>
        <w:spacing w:after="0" w:line="264" w:lineRule="auto"/>
        <w:tabs>
          <w:tab w:leader="none" w:pos="360"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Pension Plan. Neither Company nor any Affiliate has ever maintained, established, sponsored, participated in, or contributed to, any Pension Plan which is subject to Title IV of ERISA or Section 412 of the Code.</w:t>
      </w:r>
    </w:p>
    <w:p>
      <w:pPr>
        <w:spacing w:after="0" w:line="159" w:lineRule="exact"/>
        <w:rPr>
          <w:rFonts w:ascii="Courier New" w:cs="Courier New" w:eastAsia="Courier New" w:hAnsi="Courier New"/>
          <w:sz w:val="14"/>
          <w:szCs w:val="14"/>
          <w:color w:val="auto"/>
        </w:rPr>
      </w:pPr>
    </w:p>
    <w:p>
      <w:pPr>
        <w:ind w:left="5" w:right="3219" w:hanging="5"/>
        <w:spacing w:after="0"/>
        <w:tabs>
          <w:tab w:leader="none" w:pos="36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Collectively Bargained, Multiemployer and Multiple Employer Plans. At no time within the six (6) year period ending on the date hereof, has the Company or any Affiliate contributed to or been obligated to contribute to any Multiemployer Plan or ever maintained, established, sponsored, participated in, or contributed to any multiple employer plan, or to any plan described in Section 413 of the Code.</w:t>
      </w:r>
    </w:p>
    <w:p>
      <w:pPr>
        <w:spacing w:after="0" w:line="175" w:lineRule="exact"/>
        <w:rPr>
          <w:rFonts w:ascii="Courier New" w:cs="Courier New" w:eastAsia="Courier New" w:hAnsi="Courier New"/>
          <w:sz w:val="15"/>
          <w:szCs w:val="15"/>
          <w:color w:val="auto"/>
        </w:rPr>
      </w:pPr>
    </w:p>
    <w:p>
      <w:pPr>
        <w:ind w:left="5" w:right="3219" w:hanging="5"/>
        <w:spacing w:after="0"/>
        <w:tabs>
          <w:tab w:leader="none" w:pos="36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Post-Employment Obligations. Except as set forth in Section 2.11(g) of the Company Schedule, no Company Employee Plan provides, or reflects or represents any liability to provide retiree health insurance coverage to any person for any reason, except as may be required by COBRA or other applicable statute.</w:t>
      </w:r>
    </w:p>
    <w:p>
      <w:pPr>
        <w:spacing w:after="0" w:line="174" w:lineRule="exact"/>
        <w:rPr>
          <w:rFonts w:ascii="Courier New" w:cs="Courier New" w:eastAsia="Courier New" w:hAnsi="Courier New"/>
          <w:sz w:val="15"/>
          <w:szCs w:val="15"/>
          <w:color w:val="auto"/>
        </w:rPr>
      </w:pPr>
    </w:p>
    <w:p>
      <w:pPr>
        <w:ind w:left="5" w:right="3119" w:hanging="5"/>
        <w:spacing w:after="0"/>
        <w:tabs>
          <w:tab w:leader="none" w:pos="36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Health Care Compliance. Neither Company nor any Affiliate has, prior to the Effective Time and in any material respect, violated any of the health care continuation requirements of COBRA, the requirements of FMLA, the requirements of the Health Insurance Portability and Accountability Act of 1996, the requirements of the Women's Health and Cancer Rights Act of 1998, the requirements of the Newborns' and Mothers' Health Protection Act of 1996, or any amendment to each such act, or any similar provisions of state law applicable to its Employees.</w:t>
      </w:r>
    </w:p>
    <w:p>
      <w:pPr>
        <w:spacing w:after="0" w:line="173" w:lineRule="exact"/>
        <w:rPr>
          <w:rFonts w:ascii="Courier New" w:cs="Courier New" w:eastAsia="Courier New" w:hAnsi="Courier New"/>
          <w:sz w:val="15"/>
          <w:szCs w:val="15"/>
          <w:color w:val="auto"/>
        </w:rPr>
      </w:pPr>
    </w:p>
    <w:p>
      <w:pPr>
        <w:ind w:left="345" w:hanging="345"/>
        <w:spacing w:after="0"/>
        <w:tabs>
          <w:tab w:leader="none" w:pos="34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Transaction.</w:t>
      </w:r>
    </w:p>
    <w:p>
      <w:pPr>
        <w:spacing w:after="0" w:line="171" w:lineRule="exact"/>
        <w:rPr>
          <w:rFonts w:ascii="Courier New" w:cs="Courier New" w:eastAsia="Courier New" w:hAnsi="Courier New"/>
          <w:sz w:val="15"/>
          <w:szCs w:val="15"/>
          <w:color w:val="auto"/>
        </w:rPr>
      </w:pPr>
    </w:p>
    <w:p>
      <w:pPr>
        <w:ind w:left="805" w:hanging="362"/>
        <w:spacing w:after="0"/>
        <w:tabs>
          <w:tab w:leader="none" w:pos="805"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2.11(i), the execution of this</w:t>
      </w:r>
    </w:p>
    <w:p>
      <w:pPr>
        <w:spacing w:after="0" w:line="3" w:lineRule="exact"/>
        <w:rPr>
          <w:rFonts w:ascii="Courier New" w:cs="Courier New" w:eastAsia="Courier New" w:hAnsi="Courier New"/>
          <w:sz w:val="15"/>
          <w:szCs w:val="15"/>
          <w:color w:val="auto"/>
        </w:rPr>
      </w:pPr>
    </w:p>
    <w:p>
      <w:pPr>
        <w:ind w:left="445" w:right="3119"/>
        <w:spacing w:after="0" w:line="260"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Agreement and the consummation of the transactions contemplated hereby will not (either alone or upon the occurrence of any additional or subsequent events) constitute an event under any Company Employee Plan, Employment Agreement, trust or loan that will or may result in any payment (whether of severance pay or otherwise), acceleration, forgiveness of indebtedness, vesting, distribution, increase in benefits or obligation to fund benefits with respect to any Employee.</w:t>
      </w:r>
    </w:p>
    <w:p>
      <w:pPr>
        <w:spacing w:after="0" w:line="162" w:lineRule="exact"/>
        <w:rPr>
          <w:rFonts w:ascii="Courier New" w:cs="Courier New" w:eastAsia="Courier New" w:hAnsi="Courier New"/>
          <w:sz w:val="15"/>
          <w:szCs w:val="15"/>
          <w:color w:val="auto"/>
        </w:rPr>
      </w:pPr>
    </w:p>
    <w:p>
      <w:pPr>
        <w:ind w:left="445" w:right="3119" w:hanging="2"/>
        <w:spacing w:after="0" w:line="239" w:lineRule="auto"/>
        <w:tabs>
          <w:tab w:leader="none" w:pos="889" w:val="left"/>
        </w:tabs>
        <w:numPr>
          <w:ilvl w:val="1"/>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payment or benefit which will or may be made by Company or its Affiliates with respect to any Employee will be characterized as a "parachute payment," within the meaning of Section 280G(b)(2) of the Code.</w:t>
      </w:r>
    </w:p>
    <w:p>
      <w:pPr>
        <w:spacing w:after="0" w:line="173" w:lineRule="exact"/>
        <w:rPr>
          <w:rFonts w:ascii="Courier New" w:cs="Courier New" w:eastAsia="Courier New" w:hAnsi="Courier New"/>
          <w:sz w:val="15"/>
          <w:szCs w:val="15"/>
          <w:color w:val="auto"/>
        </w:rPr>
      </w:pPr>
    </w:p>
    <w:p>
      <w:pPr>
        <w:ind w:left="345" w:hanging="345"/>
        <w:spacing w:after="0"/>
        <w:tabs>
          <w:tab w:leader="none" w:pos="345"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Matters. To the best of its knowledge and belief, Company:</w:t>
      </w:r>
    </w:p>
    <w:p>
      <w:pPr>
        <w:spacing w:after="0" w:line="3" w:lineRule="exact"/>
        <w:rPr>
          <w:rFonts w:ascii="Courier New" w:cs="Courier New" w:eastAsia="Courier New" w:hAnsi="Courier New"/>
          <w:sz w:val="15"/>
          <w:szCs w:val="15"/>
          <w:color w:val="auto"/>
        </w:rPr>
      </w:pPr>
    </w:p>
    <w:p>
      <w:pPr>
        <w:ind w:left="5" w:right="3119" w:hanging="5"/>
        <w:spacing w:after="0" w:line="258" w:lineRule="auto"/>
        <w:tabs>
          <w:tab w:leader="none" w:pos="360" w:val="left"/>
        </w:tabs>
        <w:numPr>
          <w:ilvl w:val="0"/>
          <w:numId w:val="1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 in material compliance in all respects with all applicable foreign, federal, state and local laws, rules and regulations respecting employment, employment practices, terms and conditions of employment and wages and hours, in each case, with respect to Employees; (ii) has withheld and reported all amounts required by law or by agreement to be withheld and reported with respect to wages, salaries and other payments to Employees;</w:t>
      </w:r>
    </w:p>
    <w:p>
      <w:pPr>
        <w:ind w:left="525" w:hanging="525"/>
        <w:spacing w:after="0"/>
        <w:tabs>
          <w:tab w:leader="none" w:pos="525"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liable for any arrears of wages or any taxes or any penalty</w:t>
      </w:r>
    </w:p>
    <w:p>
      <w:pPr>
        <w:spacing w:after="0" w:line="342"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9784"/>
          </w:cols>
          <w:pgMar w:left="675" w:top="631" w:right="1440" w:bottom="1440" w:gutter="0" w:footer="0" w:header="0"/>
        </w:sectPr>
      </w:pPr>
    </w:p>
    <w:bookmarkStart w:id="96" w:name="page97"/>
    <w:bookmarkEnd w:id="96"/>
    <w:p>
      <w:pPr>
        <w:ind w:left="440" w:right="3119"/>
        <w:spacing w:after="0"/>
        <w:rPr>
          <w:sz w:val="20"/>
          <w:szCs w:val="20"/>
          <w:color w:val="auto"/>
        </w:rPr>
      </w:pPr>
      <w:r>
        <w:rPr>
          <w:rFonts w:ascii="Courier New" w:cs="Courier New" w:eastAsia="Courier New" w:hAnsi="Courier New"/>
          <w:sz w:val="15"/>
          <w:szCs w:val="15"/>
          <w:color w:val="auto"/>
        </w:rPr>
        <w:t>for failure to comply with any of the foregoing; and (iv) is not liable for any payment to any trust or other fund governed by or maintained by or on behalf of any governmental authority, with respect to unemployment compensation benefits, social security or other benefits or obligations for Employees (other than routine payments to be made in the normal course of business and consistent with past practice). To the Company's knowledge, there are no pending, threatened or reasonably anticipated claims or actions against Company under any worker's compensation policy or long-term disability policy (other than routine claims for benefits).</w:t>
      </w:r>
    </w:p>
    <w:p>
      <w:pPr>
        <w:spacing w:after="0" w:line="177" w:lineRule="exact"/>
        <w:rPr>
          <w:sz w:val="20"/>
          <w:szCs w:val="20"/>
          <w:color w:val="auto"/>
        </w:rPr>
      </w:pPr>
    </w:p>
    <w:p>
      <w:pPr>
        <w:ind w:left="440" w:right="3119" w:hanging="5"/>
        <w:spacing w:after="0"/>
        <w:tabs>
          <w:tab w:leader="none" w:pos="795"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Labor. No work stoppage or labor strike against Company is pending or, to the knowledge of Company, threatened. Company does not know of any activities or proceedings of any labor union to organize any Employees. There are no actions, suits, claims, labor disputes or grievances pending, or, to the knowledge of Company, threatened or reasonably anticipated relating to any labor, safety or discrimination matters involving any Employee, including, without limitation, charges of unfair labor practices or discrimination complaints, which, if adversely determined, would, individually or in the aggregate, result in any material liability to Company. Neither Company nor any of its subsidiaries has engaged in any unfair labor practices within the meaning of the National Labor Relations Act. Except as set forth in Section 2.11(k) of the Company Schedule, Company is not presently, nor has it been in the past, a party to, or bound by, any collective bargaining agreement or union contract with respect to Employees and no collective bargaining agreement is being negotiated by Company.</w:t>
      </w:r>
    </w:p>
    <w:p>
      <w:pPr>
        <w:spacing w:after="0" w:line="18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2.12 Restrictions on Business Activities. There is no agreement, commitment, judgment, injunction, order or decree binding upon Company or its subsidiaries or to which Company or any of its subsidiaries is a party which has or could reasonably be expected to have the effect of prohibiting or materially impairing any material business practice of Company or any of its subsidiaries, any material acquisition of property by Company or any of its subsidiaries or the conduct of business by Company or any of its subsidiaries as currently conducted.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2.13 Title to Property.</w:t>
      </w:r>
    </w:p>
    <w:p>
      <w:pPr>
        <w:spacing w:after="0" w:line="174" w:lineRule="exact"/>
        <w:rPr>
          <w:sz w:val="20"/>
          <w:szCs w:val="20"/>
          <w:color w:val="auto"/>
        </w:rPr>
      </w:pPr>
    </w:p>
    <w:p>
      <w:pPr>
        <w:ind w:left="440" w:right="3219" w:hanging="5"/>
        <w:spacing w:after="0"/>
        <w:tabs>
          <w:tab w:leader="none" w:pos="79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Company nor any of its subsidiaries owns any material real property. Company and each of its subsidiaries have good and marketable title to all of their material owned properties and assets, free and clear of all liens, charges and encumbrances except liens for taxes not yet due and payable and such liens or other imperfections of title, if any, as do not materially interfere with the present use of the property affected thereby.</w:t>
      </w:r>
    </w:p>
    <w:p>
      <w:pPr>
        <w:spacing w:after="0" w:line="175" w:lineRule="exact"/>
        <w:rPr>
          <w:rFonts w:ascii="Courier New" w:cs="Courier New" w:eastAsia="Courier New" w:hAnsi="Courier New"/>
          <w:sz w:val="15"/>
          <w:szCs w:val="15"/>
          <w:color w:val="auto"/>
        </w:rPr>
      </w:pPr>
    </w:p>
    <w:p>
      <w:pPr>
        <w:ind w:left="440" w:right="3119" w:hanging="5"/>
        <w:spacing w:after="0" w:line="260" w:lineRule="auto"/>
        <w:tabs>
          <w:tab w:leader="none" w:pos="795"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leases (the "Leases") pursuant to which Company or any of its subsidiaries lease from others material real or personal property are valid and effective in accordance with their respective terms, and there is not, under any of such leases, any existing material default or event of default of Company or any of its subsidiaries or, to Company's knowledge, any other party (or any event which with notice or lapse of time, or both, would constitute a material default and in respect of which Company or subsidiary has not taken adequate steps to prevent such default from occurring).</w:t>
      </w:r>
    </w:p>
    <w:p>
      <w:pPr>
        <w:spacing w:after="0" w:line="158" w:lineRule="exact"/>
        <w:rPr>
          <w:rFonts w:ascii="Courier New" w:cs="Courier New" w:eastAsia="Courier New" w:hAnsi="Courier New"/>
          <w:sz w:val="14"/>
          <w:szCs w:val="14"/>
          <w:color w:val="auto"/>
        </w:rPr>
      </w:pPr>
    </w:p>
    <w:p>
      <w:pPr>
        <w:ind w:left="780" w:hanging="345"/>
        <w:spacing w:after="0"/>
        <w:tabs>
          <w:tab w:leader="none" w:pos="78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2.13 of the Company Schedule sets forth a list of all real</w:t>
      </w:r>
    </w:p>
    <w:p>
      <w:pPr>
        <w:spacing w:after="0" w:line="3" w:lineRule="exact"/>
        <w:rPr>
          <w:rFonts w:ascii="Courier New" w:cs="Courier New" w:eastAsia="Courier New" w:hAnsi="Courier New"/>
          <w:sz w:val="15"/>
          <w:szCs w:val="15"/>
          <w:color w:val="auto"/>
        </w:rPr>
      </w:pPr>
    </w:p>
    <w:p>
      <w:pPr>
        <w:ind w:left="440"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currently leased by Company, the landlord contact, the expiration date of the Lease and each amendment thereto, and, with respect to each Lease, the square footage of the premises leased thereunder and the aggregate monthly rental payable thereunder. Company has provided Parent with true, complete and correct copies of each Lease; no term or condition of any such Lease has been modified, amended or waived except as shown in such copies; each such Lease constitutes the entire agreement of the landlord and the tenant thereunder; and there are no other agreements or arrangements whatsoever relating to Company's use or occupancy of any of the premises described in such Leases. Company has not transferred or assigned any interest in any Lease, nor has Company subleased or otherwise granted rights of use or occupancy of any of the premises described therein to any other person or entity.</w:t>
      </w:r>
    </w:p>
    <w:p>
      <w:pPr>
        <w:spacing w:after="0" w:line="180" w:lineRule="exact"/>
        <w:rPr>
          <w:rFonts w:ascii="Courier New" w:cs="Courier New" w:eastAsia="Courier New" w:hAnsi="Courier New"/>
          <w:sz w:val="15"/>
          <w:szCs w:val="15"/>
          <w:color w:val="auto"/>
        </w:rPr>
      </w:pPr>
    </w:p>
    <w:p>
      <w:pPr>
        <w:ind w:left="440" w:right="3399" w:hanging="5"/>
        <w:spacing w:after="0"/>
        <w:tabs>
          <w:tab w:leader="none" w:pos="795"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of this Agreement, to the knowledge of Company, the landlord under each Lease has complied with all of the requirements, conditions, representations, warranties and covenants of the landlord thereunder, including, without limitation, the timely completion of construction of the leased premises in a good and workmanlike manner and otherwise in accordance with the Leases.</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A-13</w:t>
      </w:r>
    </w:p>
    <w:p>
      <w:pPr>
        <w:sectPr>
          <w:pgSz w:w="11900" w:h="16838" w:orient="portrait"/>
          <w:cols w:equalWidth="0" w:num="1">
            <w:col w:w="10219"/>
          </w:cols>
          <w:pgMar w:left="240" w:top="631" w:right="1440" w:bottom="1440" w:gutter="0" w:footer="0" w:header="0"/>
        </w:sectPr>
      </w:pPr>
    </w:p>
    <w:bookmarkStart w:id="97" w:name="page98"/>
    <w:bookmarkEnd w:id="97"/>
    <w:p>
      <w:pPr>
        <w:ind w:left="440" w:right="3119" w:hanging="5"/>
        <w:spacing w:after="0"/>
        <w:tabs>
          <w:tab w:leader="none" w:pos="79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has not received any notice from any insurance company of any defects or inadequacies in any leased property or any part thereof which could materially and adversely affect the insurability of such leased property or the premiums for the insurance thereof. No notice has been given by any insurance company which has issued a policy with respect to any portion of any leased property or by any board of fire underwriters (or other body exercising similar functions) requesting the performance of any repairs, alterations or other work with which compliance has not been made. To Company's knowledge, there exist no structural, soil or other conditions with respect to any leased property that could increase the probability of material damage to any leased property as a result of earthquake or other seismic activity.</w:t>
      </w:r>
    </w:p>
    <w:p>
      <w:pPr>
        <w:spacing w:after="0" w:line="179" w:lineRule="exact"/>
        <w:rPr>
          <w:rFonts w:ascii="Courier New" w:cs="Courier New" w:eastAsia="Courier New" w:hAnsi="Courier New"/>
          <w:sz w:val="15"/>
          <w:szCs w:val="15"/>
          <w:color w:val="auto"/>
        </w:rPr>
      </w:pPr>
    </w:p>
    <w:p>
      <w:pPr>
        <w:ind w:left="440" w:right="3119" w:hanging="5"/>
        <w:spacing w:after="0"/>
        <w:tabs>
          <w:tab w:leader="none" w:pos="79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Company's knowledge, no law, ordinance, regulation or restriction is, or as of the Closing Date will be, violated by the continued occupancy, maintenance, operation or use of the leased properties in their present manner. To Company's knowledge, there are no Legal Requirements now in existence or under active consideration by any Governmental Entity which could require the tenant of any leased property to make any expenditure in excess of $25,000 to modify or improve such leased property to bring it into compliance therewith.</w:t>
      </w:r>
    </w:p>
    <w:p>
      <w:pPr>
        <w:spacing w:after="0" w:line="176" w:lineRule="exact"/>
        <w:rPr>
          <w:rFonts w:ascii="Courier New" w:cs="Courier New" w:eastAsia="Courier New" w:hAnsi="Courier New"/>
          <w:sz w:val="15"/>
          <w:szCs w:val="15"/>
          <w:color w:val="auto"/>
        </w:rPr>
      </w:pPr>
    </w:p>
    <w:p>
      <w:pPr>
        <w:ind w:left="440" w:right="3119" w:hanging="5"/>
        <w:spacing w:after="0"/>
        <w:tabs>
          <w:tab w:leader="none" w:pos="795"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pending or, to Company's knowledge, threatened condemnation or similar proceeding affecting any leased property or any portion thereof, and Company has no knowledge that any such action is currently contemplated. There are no material legal actions, suits or other legal or administrative proceedings pending or threatened against Company, or, to Company's knowledge, against third parties affecting any leased property, and Company is not aware of any facts which might result in any such action, suit or proceeding. All material plants, structures and equipment of Company and its subsidiaries are in good operating condition and repair in all material respects.</w:t>
      </w:r>
    </w:p>
    <w:p>
      <w:pPr>
        <w:spacing w:after="0" w:line="178"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For purposes of this Section 2.13, the Company's knowledge shall be deemed to include the knowledge of the Company's management personnel responsible for the Company's facilities and property.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2.14 Taxes.</w:t>
      </w:r>
    </w:p>
    <w:p>
      <w:pPr>
        <w:spacing w:after="0" w:line="174" w:lineRule="exact"/>
        <w:rPr>
          <w:sz w:val="20"/>
          <w:szCs w:val="20"/>
          <w:color w:val="auto"/>
        </w:rPr>
      </w:pPr>
    </w:p>
    <w:p>
      <w:pPr>
        <w:ind w:left="440" w:right="3119" w:hanging="5"/>
        <w:spacing w:after="0"/>
        <w:tabs>
          <w:tab w:leader="none" w:pos="795"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 of Taxes. For purposes of this Agreement, (i) "Tax" or, collectively, "Taxes", means (i) any and all federal, state, local and foreign taxes, including taxes based upon or measured by gross receipts, income, profits, sales, use and occupation, and value added, ad valorem, transfer, franchise, withholding, payroll, recapture, employment, excise and property taxes, together with all interest, penalties and additions imposed with respect to such amounts; (ii) any liability for the payment of any amounts of the type described in clause (i) as a result of being or ceasing to be a member of an affiliated, consolidated, combined or unitary group for any period (including, without limitation, any liability under Treas. Reg. Section 1.1502-6 or any comparable provision of foreign, state or local law); and (iii) any liability for the payment of any amounts of the type described in clause (i) or (ii) as a result of any express or implied obligation to indemnify any other Person or as a result of any obligations under any agreements or arrangements with any other Person with respect to such amounts and including any liability for taxes of a predecessor entity.</w:t>
      </w:r>
    </w:p>
    <w:p>
      <w:pPr>
        <w:spacing w:after="0" w:line="180"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Returns and Audits.</w:t>
      </w:r>
    </w:p>
    <w:p>
      <w:pPr>
        <w:spacing w:after="0" w:line="174" w:lineRule="exact"/>
        <w:rPr>
          <w:rFonts w:ascii="Courier New" w:cs="Courier New" w:eastAsia="Courier New" w:hAnsi="Courier New"/>
          <w:sz w:val="15"/>
          <w:szCs w:val="15"/>
          <w:color w:val="auto"/>
        </w:rPr>
      </w:pPr>
    </w:p>
    <w:p>
      <w:pPr>
        <w:ind w:left="880" w:right="3219" w:hanging="2"/>
        <w:spacing w:after="0"/>
        <w:tabs>
          <w:tab w:leader="none" w:pos="1235"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each of its subsidiaries have timely filed all federal, state, local and foreign returns, estimates, information statements and reports ("Returns") relating to Taxes required to be filed by the Company and each of its subsidiaries with any Tax authority, except such Returns which are not material to the Company. All such Returns were correct and complete in all material respects. The Company and each of its subsidiaries have paid or reserved for payment all Taxes shown to be due on such Returns.</w:t>
      </w:r>
    </w:p>
    <w:p>
      <w:pPr>
        <w:spacing w:after="0" w:line="176" w:lineRule="exact"/>
        <w:rPr>
          <w:rFonts w:ascii="Courier New" w:cs="Courier New" w:eastAsia="Courier New" w:hAnsi="Courier New"/>
          <w:sz w:val="15"/>
          <w:szCs w:val="15"/>
          <w:color w:val="auto"/>
        </w:rPr>
      </w:pPr>
    </w:p>
    <w:p>
      <w:pPr>
        <w:ind w:left="880" w:right="3119" w:hanging="2"/>
        <w:spacing w:after="0" w:line="260" w:lineRule="auto"/>
        <w:tabs>
          <w:tab w:leader="none" w:pos="1324"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each of its subsidiaries has withheld with respect to its employees, independent contractors, creditors, stockholders, and all other third parties all federal and state income taxes, Taxes pursuant to the Federal Insurance Contribution Act, Taxes pursuant to the Federal Unemployment Tax Act and other Taxes required to be withheld and have timely paid over to the proper governmental</w:t>
      </w: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A-14</w:t>
      </w:r>
    </w:p>
    <w:p>
      <w:pPr>
        <w:sectPr>
          <w:pgSz w:w="11900" w:h="16838" w:orient="portrait"/>
          <w:cols w:equalWidth="0" w:num="1">
            <w:col w:w="10219"/>
          </w:cols>
          <w:pgMar w:left="240" w:top="631" w:right="1440" w:bottom="1440" w:gutter="0" w:footer="0" w:header="0"/>
        </w:sectPr>
      </w:pPr>
    </w:p>
    <w:bookmarkStart w:id="98" w:name="page99"/>
    <w:bookmarkEnd w:id="98"/>
    <w:p>
      <w:pPr>
        <w:ind w:left="880" w:right="3399"/>
        <w:spacing w:after="0" w:line="238" w:lineRule="auto"/>
        <w:rPr>
          <w:sz w:val="20"/>
          <w:szCs w:val="20"/>
          <w:color w:val="auto"/>
        </w:rPr>
      </w:pPr>
      <w:r>
        <w:rPr>
          <w:rFonts w:ascii="Courier New" w:cs="Courier New" w:eastAsia="Courier New" w:hAnsi="Courier New"/>
          <w:sz w:val="15"/>
          <w:szCs w:val="15"/>
          <w:color w:val="auto"/>
        </w:rPr>
        <w:t>authorities all amounts required to be withheld and paid over under all applicable laws.</w:t>
      </w:r>
    </w:p>
    <w:p>
      <w:pPr>
        <w:spacing w:after="0" w:line="175" w:lineRule="exact"/>
        <w:rPr>
          <w:sz w:val="20"/>
          <w:szCs w:val="20"/>
          <w:color w:val="auto"/>
        </w:rPr>
      </w:pPr>
    </w:p>
    <w:p>
      <w:pPr>
        <w:ind w:left="880" w:right="3119" w:hanging="2"/>
        <w:spacing w:after="0" w:line="239" w:lineRule="auto"/>
        <w:tabs>
          <w:tab w:leader="none" w:pos="1413"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executed any unexpired waiver of any statute of limitations on or extending the period for the assessment or collection of any Tax.</w:t>
      </w:r>
    </w:p>
    <w:p>
      <w:pPr>
        <w:spacing w:after="0" w:line="175" w:lineRule="exact"/>
        <w:rPr>
          <w:rFonts w:ascii="Courier New" w:cs="Courier New" w:eastAsia="Courier New" w:hAnsi="Courier New"/>
          <w:sz w:val="15"/>
          <w:szCs w:val="15"/>
          <w:color w:val="auto"/>
        </w:rPr>
      </w:pPr>
    </w:p>
    <w:p>
      <w:pPr>
        <w:ind w:left="880" w:right="3119" w:hanging="2"/>
        <w:spacing w:after="0"/>
        <w:tabs>
          <w:tab w:leader="none" w:pos="1324"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the Company, no audit or other examination of any Return of the Company or any of its subsidiaries by any Tax authority is presently in progress, nor has the Company or any of its subsidiaries been notified in writing of any request for such an audit or other examination.</w:t>
      </w:r>
    </w:p>
    <w:p>
      <w:pPr>
        <w:spacing w:after="0" w:line="174" w:lineRule="exact"/>
        <w:rPr>
          <w:rFonts w:ascii="Courier New" w:cs="Courier New" w:eastAsia="Courier New" w:hAnsi="Courier New"/>
          <w:sz w:val="15"/>
          <w:szCs w:val="15"/>
          <w:color w:val="auto"/>
        </w:rPr>
      </w:pPr>
    </w:p>
    <w:p>
      <w:pPr>
        <w:ind w:left="880" w:right="3119" w:hanging="2"/>
        <w:spacing w:after="0"/>
        <w:tabs>
          <w:tab w:leader="none" w:pos="1235"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adjustment relating to any Returns filed by the Company or any of its subsidiaries (and no claim by a Tax authority in a jurisdiction in which the Company or any of its subsidiaries does not file Returns that the Company or any of its subsidiaries may be subject to taxation by such jurisdiction) has been proposed in writing formally or informally by any Tax authority to the Company or any of its subsidiaries.</w:t>
      </w:r>
    </w:p>
    <w:p>
      <w:pPr>
        <w:spacing w:after="0" w:line="175" w:lineRule="exact"/>
        <w:rPr>
          <w:rFonts w:ascii="Courier New" w:cs="Courier New" w:eastAsia="Courier New" w:hAnsi="Courier New"/>
          <w:sz w:val="15"/>
          <w:szCs w:val="15"/>
          <w:color w:val="auto"/>
        </w:rPr>
      </w:pPr>
    </w:p>
    <w:p>
      <w:pPr>
        <w:ind w:left="880" w:right="3119" w:hanging="2"/>
        <w:spacing w:after="0"/>
        <w:tabs>
          <w:tab w:leader="none" w:pos="1324"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has any liability for any unpaid Taxes which has not been accrued for or reserved on the Company Balance Sheet in accordance with GAAP, whether asserted or unasserted, contingent or otherwise, other than any liability for unpaid Taxes that may have accrued since September 30, 2001 in connection with the operation of the business of the Company and its subsidiaries in the ordinary course.</w:t>
      </w:r>
    </w:p>
    <w:p>
      <w:pPr>
        <w:spacing w:after="0" w:line="175" w:lineRule="exact"/>
        <w:rPr>
          <w:rFonts w:ascii="Courier New" w:cs="Courier New" w:eastAsia="Courier New" w:hAnsi="Courier New"/>
          <w:sz w:val="15"/>
          <w:szCs w:val="15"/>
          <w:color w:val="auto"/>
        </w:rPr>
      </w:pPr>
    </w:p>
    <w:p>
      <w:pPr>
        <w:ind w:left="880" w:right="3119" w:hanging="2"/>
        <w:spacing w:after="0" w:line="259" w:lineRule="auto"/>
        <w:tabs>
          <w:tab w:leader="none" w:pos="1413"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is no contract, agreement, plan or arrangement to which the Company or any of its subsidiaries is a party as of the date of this Agreement covering any employee or former employee of the Company or any of its subsidiaries that, individually or collectively, would reasonably be expected to give rise to the payment of any amount that would not be deductible pursuant to Sections 404 or 162(m) of the Code. There is no contract, agreement, plan or arrangement to which the Company is a party or by which it is bound to compensate any individual for excise taxes paid pursuant to Section 4999 of the Code.</w:t>
      </w:r>
    </w:p>
    <w:p>
      <w:pPr>
        <w:spacing w:after="0" w:line="166" w:lineRule="exact"/>
        <w:rPr>
          <w:rFonts w:ascii="Courier New" w:cs="Courier New" w:eastAsia="Courier New" w:hAnsi="Courier New"/>
          <w:sz w:val="14"/>
          <w:szCs w:val="14"/>
          <w:color w:val="auto"/>
        </w:rPr>
      </w:pPr>
    </w:p>
    <w:p>
      <w:pPr>
        <w:jc w:val="both"/>
        <w:ind w:left="880" w:right="3119" w:hanging="2"/>
        <w:spacing w:after="0" w:line="258" w:lineRule="auto"/>
        <w:tabs>
          <w:tab w:leader="none" w:pos="1501"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filed any consent agreement under Section 341(f) of the Code or agreed to have Section 341(f)(2) of the Code apply to any disposition of a subsection</w:t>
      </w:r>
    </w:p>
    <w:p>
      <w:pPr>
        <w:ind w:left="880" w:right="3299"/>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(f) asset (as defined in Section 341(f)(4) of the Code) owned by the Company or any of its subsidiaries.</w:t>
      </w:r>
    </w:p>
    <w:p>
      <w:pPr>
        <w:spacing w:after="0" w:line="174" w:lineRule="exact"/>
        <w:rPr>
          <w:rFonts w:ascii="Courier New" w:cs="Courier New" w:eastAsia="Courier New" w:hAnsi="Courier New"/>
          <w:sz w:val="14"/>
          <w:szCs w:val="14"/>
          <w:color w:val="auto"/>
        </w:rPr>
      </w:pPr>
    </w:p>
    <w:p>
      <w:pPr>
        <w:ind w:left="880" w:right="3119" w:hanging="2"/>
        <w:spacing w:after="0"/>
        <w:tabs>
          <w:tab w:leader="none" w:pos="1324"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nor any of its subsidiaries (i) has ever been a member of an affiliated group filing a consolidated federal income Tax Return (other than a consolidated group the common parent of which is the Company), (ii) is a party to any Tax sharing or Tax allocation agreement, arrangement or understanding, (iii) is liable for the Taxes of any other person (other than any of the Company and its subsidiaries) under Treasury Regulation Section 1.1502-6 (or any similar provision of state, local or foreign law), as a transferee or successor, by contract or otherwise, or (iv) is a party to any joint venture, partnership or, to the knowledge of the Company, any other arrangement that could be treated as a partnership for income Tax purposes.</w:t>
      </w:r>
    </w:p>
    <w:p>
      <w:pPr>
        <w:spacing w:after="0" w:line="179" w:lineRule="exact"/>
        <w:rPr>
          <w:rFonts w:ascii="Courier New" w:cs="Courier New" w:eastAsia="Courier New" w:hAnsi="Courier New"/>
          <w:sz w:val="15"/>
          <w:szCs w:val="15"/>
          <w:color w:val="auto"/>
        </w:rPr>
      </w:pPr>
    </w:p>
    <w:p>
      <w:pPr>
        <w:ind w:left="880" w:right="3119" w:hanging="2"/>
        <w:spacing w:after="0" w:line="260" w:lineRule="auto"/>
        <w:tabs>
          <w:tab w:leader="none" w:pos="1235"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of its subsidiaries has constituted either a "distributing corporation" or a "controlled corporation" in a distribution of stock qualifying for tax-free treatment under Section 355 of the Code (i) in the two years prior to the date of this Agreement or (ii) in a distribution which could otherwise constitute part of a "plan" or "series of related transactions" (within the meaning of Section 355(e) of the Code) in conjunction with the Merger.</w:t>
      </w:r>
    </w:p>
    <w:p>
      <w:pPr>
        <w:spacing w:after="0" w:line="163" w:lineRule="exact"/>
        <w:rPr>
          <w:sz w:val="20"/>
          <w:szCs w:val="20"/>
          <w:color w:val="auto"/>
        </w:rPr>
      </w:pPr>
    </w:p>
    <w:p>
      <w:pPr>
        <w:ind w:right="3299"/>
        <w:spacing w:after="0"/>
        <w:rPr>
          <w:sz w:val="20"/>
          <w:szCs w:val="20"/>
          <w:color w:val="auto"/>
        </w:rPr>
      </w:pPr>
      <w:r>
        <w:rPr>
          <w:rFonts w:ascii="Courier New" w:cs="Courier New" w:eastAsia="Courier New" w:hAnsi="Courier New"/>
          <w:sz w:val="15"/>
          <w:szCs w:val="15"/>
          <w:color w:val="auto"/>
        </w:rPr>
        <w:t>2.15 Brokers. Except for fees payable to Goldsmith, Agio, Helms, Securities, Inc. ("GAHS") Company has not incurred, nor will it incur, directly or indirectly, any liability for brokerage or finders fees or agent's commissions or any similar charges in connection with this Agreement or any transaction contemplated hereby.</w:t>
      </w:r>
    </w:p>
    <w:p>
      <w:pPr>
        <w:spacing w:after="0" w:line="174"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2.16 Intellectual Property. For the purposes of this Agreement, the following terms have the following definitions:</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A-15</w:t>
      </w:r>
    </w:p>
    <w:p>
      <w:pPr>
        <w:sectPr>
          <w:pgSz w:w="11900" w:h="16838" w:orient="portrait"/>
          <w:cols w:equalWidth="0" w:num="1">
            <w:col w:w="10219"/>
          </w:cols>
          <w:pgMar w:left="240" w:top="631" w:right="1440" w:bottom="1440" w:gutter="0" w:footer="0" w:header="0"/>
        </w:sectPr>
      </w:pPr>
    </w:p>
    <w:bookmarkStart w:id="99" w:name="page100"/>
    <w:bookmarkEnd w:id="99"/>
    <w:p>
      <w:pPr>
        <w:ind w:left="5" w:right="3119"/>
        <w:spacing w:after="0" w:line="258" w:lineRule="auto"/>
        <w:rPr>
          <w:sz w:val="20"/>
          <w:szCs w:val="20"/>
          <w:color w:val="auto"/>
        </w:rPr>
      </w:pPr>
      <w:r>
        <w:rPr>
          <w:rFonts w:ascii="Courier New" w:cs="Courier New" w:eastAsia="Courier New" w:hAnsi="Courier New"/>
          <w:sz w:val="14"/>
          <w:szCs w:val="14"/>
          <w:color w:val="auto"/>
        </w:rPr>
        <w:t>"Intellectual Property" shall mean any or all of the following and all worldwide common law and statutory rights in, arising out of, or associated therewith: (i) U.S. and foreign patents and applications therefor and all reissues, divisions, renewals, extensions, provisionals, continuations and continuations-in-part thereof ("Patents"); (ii) inventions (whether patentable or not), invention disclosures, improvements, trade secrets, proprietary information, know how, technology, technical data and customer lists, and all documentation relating to any of the foregoing; (iii) copyrights, copyrights registrations and applications therefor, and all other rights corresponding thereto throughout the world; (iv) domain names, uniform resource locators ("URLs"), other names and locators associated with the Internet, and applications or registrations therefor ("Domain Names"); (v) industrial designs and any registrations and applications therefor; (vi) trade names, logos, common law trademarks and service marks, trademark and service mark registrations, related goodwill and applications therefor throughout the world; (vii) all databases and data collections and all rights therein; (viii) all moral and economic rights of authors and inventors, however denominated, (ix) any works of authorship, including, without limitation, computer programs, source code, executable code, whether embodied in software, firmware or otherwise, documentation, designs, files, records, data and mask works; and (x) any similar or equivalent rights to any of the foregoing (as applicable).</w:t>
      </w:r>
    </w:p>
    <w:p>
      <w:pPr>
        <w:spacing w:after="0" w:line="345" w:lineRule="exact"/>
        <w:rPr>
          <w:sz w:val="20"/>
          <w:szCs w:val="20"/>
          <w:color w:val="auto"/>
        </w:rPr>
      </w:pPr>
    </w:p>
    <w:p>
      <w:pPr>
        <w:ind w:left="5" w:right="3299"/>
        <w:spacing w:after="0" w:line="271" w:lineRule="auto"/>
        <w:rPr>
          <w:sz w:val="20"/>
          <w:szCs w:val="20"/>
          <w:color w:val="auto"/>
        </w:rPr>
      </w:pPr>
      <w:r>
        <w:rPr>
          <w:rFonts w:ascii="Courier New" w:cs="Courier New" w:eastAsia="Courier New" w:hAnsi="Courier New"/>
          <w:sz w:val="14"/>
          <w:szCs w:val="14"/>
          <w:color w:val="auto"/>
        </w:rPr>
        <w:t>"Company Intellectual Property" shall mean any Intellectual Property that is owned by, or exclusively licensed to, Company and it subsidiaries.</w:t>
      </w:r>
    </w:p>
    <w:p>
      <w:pPr>
        <w:spacing w:after="0" w:line="154" w:lineRule="exact"/>
        <w:rPr>
          <w:sz w:val="20"/>
          <w:szCs w:val="20"/>
          <w:color w:val="auto"/>
        </w:rPr>
      </w:pPr>
    </w:p>
    <w:p>
      <w:pPr>
        <w:ind w:left="5" w:right="3219"/>
        <w:spacing w:after="0" w:line="239" w:lineRule="auto"/>
        <w:rPr>
          <w:sz w:val="20"/>
          <w:szCs w:val="20"/>
          <w:color w:val="auto"/>
        </w:rPr>
      </w:pPr>
      <w:r>
        <w:rPr>
          <w:rFonts w:ascii="Courier New" w:cs="Courier New" w:eastAsia="Courier New" w:hAnsi="Courier New"/>
          <w:sz w:val="15"/>
          <w:szCs w:val="15"/>
          <w:color w:val="auto"/>
        </w:rPr>
        <w:t>"Registered Intellectual Property" means all Intellectual Property that is the subject of an application, certificate, filing, registration or other document issued, filed with, or recorded by any private, state, government or other legal authority.</w:t>
      </w:r>
    </w:p>
    <w:p>
      <w:pPr>
        <w:spacing w:after="0" w:line="176" w:lineRule="exact"/>
        <w:rPr>
          <w:sz w:val="20"/>
          <w:szCs w:val="20"/>
          <w:color w:val="auto"/>
        </w:rPr>
      </w:pPr>
    </w:p>
    <w:p>
      <w:pPr>
        <w:ind w:left="5" w:right="3219"/>
        <w:spacing w:after="0" w:line="239" w:lineRule="auto"/>
        <w:rPr>
          <w:sz w:val="20"/>
          <w:szCs w:val="20"/>
          <w:color w:val="auto"/>
        </w:rPr>
      </w:pPr>
      <w:r>
        <w:rPr>
          <w:rFonts w:ascii="Courier New" w:cs="Courier New" w:eastAsia="Courier New" w:hAnsi="Courier New"/>
          <w:sz w:val="15"/>
          <w:szCs w:val="15"/>
          <w:color w:val="auto"/>
        </w:rPr>
        <w:t>"Company Registered Intellectual Property" means all of the Registered Intellectual Property owned by, or filed in the name of, Company or any of its subsidiaries.</w:t>
      </w:r>
    </w:p>
    <w:p>
      <w:pPr>
        <w:spacing w:after="0" w:line="175" w:lineRule="exact"/>
        <w:rPr>
          <w:sz w:val="20"/>
          <w:szCs w:val="20"/>
          <w:color w:val="auto"/>
        </w:rPr>
      </w:pPr>
    </w:p>
    <w:p>
      <w:pPr>
        <w:ind w:left="5" w:right="3119" w:hanging="5"/>
        <w:spacing w:after="0"/>
        <w:tabs>
          <w:tab w:leader="none" w:pos="3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2.16(a) of the Company Schedule is a complete and accurate list of all Company Registered Intellectual Property and specifies, where applicable, the jurisdictions in which each such item of Company Registered Intellectual Property has been issued or registered, the filing date, and the current status of each such item of Company Registered Intellectual Property.</w:t>
      </w:r>
    </w:p>
    <w:p>
      <w:pPr>
        <w:spacing w:after="0" w:line="172" w:lineRule="exact"/>
        <w:rPr>
          <w:rFonts w:ascii="Courier New" w:cs="Courier New" w:eastAsia="Courier New" w:hAnsi="Courier New"/>
          <w:sz w:val="15"/>
          <w:szCs w:val="15"/>
          <w:color w:val="auto"/>
        </w:rPr>
      </w:pPr>
    </w:p>
    <w:p>
      <w:pPr>
        <w:ind w:left="345" w:hanging="345"/>
        <w:spacing w:after="0"/>
        <w:tabs>
          <w:tab w:leader="none" w:pos="345"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Company Intellectual Property or product or service offering of</w:t>
      </w:r>
    </w:p>
    <w:p>
      <w:pPr>
        <w:spacing w:after="0" w:line="3" w:lineRule="exact"/>
        <w:rPr>
          <w:rFonts w:ascii="Courier New" w:cs="Courier New" w:eastAsia="Courier New" w:hAnsi="Courier New"/>
          <w:sz w:val="15"/>
          <w:szCs w:val="15"/>
          <w:color w:val="auto"/>
        </w:rPr>
      </w:pPr>
    </w:p>
    <w:p>
      <w:pPr>
        <w:ind w:left="5"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 or any of its subsidiaries (a "Company Product") is subject to any proceeding or outstanding decree, order, judgment, or stipulation restricting in any manner, or any contract, license, or agreement, restricting in any material manner the use, transfer, or licensing thereof by Company or any of its subsidiaries, or which may affect the validity, use or enforceability of such Company Intellectual Property or Company Product, except as identified in the Company Schedule.</w:t>
      </w:r>
    </w:p>
    <w:p>
      <w:pPr>
        <w:spacing w:after="0" w:line="175" w:lineRule="exact"/>
        <w:rPr>
          <w:rFonts w:ascii="Courier New" w:cs="Courier New" w:eastAsia="Courier New" w:hAnsi="Courier New"/>
          <w:sz w:val="15"/>
          <w:szCs w:val="15"/>
          <w:color w:val="auto"/>
        </w:rPr>
      </w:pPr>
    </w:p>
    <w:p>
      <w:pPr>
        <w:ind w:left="5" w:right="3219" w:hanging="5"/>
        <w:spacing w:after="0"/>
        <w:tabs>
          <w:tab w:leader="none" w:pos="3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item of Company Registered Intellectual Property is valid and subsisting, all necessary registration, maintenance and renewal fees currently due in connection with such Company Registered Intellectual Property have been made and all necessary documents, recordations and certificates in connection with such Company Registered Intellectual Property have been filed with the relevant patent, copyright, trademark or other authorities in the United States or foreign jurisdictions, as the case may be, for the purposes of maintaining such Company Registered Intellectual Property, except where such Company Registered Intellectual Property has been intentionally abandoned by the Company, as reflected in section 2.16(a) of the Company Schedule.</w:t>
      </w:r>
    </w:p>
    <w:p>
      <w:pPr>
        <w:spacing w:after="0" w:line="178" w:lineRule="exact"/>
        <w:rPr>
          <w:rFonts w:ascii="Courier New" w:cs="Courier New" w:eastAsia="Courier New" w:hAnsi="Courier New"/>
          <w:sz w:val="15"/>
          <w:szCs w:val="15"/>
          <w:color w:val="auto"/>
        </w:rPr>
      </w:pPr>
    </w:p>
    <w:p>
      <w:pPr>
        <w:ind w:left="5" w:right="3119" w:hanging="5"/>
        <w:spacing w:after="0" w:line="258" w:lineRule="auto"/>
        <w:tabs>
          <w:tab w:leader="none" w:pos="36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Company owns and has good and exclusive title to, each item of Company Intellectual Property owned by it free and clear of any lien or encumbrance (excluding non-exclusive licenses and related restrictions granted in the ordinary course). Without limiting the foregoing: (i) Company is the exclusive owner of all trademarks and trade names used in connection with the operation or conduct of the business of Company and its subsidiaries, including the sale, distribution or provision of any Company Products by Company or its subsidiaries; (ii) Company owns exclusively, and has good title to, all copyrighted works that are Company Products or services or which Company or any of its subsidiaries otherwise purports to own; and</w:t>
      </w:r>
    </w:p>
    <w:p>
      <w:pPr>
        <w:ind w:left="525" w:hanging="525"/>
        <w:spacing w:after="0"/>
        <w:tabs>
          <w:tab w:leader="none" w:pos="525"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Patents would be infringed by any Company</w:t>
      </w:r>
    </w:p>
    <w:p>
      <w:pPr>
        <w:spacing w:after="0" w:line="342"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A-16</w:t>
      </w:r>
    </w:p>
    <w:p>
      <w:pPr>
        <w:sectPr>
          <w:pgSz w:w="11900" w:h="16838" w:orient="portrait"/>
          <w:cols w:equalWidth="0" w:num="1">
            <w:col w:w="9784"/>
          </w:cols>
          <w:pgMar w:left="675" w:top="631" w:right="1440" w:bottom="1440" w:gutter="0" w:footer="0" w:header="0"/>
        </w:sectPr>
      </w:pPr>
    </w:p>
    <w:bookmarkStart w:id="100" w:name="page101"/>
    <w:bookmarkEnd w:id="100"/>
    <w:p>
      <w:pPr>
        <w:ind w:left="5" w:right="3399"/>
        <w:spacing w:after="0" w:line="238" w:lineRule="auto"/>
        <w:rPr>
          <w:sz w:val="20"/>
          <w:szCs w:val="20"/>
          <w:color w:val="auto"/>
        </w:rPr>
      </w:pPr>
      <w:r>
        <w:rPr>
          <w:rFonts w:ascii="Courier New" w:cs="Courier New" w:eastAsia="Courier New" w:hAnsi="Courier New"/>
          <w:sz w:val="15"/>
          <w:szCs w:val="15"/>
          <w:color w:val="auto"/>
        </w:rPr>
        <w:t>Products, Company is the exclusive owner of such Patents, or has secured appropriate rights through license or other agreement.</w:t>
      </w:r>
    </w:p>
    <w:p>
      <w:pPr>
        <w:spacing w:after="0" w:line="175" w:lineRule="exact"/>
        <w:rPr>
          <w:sz w:val="20"/>
          <w:szCs w:val="20"/>
          <w:color w:val="auto"/>
        </w:rPr>
      </w:pPr>
    </w:p>
    <w:p>
      <w:pPr>
        <w:ind w:left="5" w:right="3119" w:hanging="5"/>
        <w:spacing w:after="0"/>
        <w:tabs>
          <w:tab w:leader="none" w:pos="36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agreements between Company and third parties for the development or manufacture of a Company product shall permit Company to continue the development or manufacture of any such product notwithstanding any termination or expiration of such agreement(s), without the payment of any additional royalty, fee or other payment to any such third party.</w:t>
      </w:r>
    </w:p>
    <w:p>
      <w:pPr>
        <w:spacing w:after="0" w:line="174" w:lineRule="exact"/>
        <w:rPr>
          <w:rFonts w:ascii="Courier New" w:cs="Courier New" w:eastAsia="Courier New" w:hAnsi="Courier New"/>
          <w:sz w:val="15"/>
          <w:szCs w:val="15"/>
          <w:color w:val="auto"/>
        </w:rPr>
      </w:pPr>
    </w:p>
    <w:p>
      <w:pPr>
        <w:ind w:left="5" w:right="3119" w:hanging="5"/>
        <w:spacing w:after="0"/>
        <w:tabs>
          <w:tab w:leader="none" w:pos="36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knows of no information, materials, facts, or circumstances, including any information or fact that would constitute prior art, that would render any of the Company Registered Intellectual Property invalid or unenforceable, or would adversely affect any pending application for any Company Registered Intellectual Property and the Company has not misrepresented, or knowingly failed to disclose, any facts or circumstances in any application for any Company Registered Intellectual Property that would constitute fraud or a misrepresentation with respect to such application or that would otherwise affect the validity or enforceability of any Company Registered Intellectual Property.</w:t>
      </w:r>
    </w:p>
    <w:p>
      <w:pPr>
        <w:spacing w:after="0" w:line="178" w:lineRule="exact"/>
        <w:rPr>
          <w:rFonts w:ascii="Courier New" w:cs="Courier New" w:eastAsia="Courier New" w:hAnsi="Courier New"/>
          <w:sz w:val="15"/>
          <w:szCs w:val="15"/>
          <w:color w:val="auto"/>
        </w:rPr>
      </w:pPr>
    </w:p>
    <w:p>
      <w:pPr>
        <w:ind w:left="5" w:right="3119" w:hanging="5"/>
        <w:spacing w:after="0"/>
        <w:tabs>
          <w:tab w:leader="none" w:pos="36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technology, software or Intellectual Property has been developed or created independently or jointly by a third party or employee for Company or any of its subsidiaries or is incorporated into any of the Company Products, Company has a written agreement with such third party or employee with respect thereto and Company thereby either (i) has obtained ownership of, and is the exclusive owner of, or (ii) has obtained a perpetual, non-terminable license (sufficient for the conduct of its business as currently conducted and as proposed to be conducted) to all such third party's Intellectual Property in such work, material or invention by operation of law or by valid assignment.</w:t>
      </w:r>
    </w:p>
    <w:p>
      <w:pPr>
        <w:spacing w:after="0" w:line="178" w:lineRule="exact"/>
        <w:rPr>
          <w:rFonts w:ascii="Courier New" w:cs="Courier New" w:eastAsia="Courier New" w:hAnsi="Courier New"/>
          <w:sz w:val="15"/>
          <w:szCs w:val="15"/>
          <w:color w:val="auto"/>
        </w:rPr>
      </w:pPr>
    </w:p>
    <w:p>
      <w:pPr>
        <w:ind w:left="5" w:right="3219" w:hanging="5"/>
        <w:spacing w:after="0"/>
        <w:tabs>
          <w:tab w:leader="none" w:pos="36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Company nor any of its subsidiaries has transferred ownership of any Intellectual Property that is Company Intellectual Property, to any third party or subsidiary (other than a wholly-owned subsidiary), or knowingly permitted Company's rights in such Company Intellectual Property to lapse or enter the public domain, except as noted in the Company Schedule.</w:t>
      </w:r>
    </w:p>
    <w:p>
      <w:pPr>
        <w:spacing w:after="0" w:line="175" w:lineRule="exact"/>
        <w:rPr>
          <w:rFonts w:ascii="Courier New" w:cs="Courier New" w:eastAsia="Courier New" w:hAnsi="Courier New"/>
          <w:sz w:val="15"/>
          <w:szCs w:val="15"/>
          <w:color w:val="auto"/>
        </w:rPr>
      </w:pPr>
    </w:p>
    <w:p>
      <w:pPr>
        <w:ind w:left="5" w:right="3299" w:hanging="5"/>
        <w:spacing w:after="0" w:line="260" w:lineRule="auto"/>
        <w:tabs>
          <w:tab w:leader="none" w:pos="36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Section 2.16(i) of the Company Schedule lists all material contracts, licenses and agreements to which Company or any of its subsidiaries is a party: (i) with respect to Company Intellectual Property licensed or transferred to any third party (other than end-user licenses in the ordinary course); or (ii) pursuant to which a third party has licensed or transferred any material Intellectual Property to Company.</w:t>
      </w:r>
    </w:p>
    <w:p>
      <w:pPr>
        <w:spacing w:after="0" w:line="163" w:lineRule="exact"/>
        <w:rPr>
          <w:rFonts w:ascii="Courier New" w:cs="Courier New" w:eastAsia="Courier New" w:hAnsi="Courier New"/>
          <w:sz w:val="14"/>
          <w:szCs w:val="14"/>
          <w:color w:val="auto"/>
        </w:rPr>
      </w:pPr>
    </w:p>
    <w:p>
      <w:pPr>
        <w:ind w:left="5" w:right="3119" w:hanging="5"/>
        <w:spacing w:after="0" w:line="258" w:lineRule="auto"/>
        <w:tabs>
          <w:tab w:leader="none" w:pos="360"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material contracts, licenses and agreements relating to either (i) Company Intellectual Property or (ii) Intellectual Property of a third party licensed to Company or any of its subsidiaries, including, without limitation, third party licenses to Company relating to or in any way permitting Company Products, services or Company Intellectual Property to interoperate with other products, systems or standards, are in full force and effect. The consummation of the transactions contemplated by this Agreement will neither violate nor result in the breach, modification, cancellation, termination or suspension of such contracts, licenses and agreements. Each of Company and its subsidiaries is in material compliance with, and has not materially breached any term of any such contracts, licenses and agreements and, to the knowledge of Company, all other parties to such contracts, licenses and agreements are in compliance with, and have not materially breached any term of, such contracts, licenses and agreements. Following the Closing Date, the Surviving Corporation will be permitted to exercise all of Company's rights under such contracts, licenses and agreements to the same extent Company and its subsidiaries would have been able to had the transactions contemplated by this Agreement not occurred and without the payment of any additional amounts or consideration other than ongoing fees, royalties or payments which Company would otherwise be required to pay. Neither this Agreement nor the transactions contemplated by this Agreement, including the assignment to Parent or Merger Sub by operation of law or otherwise of any contracts or agreements to which Company is a party, will result in (i) either Parent's or the Merger Sub's granting to any third party any right to or with respect to any material Intellectual Property right owned by, or licensed to, either of them, (ii) either Parent's or the Merger Sub's being bound by, or subject to, any non-compete or other material restriction on the operation or scope of their respective businesses, or (iii) either Parent's or the Merger Sub's being obligated to pay any royalties or other material amounts to any third party in excess of those payable by Parent or Merger Sub, respectively prior to the Closing.</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A-17</w:t>
      </w:r>
    </w:p>
    <w:p>
      <w:pPr>
        <w:sectPr>
          <w:pgSz w:w="11900" w:h="16838" w:orient="portrait"/>
          <w:cols w:equalWidth="0" w:num="1">
            <w:col w:w="9784"/>
          </w:cols>
          <w:pgMar w:left="675" w:top="630" w:right="1440" w:bottom="1440" w:gutter="0" w:footer="0" w:header="0"/>
        </w:sectPr>
      </w:pPr>
    </w:p>
    <w:bookmarkStart w:id="101" w:name="page102"/>
    <w:bookmarkEnd w:id="101"/>
    <w:p>
      <w:pPr>
        <w:ind w:left="440" w:right="3119" w:hanging="5"/>
        <w:spacing w:after="0"/>
        <w:tabs>
          <w:tab w:leader="none" w:pos="79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operation of the business of Company and its subsidiaries as such business currently is conducted or is currently contemplated to be conducted, including (i) Company's and its subsidiaries' design, development, manufacture, distribution, import, reproduction, marketing or sale of the products or services of Company and its subsidiaries (including Company Products and products, technology or service offerings under development) and (ii) Company's use of any product, device or process, has not, does not and, to its knowledge, will not infringe or misappropriate the Intellectual Property of any third party or constitute unfair competition or trade practices under the laws of any jurisdiction.</w:t>
      </w:r>
    </w:p>
    <w:p>
      <w:pPr>
        <w:spacing w:after="0" w:line="178" w:lineRule="exact"/>
        <w:rPr>
          <w:rFonts w:ascii="Courier New" w:cs="Courier New" w:eastAsia="Courier New" w:hAnsi="Courier New"/>
          <w:sz w:val="15"/>
          <w:szCs w:val="15"/>
          <w:color w:val="auto"/>
        </w:rPr>
      </w:pPr>
    </w:p>
    <w:p>
      <w:pPr>
        <w:ind w:left="440" w:right="3119" w:hanging="5"/>
        <w:spacing w:after="0" w:line="260" w:lineRule="auto"/>
        <w:tabs>
          <w:tab w:leader="none" w:pos="795"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Company nor any of its subsidiaries has received written notice from any third party alleging that the operation of the business of Company or any of its subsidiaries or any act, product or service (including Products, technology or service offerings currently under development) of Company or any of its subsidiaries, infringes or misappropriates the Intellectual Property of any third party or constitutes unfair competition or trade practices under the laws of any jurisdiction, except as otherwise noted herein and resolved through appropriate license or other agreement.</w:t>
      </w:r>
    </w:p>
    <w:p>
      <w:pPr>
        <w:spacing w:after="0" w:line="161" w:lineRule="exact"/>
        <w:rPr>
          <w:rFonts w:ascii="Courier New" w:cs="Courier New" w:eastAsia="Courier New" w:hAnsi="Courier New"/>
          <w:sz w:val="14"/>
          <w:szCs w:val="14"/>
          <w:color w:val="auto"/>
        </w:rPr>
      </w:pPr>
    </w:p>
    <w:p>
      <w:pPr>
        <w:ind w:left="440" w:right="3919" w:hanging="5"/>
        <w:spacing w:after="0" w:line="238" w:lineRule="auto"/>
        <w:tabs>
          <w:tab w:leader="none" w:pos="79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Company, no person has or is infringing or misappropriating any Company Intellectual Property.</w:t>
      </w:r>
    </w:p>
    <w:p>
      <w:pPr>
        <w:spacing w:after="0" w:line="174" w:lineRule="exact"/>
        <w:rPr>
          <w:rFonts w:ascii="Courier New" w:cs="Courier New" w:eastAsia="Courier New" w:hAnsi="Courier New"/>
          <w:sz w:val="15"/>
          <w:szCs w:val="15"/>
          <w:color w:val="auto"/>
        </w:rPr>
      </w:pPr>
    </w:p>
    <w:p>
      <w:pPr>
        <w:ind w:left="440" w:right="3119" w:hanging="5"/>
        <w:spacing w:after="0"/>
        <w:tabs>
          <w:tab w:leader="none" w:pos="79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and each of its subsidiaries has taken reasonable steps to protect Company's and its subsidiaries' rights in Company's confidential information and trade secrets that it wishes to protect or any trade secrets or confidential information of third parties provided to Company or any of its subsidiaries, and, without limiting the foregoing, each of Company and its subsidiaries has required each employee and contractor to execute a proprietary information/confidentiality agreement and all current and former employees and contractors of Company and any of its subsidiaries have executed such an agreement, except where the failure to do so is not reasonably expected to be material to Company.</w:t>
      </w:r>
    </w:p>
    <w:p>
      <w:pPr>
        <w:spacing w:after="0" w:line="178" w:lineRule="exact"/>
        <w:rPr>
          <w:rFonts w:ascii="Courier New" w:cs="Courier New" w:eastAsia="Courier New" w:hAnsi="Courier New"/>
          <w:sz w:val="15"/>
          <w:szCs w:val="15"/>
          <w:color w:val="auto"/>
        </w:rPr>
      </w:pPr>
    </w:p>
    <w:p>
      <w:pPr>
        <w:ind w:left="440" w:right="3219" w:hanging="5"/>
        <w:spacing w:after="0"/>
        <w:tabs>
          <w:tab w:leader="none" w:pos="79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knowledge of Company and each of its subsidiaries, no (i) product, technology, service or publication of the Company, (ii) material or collateral published or distributed by the Company, or (iii) conduct or statement of the Company constitutes obscene material, a defamatory statement or material, disparagement of any third party, or false advertising.</w:t>
      </w:r>
    </w:p>
    <w:p>
      <w:pPr>
        <w:spacing w:after="0" w:line="175" w:lineRule="exact"/>
        <w:rPr>
          <w:rFonts w:ascii="Courier New" w:cs="Courier New" w:eastAsia="Courier New" w:hAnsi="Courier New"/>
          <w:sz w:val="15"/>
          <w:szCs w:val="15"/>
          <w:color w:val="auto"/>
        </w:rPr>
      </w:pPr>
    </w:p>
    <w:p>
      <w:pPr>
        <w:ind w:left="440" w:right="3119" w:hanging="5"/>
        <w:spacing w:after="0" w:line="239" w:lineRule="auto"/>
        <w:tabs>
          <w:tab w:leader="none" w:pos="79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Company Intellectual Property was developed by or on behalf of, or using grants or any other subsidies of, any governmental entity or any university.</w:t>
      </w:r>
    </w:p>
    <w:p>
      <w:pPr>
        <w:spacing w:after="0" w:line="175" w:lineRule="exact"/>
        <w:rPr>
          <w:rFonts w:ascii="Courier New" w:cs="Courier New" w:eastAsia="Courier New" w:hAnsi="Courier New"/>
          <w:sz w:val="15"/>
          <w:szCs w:val="15"/>
          <w:color w:val="auto"/>
        </w:rPr>
      </w:pPr>
    </w:p>
    <w:p>
      <w:pPr>
        <w:ind w:left="440" w:right="3119" w:hanging="5"/>
        <w:spacing w:after="0" w:line="239" w:lineRule="auto"/>
        <w:tabs>
          <w:tab w:leader="none" w:pos="795"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Schedule 2.16(q) contains a list of all materials actions that are required to be taken by the Company within ninety (90) days of the date hereof with respect to any of the foregoing Company Registered Intellectual Property.</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2.17 Agreements, Contracts and Commitments.</w:t>
      </w:r>
    </w:p>
    <w:p>
      <w:pPr>
        <w:spacing w:after="0" w:line="174" w:lineRule="exact"/>
        <w:rPr>
          <w:sz w:val="20"/>
          <w:szCs w:val="20"/>
          <w:color w:val="auto"/>
        </w:rPr>
      </w:pPr>
    </w:p>
    <w:p>
      <w:pPr>
        <w:ind w:left="440" w:right="3119" w:hanging="5"/>
        <w:spacing w:after="0" w:line="238" w:lineRule="auto"/>
        <w:tabs>
          <w:tab w:leader="none" w:pos="795"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set forth on Schedule 2.17(a), neither Company nor any of its subsidiaries is a party to or is bound by:</w:t>
      </w:r>
    </w:p>
    <w:p>
      <w:pPr>
        <w:spacing w:after="0" w:line="174" w:lineRule="exact"/>
        <w:rPr>
          <w:rFonts w:ascii="Courier New" w:cs="Courier New" w:eastAsia="Courier New" w:hAnsi="Courier New"/>
          <w:sz w:val="15"/>
          <w:szCs w:val="15"/>
          <w:color w:val="auto"/>
        </w:rPr>
      </w:pPr>
    </w:p>
    <w:p>
      <w:pPr>
        <w:ind w:left="880" w:right="3119" w:hanging="2"/>
        <w:spacing w:after="0"/>
        <w:tabs>
          <w:tab w:leader="none" w:pos="1235" w:val="left"/>
        </w:tabs>
        <w:numPr>
          <w:ilvl w:val="1"/>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written employment or consulting agreement, contract or commitment with any officer, director, Company employee or member of the Company's Board of Directors (sometimes, the "Company Board"), or any service, operating or management agreement or arrangement with respect to any of its properties (whether leased or owned), other than those that are terminable by Company or any of its subsidiaries on no more than thirty (30) days' notice without liability or financial obligation to Company;</w:t>
      </w:r>
    </w:p>
    <w:p>
      <w:pPr>
        <w:spacing w:after="0" w:line="176" w:lineRule="exact"/>
        <w:rPr>
          <w:rFonts w:ascii="Courier New" w:cs="Courier New" w:eastAsia="Courier New" w:hAnsi="Courier New"/>
          <w:sz w:val="15"/>
          <w:szCs w:val="15"/>
          <w:color w:val="auto"/>
        </w:rPr>
      </w:pPr>
    </w:p>
    <w:p>
      <w:pPr>
        <w:ind w:left="880" w:right="3119" w:hanging="2"/>
        <w:spacing w:after="0" w:line="261" w:lineRule="auto"/>
        <w:tabs>
          <w:tab w:leader="none" w:pos="1324" w:val="left"/>
        </w:tabs>
        <w:numPr>
          <w:ilvl w:val="1"/>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or plan, including, without limitation, any stock option plan, stock appreciation right plan or stock purchase plan, any of the benefits of which will be increased, or the vesting of benefits of which will be accelerated, by the occurrence of any of the transactions contemplated by this Agreement or the value of any of the</w:t>
      </w:r>
    </w:p>
    <w:p>
      <w:pPr>
        <w:spacing w:after="0" w:line="330"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A-18</w:t>
      </w:r>
    </w:p>
    <w:p>
      <w:pPr>
        <w:sectPr>
          <w:pgSz w:w="11900" w:h="16838" w:orient="portrait"/>
          <w:cols w:equalWidth="0" w:num="1">
            <w:col w:w="10219"/>
          </w:cols>
          <w:pgMar w:left="240" w:top="631" w:right="1440" w:bottom="1440" w:gutter="0" w:footer="0" w:header="0"/>
        </w:sectPr>
      </w:pPr>
    </w:p>
    <w:bookmarkStart w:id="102" w:name="page103"/>
    <w:bookmarkEnd w:id="102"/>
    <w:p>
      <w:pPr>
        <w:ind w:left="445" w:right="3759"/>
        <w:spacing w:after="0" w:line="238" w:lineRule="auto"/>
        <w:rPr>
          <w:sz w:val="20"/>
          <w:szCs w:val="20"/>
          <w:color w:val="auto"/>
        </w:rPr>
      </w:pPr>
      <w:r>
        <w:rPr>
          <w:rFonts w:ascii="Courier New" w:cs="Courier New" w:eastAsia="Courier New" w:hAnsi="Courier New"/>
          <w:sz w:val="15"/>
          <w:szCs w:val="15"/>
          <w:color w:val="auto"/>
        </w:rPr>
        <w:t>benefits of which will be calculated on the basis of any of the transactions contemplated by this Agreement;</w:t>
      </w:r>
    </w:p>
    <w:p>
      <w:pPr>
        <w:spacing w:after="0" w:line="175" w:lineRule="exact"/>
        <w:rPr>
          <w:sz w:val="20"/>
          <w:szCs w:val="20"/>
          <w:color w:val="auto"/>
        </w:rPr>
      </w:pPr>
    </w:p>
    <w:p>
      <w:pPr>
        <w:ind w:left="445" w:right="3299" w:hanging="2"/>
        <w:spacing w:after="0" w:line="239" w:lineRule="auto"/>
        <w:tabs>
          <w:tab w:leader="none" w:pos="978"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of indemnification or any guaranty, other than maintenance agreements and product warranties, or agreements of indemnification entered into in connection with the sale of products in the ordinary course of business in excess of $50,000;</w:t>
      </w:r>
    </w:p>
    <w:p>
      <w:pPr>
        <w:spacing w:after="0" w:line="176" w:lineRule="exact"/>
        <w:rPr>
          <w:rFonts w:ascii="Courier New" w:cs="Courier New" w:eastAsia="Courier New" w:hAnsi="Courier New"/>
          <w:sz w:val="15"/>
          <w:szCs w:val="15"/>
          <w:color w:val="auto"/>
        </w:rPr>
      </w:pPr>
    </w:p>
    <w:p>
      <w:pPr>
        <w:ind w:left="445" w:right="3219" w:hanging="2"/>
        <w:spacing w:after="0" w:line="239" w:lineRule="auto"/>
        <w:tabs>
          <w:tab w:leader="none" w:pos="889"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agreement, contract or commitment containing any covenant limiting in any respect the right of Company or any of its subsidiaries to engage in any line of business or to compete with any person or entity or granting any exclusive distribution rights;</w:t>
      </w:r>
    </w:p>
    <w:p>
      <w:pPr>
        <w:spacing w:after="0" w:line="176" w:lineRule="exact"/>
        <w:rPr>
          <w:rFonts w:ascii="Courier New" w:cs="Courier New" w:eastAsia="Courier New" w:hAnsi="Courier New"/>
          <w:sz w:val="15"/>
          <w:szCs w:val="15"/>
          <w:color w:val="auto"/>
        </w:rPr>
      </w:pPr>
    </w:p>
    <w:p>
      <w:pPr>
        <w:ind w:left="445" w:right="3219" w:hanging="2"/>
        <w:spacing w:after="0" w:line="260" w:lineRule="auto"/>
        <w:tabs>
          <w:tab w:leader="none" w:pos="800"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contract or commitment currently in force relating to the disposition or acquisition by Company or any of its subsidiaries after the date of this Agreement of an amount of assets in excess of $100,000 not in the ordinary course of business or pursuant to which Company or any of its subsidiaries has any material ownership interest in any corporation, partnership, joint venture or other business enterprise other than Company's subsidiaries;</w:t>
      </w:r>
    </w:p>
    <w:p>
      <w:pPr>
        <w:spacing w:after="0" w:line="162" w:lineRule="exact"/>
        <w:rPr>
          <w:rFonts w:ascii="Courier New" w:cs="Courier New" w:eastAsia="Courier New" w:hAnsi="Courier New"/>
          <w:sz w:val="14"/>
          <w:szCs w:val="14"/>
          <w:color w:val="auto"/>
        </w:rPr>
      </w:pPr>
    </w:p>
    <w:p>
      <w:pPr>
        <w:ind w:left="445" w:right="3119" w:hanging="2"/>
        <w:spacing w:after="0"/>
        <w:tabs>
          <w:tab w:leader="none" w:pos="889"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dealer, distributor, joint marketing or development agreement currently in force under which Company or any of its subsidiaries have continuing material obligations to jointly market any product, technology or service and which may not be canceled without penalty upon notice of ninety (90) days or less, or any material agreement pursuant to which Company or any of its subsidiaries have continuing material obligations to jointly develop any intellectual property that will not be owned, in whole or in part, by Company or any of its subsidiaries and which may not be canceled without penalty upon notice of ninety (90) days or less;</w:t>
      </w:r>
    </w:p>
    <w:p>
      <w:pPr>
        <w:spacing w:after="0" w:line="178" w:lineRule="exact"/>
        <w:rPr>
          <w:rFonts w:ascii="Courier New" w:cs="Courier New" w:eastAsia="Courier New" w:hAnsi="Courier New"/>
          <w:sz w:val="15"/>
          <w:szCs w:val="15"/>
          <w:color w:val="auto"/>
        </w:rPr>
      </w:pPr>
    </w:p>
    <w:p>
      <w:pPr>
        <w:ind w:left="445" w:right="3119" w:hanging="2"/>
        <w:spacing w:after="0"/>
        <w:tabs>
          <w:tab w:leader="none" w:pos="978"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contract or commitment currently in force to license to or from any third party to manufacture or reproduce any Company product, service or technology or any agreement, contract or commitment currently in force to sell or distribute any Company products, service or technology except agreements with distributors or sales representative in the normal course of business cancelable without penalty upon notice of ninety (90) days or less and substantially in the form previously provided to Parent;</w:t>
      </w:r>
    </w:p>
    <w:p>
      <w:pPr>
        <w:spacing w:after="0" w:line="176" w:lineRule="exact"/>
        <w:rPr>
          <w:rFonts w:ascii="Courier New" w:cs="Courier New" w:eastAsia="Courier New" w:hAnsi="Courier New"/>
          <w:sz w:val="15"/>
          <w:szCs w:val="15"/>
          <w:color w:val="auto"/>
        </w:rPr>
      </w:pPr>
    </w:p>
    <w:p>
      <w:pPr>
        <w:ind w:left="445" w:right="3299" w:hanging="2"/>
        <w:spacing w:after="0" w:line="264" w:lineRule="auto"/>
        <w:tabs>
          <w:tab w:leader="none" w:pos="1067"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agreement, contract or commitment currently in force to provide source code to any third party for any product or technology that is material to Company and its subsidiaries taken as a whole;</w:t>
      </w:r>
    </w:p>
    <w:p>
      <w:pPr>
        <w:spacing w:after="0" w:line="159" w:lineRule="exact"/>
        <w:rPr>
          <w:rFonts w:ascii="Courier New" w:cs="Courier New" w:eastAsia="Courier New" w:hAnsi="Courier New"/>
          <w:sz w:val="14"/>
          <w:szCs w:val="14"/>
          <w:color w:val="auto"/>
        </w:rPr>
      </w:pPr>
    </w:p>
    <w:p>
      <w:pPr>
        <w:ind w:left="445" w:right="3479" w:hanging="2"/>
        <w:spacing w:after="0" w:line="264" w:lineRule="auto"/>
        <w:tabs>
          <w:tab w:leader="none" w:pos="889" w:val="left"/>
        </w:tabs>
        <w:numPr>
          <w:ilvl w:val="1"/>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mortgages, indentures, guarantees, loans or credit agreements, security agreements or other agreements or instruments relating to the borrowing of money or extension of credit;</w:t>
      </w:r>
    </w:p>
    <w:p>
      <w:pPr>
        <w:spacing w:after="0" w:line="159" w:lineRule="exact"/>
        <w:rPr>
          <w:rFonts w:ascii="Courier New" w:cs="Courier New" w:eastAsia="Courier New" w:hAnsi="Courier New"/>
          <w:sz w:val="14"/>
          <w:szCs w:val="14"/>
          <w:color w:val="auto"/>
        </w:rPr>
      </w:pPr>
    </w:p>
    <w:p>
      <w:pPr>
        <w:ind w:left="445" w:right="3219" w:hanging="2"/>
        <w:spacing w:after="0" w:line="238" w:lineRule="auto"/>
        <w:tabs>
          <w:tab w:leader="none" w:pos="800"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settlement agreement under which Company has ongoing obligations; or</w:t>
      </w:r>
    </w:p>
    <w:p>
      <w:pPr>
        <w:spacing w:after="0" w:line="174" w:lineRule="exact"/>
        <w:rPr>
          <w:rFonts w:ascii="Courier New" w:cs="Courier New" w:eastAsia="Courier New" w:hAnsi="Courier New"/>
          <w:sz w:val="15"/>
          <w:szCs w:val="15"/>
          <w:color w:val="auto"/>
        </w:rPr>
      </w:pPr>
    </w:p>
    <w:p>
      <w:pPr>
        <w:ind w:left="445" w:right="3219" w:hanging="2"/>
        <w:spacing w:after="0" w:line="238" w:lineRule="auto"/>
        <w:tabs>
          <w:tab w:leader="none" w:pos="889" w:val="left"/>
        </w:tabs>
        <w:numPr>
          <w:ilvl w:val="1"/>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agreement with a customer of the Company involving in excess of $100,000 in any 12 month period.</w:t>
      </w:r>
    </w:p>
    <w:p>
      <w:pPr>
        <w:spacing w:after="0" w:line="174" w:lineRule="exact"/>
        <w:rPr>
          <w:rFonts w:ascii="Courier New" w:cs="Courier New" w:eastAsia="Courier New" w:hAnsi="Courier New"/>
          <w:sz w:val="15"/>
          <w:szCs w:val="15"/>
          <w:color w:val="auto"/>
        </w:rPr>
      </w:pPr>
    </w:p>
    <w:p>
      <w:pPr>
        <w:ind w:left="5" w:right="3119" w:hanging="5"/>
        <w:spacing w:after="0"/>
        <w:tabs>
          <w:tab w:leader="none" w:pos="36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Company nor any of its subsidiaries, nor to Company's knowledge any other party to a Company Contract (as defined below), is in breach, violation or default under, and neither Company nor any of its subsidiaries has received written notice that it has breached, violated or defaulted under, any of the material terms or conditions of any of the agreements, contracts or commitments to which Company or any of its subsidiaries is a party or by which it is bound that are required to be disclosed in the Company Schedule (any such agreement, contract or commitment, a "Company Contract") in such a manner as would permit any other party to cancel or terminate any such Company Contract, or would permit any other party to seek material damages or other remedies (for any or all of such breaches, violations or defaults, in the aggregate). Company has made available to Parent true and correct copies of any contracts Company may have with its top ten customers.</w:t>
      </w:r>
    </w:p>
    <w:p>
      <w:pPr>
        <w:spacing w:after="0" w:line="349"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A-19</w:t>
      </w:r>
    </w:p>
    <w:p>
      <w:pPr>
        <w:sectPr>
          <w:pgSz w:w="11900" w:h="16838" w:orient="portrait"/>
          <w:cols w:equalWidth="0" w:num="1">
            <w:col w:w="9784"/>
          </w:cols>
          <w:pgMar w:left="675" w:top="631" w:right="1440" w:bottom="1440" w:gutter="0" w:footer="0" w:header="0"/>
        </w:sectPr>
      </w:pPr>
    </w:p>
    <w:bookmarkStart w:id="103" w:name="page104"/>
    <w:bookmarkEnd w:id="103"/>
    <w:p>
      <w:pPr>
        <w:ind w:left="9" w:right="3119"/>
        <w:spacing w:after="0"/>
        <w:rPr>
          <w:sz w:val="20"/>
          <w:szCs w:val="20"/>
          <w:color w:val="auto"/>
        </w:rPr>
      </w:pPr>
      <w:r>
        <w:rPr>
          <w:rFonts w:ascii="Courier New" w:cs="Courier New" w:eastAsia="Courier New" w:hAnsi="Courier New"/>
          <w:sz w:val="15"/>
          <w:szCs w:val="15"/>
          <w:color w:val="auto"/>
        </w:rPr>
        <w:t>2.18 Opinion of Financial Advisor. The Board of Directors of the Company has been advised by its financial advisor, GAHS, that in its opinion, as of the date of this Agreement, the Merger Consideration is fair to the holders of shares of Company Common Stock from a financial point of view, and Company will provide a copy of the written confirmation of such opinion to Parent for informational purposes as soon as reasonably practicable.</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2.19 Insurance. Company maintains insurance policies or fidelity bonds covering the assets, business, equipment, properties, operations, employees, officers and directors of Company and its subsidiaries (collectively, the "Insurance Policies") which the Company believes are of the type and in amounts customarily carried by persons conducting businesses similar to those of Company and its subsidiaries. There is no material claim by Company or any of its subsidiaries pending under any of the material Insurance Policies as to which coverage has been questioned, denied or disputed by the underwriters of such policies or bonds.</w:t>
      </w:r>
    </w:p>
    <w:p>
      <w:pPr>
        <w:spacing w:after="0" w:line="177"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2.20 Vote Required. The affirmative vote of a majority of the votes that holders of the outstanding shares of Company Common Stock are entitled to vote with respect to the Merger is the only vote of the holders of any class or series of the Company's capital stock necessary to approve this Agreement and the transactions contemplated thereby.</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2.21 Board Approval. The Company Board, at a meeting duly called and held on January 18, 2002 with the unanimous approval of all non-interested directors, has (i) determined that this Agreement and the transactions contemplated hereby, including the Merger, taken together, are at a price and on terms that are advisable and fair to and in the best interests of the Company and its stockholders; (ii) approved this Agreement and the transactions contemplated hereby, including the Merger, in all respects; and (iii) as of the date hereof, resolved to recommend that the stockholders of the Company approve and adopt this Agreement and the Merger.</w:t>
      </w:r>
    </w:p>
    <w:p>
      <w:pPr>
        <w:spacing w:after="0" w:line="177"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2.22 Registration Statement; Proxy Statement. None of the information supplied or to be supplied by the Company for inclusion or incorporation by reference in</w:t>
      </w:r>
    </w:p>
    <w:p>
      <w:pPr>
        <w:ind w:left="9" w:right="3119" w:hanging="9"/>
        <w:spacing w:after="0" w:line="259" w:lineRule="auto"/>
        <w:tabs>
          <w:tab w:leader="none" w:pos="364"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Registration Statement will, at the time the Registration Statement 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and (ii) the proxy statement/prospectus to be filed with the SEC by the Company pursuant to Section 5.1 hereof (the "Proxy Statement/Prospectus") will, at the dates mailed to the stockholders of the Company, at the times of the stockholders meeting of the Company (the "Company Stockholders' Meeting") in connection with the transactions contemplated hereby and as of the Effective Time, contain any untrue statement of a material fact or omit to state any material fact required to be stated therein or necessary in order to make the statements therein, in light of the circumstances under which they are made, not misleading. The Proxy Statement/Prospectus will comply as to form in all material respects with the provisions of the Exchange Act and the rules and regulations promulgated by the SEC thereunder. Notwithstanding the foregoing, the Company makes no representation or warranty with respect to any information supplied by Parent or Merger Sub which is contained in any of the foregoing documents.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ARTICLE III</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REPRESENTATIONS AND WARRANTIES OF PARENT AND MERGER SUB</w:t>
      </w:r>
    </w:p>
    <w:p>
      <w:pPr>
        <w:spacing w:after="0" w:line="174"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Parent and Merger Sub jointly and severally represent and warrant to Company, subject to such exceptions as are disclosed in writing in the disclosure letter supplied by Parent to Company dated as of the date hereof (the "Parent Schedule"), which disclosure shall provide an exception to or otherwise qualify the representations and warranties of Parent and Merger Sub contained in the section of this Agreement corresponding by number to such disclosure, as follows:</w:t>
      </w:r>
    </w:p>
    <w:p>
      <w:pPr>
        <w:spacing w:after="0" w:line="176"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3.1 Organization and Qualification; Subsidiaries. Each of Parent and its subsidiaries is a corporation duly organized, validly existing and in good standing under the laws of the jurisdiction of its incorporation and has the requisite corporate power and authority to own, lease and operate its assets and properties and to carry on its business as it is now being conducted, except where the failure to do so would not, individually or in the aggregate, have a Material Adverse Effect on Parent. Each of Parent and its subsidiaries is in</w:t>
      </w:r>
    </w:p>
    <w:p>
      <w:pPr>
        <w:spacing w:after="0" w:line="33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A-20</w:t>
      </w:r>
    </w:p>
    <w:p>
      <w:pPr>
        <w:sectPr>
          <w:pgSz w:w="11900" w:h="16838" w:orient="portrait"/>
          <w:cols w:equalWidth="0" w:num="1">
            <w:col w:w="10228"/>
          </w:cols>
          <w:pgMar w:left="231" w:top="631" w:right="1440" w:bottom="1440" w:gutter="0" w:footer="0" w:header="0"/>
        </w:sectPr>
      </w:pPr>
    </w:p>
    <w:bookmarkStart w:id="104" w:name="page105"/>
    <w:bookmarkEnd w:id="104"/>
    <w:p>
      <w:pPr>
        <w:ind w:left="9" w:right="3119"/>
        <w:spacing w:after="0"/>
        <w:rPr>
          <w:sz w:val="20"/>
          <w:szCs w:val="20"/>
          <w:color w:val="auto"/>
        </w:rPr>
      </w:pPr>
      <w:r>
        <w:rPr>
          <w:rFonts w:ascii="Courier New" w:cs="Courier New" w:eastAsia="Courier New" w:hAnsi="Courier New"/>
          <w:sz w:val="15"/>
          <w:szCs w:val="15"/>
          <w:color w:val="auto"/>
        </w:rPr>
        <w:t>possession of all Approvals necessary to own, lease and operate the properties it purports to own, operate or lease and to carry on its business as it is now being conducted, except where the failure to have such Approvals would not, individually or in the aggregate, have a Material Adverse Effect on Parent. Each of Parent and its subsidiaries is duly qualified or licensed as a foreign corporation to do business, and is in good standing, in each jurisdiction where the character of the properties owned, leased or operated by it or the nature of its activities makes such qualification or licensing necessary, except for such failures to be so duly qualified or licensed and in good standing that would not, either individually or in the aggregate, have a Material Adverse Effect on Parent.</w:t>
      </w:r>
    </w:p>
    <w:p>
      <w:pPr>
        <w:spacing w:after="0" w:line="179" w:lineRule="exact"/>
        <w:rPr>
          <w:sz w:val="20"/>
          <w:szCs w:val="20"/>
          <w:color w:val="auto"/>
        </w:rPr>
      </w:pPr>
    </w:p>
    <w:p>
      <w:pPr>
        <w:ind w:left="9" w:right="3219"/>
        <w:spacing w:after="0" w:line="259" w:lineRule="auto"/>
        <w:rPr>
          <w:sz w:val="20"/>
          <w:szCs w:val="20"/>
          <w:color w:val="auto"/>
        </w:rPr>
      </w:pPr>
      <w:r>
        <w:rPr>
          <w:rFonts w:ascii="Courier New" w:cs="Courier New" w:eastAsia="Courier New" w:hAnsi="Courier New"/>
          <w:sz w:val="14"/>
          <w:szCs w:val="14"/>
          <w:color w:val="auto"/>
        </w:rPr>
        <w:t>3.2 Certificate of Incorporation and Bylaws. Parent has previously furnished to Company complete and correct copies of its Certificate of Incorporation and Bylaws as amended to date (together, the "Parent Charter Documents"). Such Parent Charter Documents and equivalent organizational documents of each of its subsidiaries are in full force and effect, Parent is not in violation of any of the provisions of the Parent Charter Documents, and no subsidiary of Company is in violation of any of its equivalent organizational documents except where the failure to be in full force or effect or the violation of any such equivalent organizational documents of a subsidiary of Company would not, individually or in the aggregate, have a Material Adverse Effect on Parent.</w:t>
      </w:r>
    </w:p>
    <w:p>
      <w:pPr>
        <w:spacing w:after="0" w:line="166"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3.3 Capitalization. The authorized capital stock of Parent consists of 50,000,000 shares of Parent Common Stock, $0.001 par value. As of the close of business on January 16, 2001, (i) 9,447,704 shares of Parent Common Stock were issued and outstanding on a fully diluted basis, using the treasury stock method</w:t>
      </w:r>
    </w:p>
    <w:p>
      <w:pPr>
        <w:spacing w:after="0" w:line="1" w:lineRule="exact"/>
        <w:rPr>
          <w:sz w:val="20"/>
          <w:szCs w:val="20"/>
          <w:color w:val="auto"/>
        </w:rPr>
      </w:pPr>
    </w:p>
    <w:p>
      <w:pPr>
        <w:ind w:left="9" w:right="3119" w:hanging="9"/>
        <w:spacing w:after="0"/>
        <w:tabs>
          <w:tab w:leader="none" w:pos="453"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had reserved an aggregate of 2,500,000 shares of Parent Common Stock for issuance pursuant to Parent's stock option plans, and (iii) parent had warrants outstanding for 150,000 shares of Parent Common Stock. Except as set forth in the immediately preceding sentence, no shares of capital stock or other equity securities of Parent are issued, reserved for issuance or outstanding except as set forth in the Parent SEC Reports. The shares of Parent Common Stock to be issued pursuant to the Merger will be, duly authorized, validly issued, fully paid and nonassessable. All of the outstanding shares of capital stock of each of Parent's subsidiaries is duly authorized, validly issued, fully paid and nonassessable and all such shares are owned by Parent or another subsidiary free and clear of all security interests, liens, claims, pledges, agreements, limitations in Parent's voting rights, charges or other encumbrances of any nature whatsoever.</w:t>
      </w:r>
    </w:p>
    <w:p>
      <w:pPr>
        <w:spacing w:after="0" w:line="180"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3.4 Authority Relative to this Agreement. Each of Parent and/or Merger Sub has all necessary corporate power and authority to execute and deliver this Agreement, and to perform its obligations hereunder and thereunder and to consummate the transactions contemplated hereby and thereby. The execution and delivery of this Agreement and the consummation by Parent and/or Merger Sub of the transactions contemplated hereby and thereby have been duly and validly authorized by all necessary corporate action on the part of Parent and/or Merger Sub, and no other corporate proceedings on the part of Parent or Merger Sub are necessary to authorize this Agreement or to consummate the transactions contemplated hereby and thereby. This Agreement has been duly and validly executed and delivered by Parent and/or Merger Sub and, assuming the due authorization, execution and delivery by Company, constitute legal and binding obligations of Parent and/or Merger Sub, enforceable against Parent and/or Merger Sub in accordance with their respective terms, subject to bankruptcy, insolvency, fraudulent transfer, reorganization, moratorium and similar laws of general applicability relating to or affecting creditor rights and for general equitable principles.</w:t>
      </w:r>
    </w:p>
    <w:p>
      <w:pPr>
        <w:spacing w:after="0" w:line="18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3.5 No Conflict; Required Filings and Consents.</w:t>
      </w:r>
    </w:p>
    <w:p>
      <w:pPr>
        <w:spacing w:after="0" w:line="174" w:lineRule="exact"/>
        <w:rPr>
          <w:sz w:val="20"/>
          <w:szCs w:val="20"/>
          <w:color w:val="auto"/>
        </w:rPr>
      </w:pPr>
    </w:p>
    <w:p>
      <w:pPr>
        <w:ind w:left="449" w:right="3119" w:hanging="5"/>
        <w:spacing w:after="0" w:line="259" w:lineRule="auto"/>
        <w:tabs>
          <w:tab w:leader="none" w:pos="804"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Parent and Merger Sub, and the performance of this Agreement, by Parent and Merger Sub, and the Voting Agreement by Parent shall not, (i) conflict with or violate the Parent Charter Documents or equivalent organizational documents or any of Parent's subsidiaries, (ii) subject to obtaining the consents, approvals, authorization and permits, and making the filings and notifications, set forth in Section 3.5(b) below, conflict with or violate any law, rule, regulation, order, judgment or decree applicable to Parent or any of its subsidiaries or by which it or their respective properties are bound or affected, or (iii) result in any breach of or constitute a default (or an event that with notice or lapse of time or both would become a default) under, or impair Parent's or any such subsidiary's rights or alter the rights or obligations of any third party under, or give to others any rights of termination, amendment, acceleration or cancellation of, or result in the creation of a lien or encumbrance on any of the properties or assets of Parent or any of its subsidiaries pursuant to, any material note, bond, mortgage, indenture, contract, agreement, lease, license, permit,</w:t>
      </w:r>
    </w:p>
    <w:p>
      <w:pPr>
        <w:spacing w:after="0" w:line="330"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A-21</w:t>
      </w:r>
    </w:p>
    <w:p>
      <w:pPr>
        <w:sectPr>
          <w:pgSz w:w="11900" w:h="16838" w:orient="portrait"/>
          <w:cols w:equalWidth="0" w:num="1">
            <w:col w:w="10228"/>
          </w:cols>
          <w:pgMar w:left="231" w:top="631" w:right="1440" w:bottom="1440" w:gutter="0" w:footer="0" w:header="0"/>
        </w:sectPr>
      </w:pPr>
    </w:p>
    <w:bookmarkStart w:id="105" w:name="page106"/>
    <w:bookmarkEnd w:id="105"/>
    <w:p>
      <w:pPr>
        <w:ind w:left="449" w:right="3219"/>
        <w:spacing w:after="0"/>
        <w:rPr>
          <w:sz w:val="20"/>
          <w:szCs w:val="20"/>
          <w:color w:val="auto"/>
        </w:rPr>
      </w:pPr>
      <w:r>
        <w:rPr>
          <w:rFonts w:ascii="Courier New" w:cs="Courier New" w:eastAsia="Courier New" w:hAnsi="Courier New"/>
          <w:sz w:val="15"/>
          <w:szCs w:val="15"/>
          <w:color w:val="auto"/>
        </w:rPr>
        <w:t>franchise or other instrument or obligation to which Parent or any of its subsidiaries is a party or by which Parent or any of its subsidiaries or its or any of their respective properties are bound or affected, except to the extent such conflict, violation, breach, default, impairment or other effect could not in the case of clauses (ii) or (iii), individually or in the aggregate, reasonably be expected to have a Material Adverse Effect on Parent.</w:t>
      </w:r>
    </w:p>
    <w:p>
      <w:pPr>
        <w:spacing w:after="0" w:line="176" w:lineRule="exact"/>
        <w:rPr>
          <w:sz w:val="20"/>
          <w:szCs w:val="20"/>
          <w:color w:val="auto"/>
        </w:rPr>
      </w:pPr>
    </w:p>
    <w:p>
      <w:pPr>
        <w:ind w:left="449" w:right="3219" w:hanging="5"/>
        <w:spacing w:after="0" w:line="259" w:lineRule="auto"/>
        <w:tabs>
          <w:tab w:leader="none" w:pos="804" w:val="left"/>
        </w:tabs>
        <w:numPr>
          <w:ilvl w:val="0"/>
          <w:numId w:val="1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execution and delivery of this Agreement by Parent and Merger Sub do not, and the performance of this Agreement, by Parent and Merger Sub shall not, require any consent, approval, authorization or permit of, or filing with or notification to, any Governmental Entity except (i) for applicable requirements, if any, of the Securities Act, the Exchange Act, Blue Sky Laws, the rules and regulations of the NASDAQ, and the filing and recordation of the Merger Certificate as required by Delaware Law and (ii) where the failure to obtain such consents, approvals, authorizations or permits, or to make such filings or notifications, (A) would not prevent consummation of the Merger or otherwise prevent Parent or Merger Sub from performing their respective obligations under this Agreement or (B) could not, individually or in the aggregate, reasonably be expected to have a Material Adverse Effect on Parent.</w:t>
      </w:r>
    </w:p>
    <w:p>
      <w:pPr>
        <w:spacing w:after="0" w:line="33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3.6 SEC Filings; Financial Statements.</w:t>
      </w:r>
    </w:p>
    <w:p>
      <w:pPr>
        <w:spacing w:after="0" w:line="174" w:lineRule="exact"/>
        <w:rPr>
          <w:sz w:val="20"/>
          <w:szCs w:val="20"/>
          <w:color w:val="auto"/>
        </w:rPr>
      </w:pPr>
    </w:p>
    <w:p>
      <w:pPr>
        <w:ind w:left="449" w:right="3119" w:hanging="5"/>
        <w:spacing w:after="0"/>
        <w:tabs>
          <w:tab w:leader="none" w:pos="804"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has made available to Company a correct and complete copy of each report, schedule, registration statement and definitive proxy statement filed by Parent with the SEC on or after June 30, 1999 and prior to the date of this Agreement (the "Parent SEC Reports"), which are all the forms, reports and documents required to be filed by Parent with the SEC since such date. The Parent SEC Reports (i) were prepared in accordance with the requirements of the Securities Act or the Exchange Act, as the case may be, and (ii) did not at the time they were filed (and if any Parent SEC Report filed prior to the date of this Agreement was amended or superseded by a filing prior to the date of this Agreement, then on the date of such amendment or superceded filing) contain any untrue statement of a material fact or omit to state a material fact required to be stated therein or necessary in order to make the statements therein, in light of the circumstances under which they were made, not misleading. None of Parent's subsidiaries is required to file any reports or other documents with the SEC.</w:t>
      </w:r>
    </w:p>
    <w:p>
      <w:pPr>
        <w:spacing w:after="0" w:line="182" w:lineRule="exact"/>
        <w:rPr>
          <w:rFonts w:ascii="Courier New" w:cs="Courier New" w:eastAsia="Courier New" w:hAnsi="Courier New"/>
          <w:sz w:val="15"/>
          <w:szCs w:val="15"/>
          <w:color w:val="auto"/>
        </w:rPr>
      </w:pPr>
    </w:p>
    <w:p>
      <w:pPr>
        <w:ind w:left="449" w:right="3119" w:hanging="5"/>
        <w:spacing w:after="0" w:line="259" w:lineRule="auto"/>
        <w:tabs>
          <w:tab w:leader="none" w:pos="804"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their respective dates, each set of consolidated financial statements (including, in each case, any related notes thereto) contained in the Parent SEC Reports, as amended, was prepared in accordance with GAAP applied on a consistent basis throughout the periods involved (except as may be indicated in the notes thereto or, in the case of unaudited statements, as permitted by Form 10-Q of the Exchange Act) and each fairly presents the consolidated financial position of Parent and its subsidiaries at the respective dates thereof and the consolidated results of its operations and cash flows for the periods indicated, except that the unaudited interim financial statements were or are subject to the absence of footnotes and normal adjustments which (in addition to those noted therein) were not or are not expected to be material in amount.</w:t>
      </w:r>
    </w:p>
    <w:p>
      <w:pPr>
        <w:spacing w:after="0" w:line="336" w:lineRule="exact"/>
        <w:rPr>
          <w:sz w:val="20"/>
          <w:szCs w:val="20"/>
          <w:color w:val="auto"/>
        </w:rPr>
      </w:pPr>
    </w:p>
    <w:p>
      <w:pPr>
        <w:jc w:val="both"/>
        <w:ind w:left="9" w:right="3119"/>
        <w:spacing w:after="0" w:line="239" w:lineRule="auto"/>
        <w:rPr>
          <w:sz w:val="20"/>
          <w:szCs w:val="20"/>
          <w:color w:val="auto"/>
        </w:rPr>
      </w:pPr>
      <w:r>
        <w:rPr>
          <w:rFonts w:ascii="Courier New" w:cs="Courier New" w:eastAsia="Courier New" w:hAnsi="Courier New"/>
          <w:sz w:val="15"/>
          <w:szCs w:val="15"/>
          <w:color w:val="auto"/>
        </w:rPr>
        <w:t>3.7 No Material Adverse Effect. Since Parent's September 30, 2001 balance sheet, and until the date hereof, there has not occurred any Material Adverse Effect on Parent.</w:t>
      </w:r>
    </w:p>
    <w:p>
      <w:pPr>
        <w:spacing w:after="0" w:line="175" w:lineRule="exact"/>
        <w:rPr>
          <w:sz w:val="20"/>
          <w:szCs w:val="20"/>
          <w:color w:val="auto"/>
        </w:rPr>
      </w:pPr>
    </w:p>
    <w:p>
      <w:pPr>
        <w:ind w:left="9" w:right="3299"/>
        <w:spacing w:after="0" w:line="259" w:lineRule="auto"/>
        <w:rPr>
          <w:sz w:val="20"/>
          <w:szCs w:val="20"/>
          <w:color w:val="auto"/>
        </w:rPr>
      </w:pPr>
      <w:r>
        <w:rPr>
          <w:rFonts w:ascii="Courier New" w:cs="Courier New" w:eastAsia="Courier New" w:hAnsi="Courier New"/>
          <w:sz w:val="14"/>
          <w:szCs w:val="14"/>
          <w:color w:val="auto"/>
        </w:rPr>
        <w:t>3.8 Absence of Litigation. There are no material claims, actions, suits or proceedings that have a reasonable likelihood of success on the merits pending or, to the knowledge of Parent, threatened (or to the knowledge of Parent, any governmental or regulatory investigation pending or threatened) against Parent or any property or rights of Parent or any of its subsidiaries, before any court, arbitrator or administrative, governmental or regulatory authority or body, domestic or foreign, except for those claims, actions, suits or proceedings which would not, individually or in the aggregate, reasonably be expected to have a Material Adverse Effect on Parent.</w:t>
      </w:r>
    </w:p>
    <w:p>
      <w:pPr>
        <w:spacing w:after="0" w:line="166" w:lineRule="exact"/>
        <w:rPr>
          <w:sz w:val="20"/>
          <w:szCs w:val="20"/>
          <w:color w:val="auto"/>
        </w:rPr>
      </w:pPr>
    </w:p>
    <w:p>
      <w:pPr>
        <w:ind w:left="9" w:right="3219"/>
        <w:spacing w:after="0"/>
        <w:rPr>
          <w:sz w:val="20"/>
          <w:szCs w:val="20"/>
          <w:color w:val="auto"/>
        </w:rPr>
      </w:pPr>
      <w:r>
        <w:rPr>
          <w:rFonts w:ascii="Courier New" w:cs="Courier New" w:eastAsia="Courier New" w:hAnsi="Courier New"/>
          <w:sz w:val="15"/>
          <w:szCs w:val="15"/>
          <w:color w:val="auto"/>
        </w:rPr>
        <w:t>3.9 Merger Sub. Merger Sub was formed solely for the purpose of engaging in the Merger and has not engaged in any business activities or conducted any operations other than in connection with the transactions contemplated by this Agreement, including the Merger. As of the Effective Time, all of the outstanding capital stock of Merger Sub will be owned by Parent.</w:t>
      </w:r>
    </w:p>
    <w:p>
      <w:pPr>
        <w:spacing w:after="0" w:line="174" w:lineRule="exact"/>
        <w:rPr>
          <w:sz w:val="20"/>
          <w:szCs w:val="20"/>
          <w:color w:val="auto"/>
        </w:rPr>
      </w:pPr>
    </w:p>
    <w:p>
      <w:pPr>
        <w:ind w:left="9" w:right="3299"/>
        <w:spacing w:after="0" w:line="258" w:lineRule="auto"/>
        <w:rPr>
          <w:sz w:val="20"/>
          <w:szCs w:val="20"/>
          <w:color w:val="auto"/>
        </w:rPr>
      </w:pPr>
      <w:r>
        <w:rPr>
          <w:rFonts w:ascii="Courier New" w:cs="Courier New" w:eastAsia="Courier New" w:hAnsi="Courier New"/>
          <w:sz w:val="14"/>
          <w:szCs w:val="14"/>
          <w:color w:val="auto"/>
        </w:rPr>
        <w:t>3.10 Registration Statement; Proxy Statement. None of the information supplied or to be supplied by the Parent for inclusion or incorporation by reference in</w:t>
      </w:r>
    </w:p>
    <w:p>
      <w:pPr>
        <w:ind w:left="349" w:hanging="349"/>
        <w:spacing w:after="0" w:line="236" w:lineRule="auto"/>
        <w:tabs>
          <w:tab w:leader="none" w:pos="349"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Registration Statement will, at the time the Registration Statement</w:t>
      </w:r>
    </w:p>
    <w:p>
      <w:pPr>
        <w:spacing w:after="0" w:line="342" w:lineRule="exact"/>
        <w:rPr>
          <w:rFonts w:ascii="Courier New" w:cs="Courier New" w:eastAsia="Courier New" w:hAnsi="Courier New"/>
          <w:sz w:val="15"/>
          <w:szCs w:val="15"/>
          <w:color w:val="auto"/>
        </w:rPr>
      </w:pPr>
    </w:p>
    <w:p>
      <w:pPr>
        <w:ind w:left="336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A-22</w:t>
      </w:r>
    </w:p>
    <w:p>
      <w:pPr>
        <w:sectPr>
          <w:pgSz w:w="11900" w:h="16838" w:orient="portrait"/>
          <w:cols w:equalWidth="0" w:num="1">
            <w:col w:w="10228"/>
          </w:cols>
          <w:pgMar w:left="231" w:top="631" w:right="1440" w:bottom="1440" w:gutter="0" w:footer="0" w:header="0"/>
        </w:sectPr>
      </w:pPr>
    </w:p>
    <w:bookmarkStart w:id="106" w:name="page107"/>
    <w:bookmarkEnd w:id="106"/>
    <w:p>
      <w:pPr>
        <w:ind w:right="3119"/>
        <w:spacing w:after="0" w:line="259" w:lineRule="auto"/>
        <w:rPr>
          <w:sz w:val="20"/>
          <w:szCs w:val="20"/>
          <w:color w:val="auto"/>
        </w:rPr>
      </w:pPr>
      <w:r>
        <w:rPr>
          <w:rFonts w:ascii="Courier New" w:cs="Courier New" w:eastAsia="Courier New" w:hAnsi="Courier New"/>
          <w:sz w:val="14"/>
          <w:szCs w:val="14"/>
          <w:color w:val="auto"/>
        </w:rPr>
        <w:t>becomes effective under the Securities Act, contain any untrue statement of a material fact or omit to state any material fact required to be stated therein or necessary in order to make the statements therein, in light of the circumstances under which they are made, not misleading; and (ii) the Proxy Statement/Prospectus will, at the dates mailed to the stockholders of the Company, at the times of the Company Stockholders' Meeting and as of the Effective Time, contain any untrue statement of a material fact or omit to state any material fact required to be stated therein or necessary in order to make the statements therein, in light of the circumstances under which they are made, not misleading. The Registration Statement will comply as to form in all material respects with the provisions of the Exchange Act and the rules and regulations promulgated by the SEC thereunder. Notwithstanding the foregoing, the Parent makes no representation or warranty with respect to any information supplied by Company which is contained in any of the foregoing documents.</w:t>
      </w:r>
    </w:p>
    <w:p>
      <w:pPr>
        <w:spacing w:after="0" w:line="16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3.11 No Undisclosed Liabilities. Neither Parent nor any of its subsidiaries has any liabilities (absolute, accrued, contingent or otherwise) of a nature required to be disclosed on a balance sheet or in the related notes to the consolidated financial statements prepared in accordance with GAAP which are, individually or in the aggregate, material to the business, results of operations, assets or financial condition of Company and its subsidiaries taken as a whole, except (i) liabilities provided for in Parent's balance sheet as of September 30, 2001 set forth in the Parent SEC Reports, (ii) liabilities incurred since September 30, 2001 in the ordinary course of business, none of which is material to the business, results of operations or financial condition of Parent and its subsidiaries, taken as a whole, or (iii) except as disclosed in Schedule 3.11.</w:t>
      </w:r>
    </w:p>
    <w:p>
      <w:pPr>
        <w:spacing w:after="0" w:line="348"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ARTICLE IV</w:t>
      </w:r>
    </w:p>
    <w:p>
      <w:pPr>
        <w:spacing w:after="0" w:line="1" w:lineRule="exact"/>
        <w:rPr>
          <w:sz w:val="20"/>
          <w:szCs w:val="20"/>
          <w:color w:val="auto"/>
        </w:rPr>
      </w:pPr>
    </w:p>
    <w:p>
      <w:pPr>
        <w:ind w:left="2920"/>
        <w:spacing w:after="0"/>
        <w:rPr>
          <w:sz w:val="20"/>
          <w:szCs w:val="20"/>
          <w:color w:val="auto"/>
        </w:rPr>
      </w:pPr>
      <w:r>
        <w:rPr>
          <w:rFonts w:ascii="Courier New" w:cs="Courier New" w:eastAsia="Courier New" w:hAnsi="Courier New"/>
          <w:sz w:val="15"/>
          <w:szCs w:val="15"/>
          <w:color w:val="auto"/>
        </w:rPr>
        <w:t>INTERIM CONDUCT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4.1 Conduct of Business by Company.</w:t>
      </w:r>
    </w:p>
    <w:p>
      <w:pPr>
        <w:spacing w:after="0" w:line="174" w:lineRule="exact"/>
        <w:rPr>
          <w:sz w:val="20"/>
          <w:szCs w:val="20"/>
          <w:color w:val="auto"/>
        </w:rPr>
      </w:pPr>
    </w:p>
    <w:p>
      <w:pPr>
        <w:ind w:left="440" w:right="3219" w:hanging="5"/>
        <w:spacing w:after="0"/>
        <w:tabs>
          <w:tab w:leader="none" w:pos="79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contemplated by this Agreement, disclosed in Section 4.1 of the Company Schedule, or consented to by Parent in writing, during the period from the date of this Agreement until the Closing Date, Company and each of its subsidiaries shall carry on its business in the usual, regular and ordinary course in substantially the same manner as heretofore conducted and in material compliance with all applicable laws and regulations, pay its debts and taxes when due subject to good faith disputes over such debts or taxes, pay or perform other material obligations when due, and use its commercially reasonable efforts consistent with past practices and policies to (i) preserve intact its present business organization, (ii) keep available the services of its present officers and employees and (iii) preserve its relationships with customers, suppliers, distributors, licensors, licensees and others with which it has significant business dealings.</w:t>
      </w:r>
    </w:p>
    <w:p>
      <w:pPr>
        <w:spacing w:after="0" w:line="181" w:lineRule="exact"/>
        <w:rPr>
          <w:rFonts w:ascii="Courier New" w:cs="Courier New" w:eastAsia="Courier New" w:hAnsi="Courier New"/>
          <w:sz w:val="15"/>
          <w:szCs w:val="15"/>
          <w:color w:val="auto"/>
        </w:rPr>
      </w:pPr>
    </w:p>
    <w:p>
      <w:pPr>
        <w:ind w:left="440" w:right="3119" w:hanging="5"/>
        <w:spacing w:after="0"/>
        <w:tabs>
          <w:tab w:leader="none" w:pos="795"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except as permitted by the terms of this Agreement and except as provided in Section 4.1 of the Company Schedule, without the prior written consent of Parent (which consent, or refusal thereof, shall not be unreasonably delayed, and shall be deemed given if not refused within five (5) business days of the date Parent receives written notice of such request); provided that Parent shall not refuse to consent if such failure would result in a violation of the antitrust laws), during the period from the date of this Agreement and continuing until the earlier of the termination of this Agreement pursuant to its terms or the Effective Time, the Company shall not do any of the following and shall not permit its subsidiaries to do any of the following:</w:t>
      </w:r>
    </w:p>
    <w:p>
      <w:pPr>
        <w:spacing w:after="0" w:line="176" w:lineRule="exact"/>
        <w:rPr>
          <w:rFonts w:ascii="Courier New" w:cs="Courier New" w:eastAsia="Courier New" w:hAnsi="Courier New"/>
          <w:sz w:val="15"/>
          <w:szCs w:val="15"/>
          <w:color w:val="auto"/>
        </w:rPr>
      </w:pPr>
    </w:p>
    <w:p>
      <w:pPr>
        <w:ind w:left="1240" w:hanging="362"/>
        <w:spacing w:after="0"/>
        <w:tabs>
          <w:tab w:leader="none" w:pos="1240"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Accelerate, amend or change the period of exercisability of</w:t>
      </w:r>
    </w:p>
    <w:p>
      <w:pPr>
        <w:spacing w:after="0" w:line="3" w:lineRule="exact"/>
        <w:rPr>
          <w:rFonts w:ascii="Courier New" w:cs="Courier New" w:eastAsia="Courier New" w:hAnsi="Courier New"/>
          <w:sz w:val="15"/>
          <w:szCs w:val="15"/>
          <w:color w:val="auto"/>
        </w:rPr>
      </w:pPr>
    </w:p>
    <w:p>
      <w:pPr>
        <w:ind w:left="880" w:right="339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options or restricted stock (except as required by the terms of the Company Option Plans as in effect on the date hereof) or reprice options granted under any employee, consultant, director or other stock plans or authorize cash payments in exchange for any options granted under any of such plans;</w:t>
      </w:r>
    </w:p>
    <w:p>
      <w:pPr>
        <w:spacing w:after="0" w:line="174" w:lineRule="exact"/>
        <w:rPr>
          <w:rFonts w:ascii="Courier New" w:cs="Courier New" w:eastAsia="Courier New" w:hAnsi="Courier New"/>
          <w:sz w:val="15"/>
          <w:szCs w:val="15"/>
          <w:color w:val="auto"/>
        </w:rPr>
      </w:pPr>
    </w:p>
    <w:p>
      <w:pPr>
        <w:ind w:left="880" w:right="3119" w:hanging="2"/>
        <w:spacing w:after="0" w:line="259" w:lineRule="auto"/>
        <w:tabs>
          <w:tab w:leader="none" w:pos="1324"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any severance or termination pay or benefits, or payments or benefits triggered by a change of control or merger (including the Merger), to any officer or employee except to persons who are officers or employees of the Company as of the date hereof pursuant to written agreements outstanding, or written policies existing, on the date hereof and as previously disclosed in writing or made available to Parent (provided, however, that the Company shall not grant, or offer to grant, any such severance or termination payments or benefits, or payments or benefits triggered upon a change of control or merger</w:t>
      </w:r>
    </w:p>
    <w:p>
      <w:pPr>
        <w:spacing w:after="0" w:line="33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A-23</w:t>
      </w:r>
    </w:p>
    <w:p>
      <w:pPr>
        <w:sectPr>
          <w:pgSz w:w="11900" w:h="16838" w:orient="portrait"/>
          <w:cols w:equalWidth="0" w:num="1">
            <w:col w:w="10219"/>
          </w:cols>
          <w:pgMar w:left="240" w:top="631" w:right="1440" w:bottom="1440" w:gutter="0" w:footer="0" w:header="0"/>
        </w:sectPr>
      </w:pPr>
    </w:p>
    <w:bookmarkStart w:id="107" w:name="page108"/>
    <w:bookmarkEnd w:id="107"/>
    <w:p>
      <w:pPr>
        <w:ind w:left="2" w:right="3219"/>
        <w:spacing w:after="0"/>
        <w:rPr>
          <w:sz w:val="20"/>
          <w:szCs w:val="20"/>
          <w:color w:val="auto"/>
        </w:rPr>
      </w:pPr>
      <w:r>
        <w:rPr>
          <w:rFonts w:ascii="Courier New" w:cs="Courier New" w:eastAsia="Courier New" w:hAnsi="Courier New"/>
          <w:sz w:val="15"/>
          <w:szCs w:val="15"/>
          <w:color w:val="auto"/>
        </w:rPr>
        <w:t>(including the Merger), to any person who is hired or offered employment with the Company on or after the date hereof, and the Company shall revise all employee handbooks and similar materials provided to each such person after the date hereof to reflect the foregoing), or adopt any new severance plan, or amend or modify or alter in any manner any severance plan, agreement or arrangement existing on the date hereof, or take any other action that would trigger the payment of any severance payments or other benefits other than four (4) preexisting employment agreements between the Company and certain officers thereof;</w:t>
      </w:r>
    </w:p>
    <w:p>
      <w:pPr>
        <w:spacing w:after="0" w:line="178" w:lineRule="exact"/>
        <w:rPr>
          <w:sz w:val="20"/>
          <w:szCs w:val="20"/>
          <w:color w:val="auto"/>
        </w:rPr>
      </w:pPr>
    </w:p>
    <w:p>
      <w:pPr>
        <w:ind w:left="2" w:right="3119" w:hanging="2"/>
        <w:spacing w:after="0"/>
        <w:tabs>
          <w:tab w:leader="none" w:pos="534"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 or license to any person or entity or otherwise extend, amend or modify any rights to the Company Intellectual Property, or enter into grants to transfer or license to any person future patent rights, other than non-exclusive licenses granted to resellers and end-users in the ordinary course of business consistent with past practices;</w:t>
      </w:r>
    </w:p>
    <w:p>
      <w:pPr>
        <w:spacing w:after="0" w:line="175" w:lineRule="exact"/>
        <w:rPr>
          <w:rFonts w:ascii="Courier New" w:cs="Courier New" w:eastAsia="Courier New" w:hAnsi="Courier New"/>
          <w:sz w:val="15"/>
          <w:szCs w:val="15"/>
          <w:color w:val="auto"/>
        </w:rPr>
      </w:pPr>
    </w:p>
    <w:p>
      <w:pPr>
        <w:ind w:left="2" w:right="3219" w:hanging="2"/>
        <w:spacing w:after="0"/>
        <w:tabs>
          <w:tab w:leader="none" w:pos="44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w:t>
      </w:r>
    </w:p>
    <w:p>
      <w:pPr>
        <w:spacing w:after="0" w:line="175" w:lineRule="exact"/>
        <w:rPr>
          <w:rFonts w:ascii="Courier New" w:cs="Courier New" w:eastAsia="Courier New" w:hAnsi="Courier New"/>
          <w:sz w:val="15"/>
          <w:szCs w:val="15"/>
          <w:color w:val="auto"/>
        </w:rPr>
      </w:pPr>
    </w:p>
    <w:p>
      <w:pPr>
        <w:ind w:left="2" w:right="3119" w:hanging="2"/>
        <w:spacing w:after="0" w:line="238" w:lineRule="auto"/>
        <w:tabs>
          <w:tab w:leader="none" w:pos="35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redeem or otherwise acquire, directly or indirectly, any shares of capital stock of Company or its subsidiaries;</w:t>
      </w:r>
    </w:p>
    <w:p>
      <w:pPr>
        <w:spacing w:after="0" w:line="174" w:lineRule="exact"/>
        <w:rPr>
          <w:rFonts w:ascii="Courier New" w:cs="Courier New" w:eastAsia="Courier New" w:hAnsi="Courier New"/>
          <w:sz w:val="15"/>
          <w:szCs w:val="15"/>
          <w:color w:val="auto"/>
        </w:rPr>
      </w:pPr>
    </w:p>
    <w:p>
      <w:pPr>
        <w:ind w:left="2" w:right="3219" w:hanging="2"/>
        <w:spacing w:after="0"/>
        <w:tabs>
          <w:tab w:leader="none" w:pos="44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Issue, deliver, sell, authorize, pledge or otherwise encumber or propose any of the foregoing with respect to any shares of capital stock or any securities convertible into shares of capital stock, or subscriptions, rights, warrants or options to acquire any shares of capital stock or any securities convertible into shares of capital stock, or enter into other agreements or commitments of any character obligating it to issue any such shares or convertible securities, other than (x) the issuance delivery and/or sale of (i) shares of Company Common Stock pursuant to the exercise of stock options, outstanding as of the date of this Agreement, and (ii) shares of Company Common Stock issuable to participants in the ESPP consistent with the terms thereof .</w:t>
      </w:r>
    </w:p>
    <w:p>
      <w:pPr>
        <w:spacing w:after="0" w:line="179" w:lineRule="exact"/>
        <w:rPr>
          <w:rFonts w:ascii="Courier New" w:cs="Courier New" w:eastAsia="Courier New" w:hAnsi="Courier New"/>
          <w:sz w:val="15"/>
          <w:szCs w:val="15"/>
          <w:color w:val="auto"/>
        </w:rPr>
      </w:pPr>
    </w:p>
    <w:p>
      <w:pPr>
        <w:ind w:left="2" w:right="3839" w:hanging="2"/>
        <w:spacing w:after="0" w:line="239" w:lineRule="auto"/>
        <w:tabs>
          <w:tab w:leader="none" w:pos="534"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permit or propose any amendments to the Company's Certificate of Incorporation or Bylaws (or similar governing instruments of any of its subsidiaries);</w:t>
      </w:r>
    </w:p>
    <w:p>
      <w:pPr>
        <w:spacing w:after="0" w:line="175" w:lineRule="exact"/>
        <w:rPr>
          <w:rFonts w:ascii="Courier New" w:cs="Courier New" w:eastAsia="Courier New" w:hAnsi="Courier New"/>
          <w:sz w:val="15"/>
          <w:szCs w:val="15"/>
          <w:color w:val="auto"/>
        </w:rPr>
      </w:pPr>
    </w:p>
    <w:p>
      <w:pPr>
        <w:ind w:left="2" w:right="3299" w:hanging="2"/>
        <w:spacing w:after="0"/>
        <w:tabs>
          <w:tab w:leader="none" w:pos="623"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Acquire or agree to acquire by merging or consolidating with, or by purchasing any equity interest in or a material portion of the assets of, or by any other manner, any business or any corporation, partnership, association or other business organization or division thereof, or otherwise acquire or agree to enter into any joint ventures, strategic partnerships or alliances;</w:t>
      </w:r>
    </w:p>
    <w:p>
      <w:pPr>
        <w:spacing w:after="0" w:line="175" w:lineRule="exact"/>
        <w:rPr>
          <w:rFonts w:ascii="Courier New" w:cs="Courier New" w:eastAsia="Courier New" w:hAnsi="Courier New"/>
          <w:sz w:val="15"/>
          <w:szCs w:val="15"/>
          <w:color w:val="auto"/>
        </w:rPr>
      </w:pPr>
    </w:p>
    <w:p>
      <w:pPr>
        <w:ind w:left="2" w:right="3119" w:hanging="2"/>
        <w:spacing w:after="0"/>
        <w:tabs>
          <w:tab w:leader="none" w:pos="445"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Sell, lease, license, encumber or otherwise dispose of any properties or assets except sales of inventory in the ordinary course of business consistent with past practice, and except for the sale, lease or disposition (other than through licensing permitted by clause (c)) of property or assets which are not material, individually or in the aggregate, to the business of Company and its subsidiaries, taken as a whole;</w:t>
      </w:r>
    </w:p>
    <w:p>
      <w:pPr>
        <w:spacing w:after="0" w:line="175" w:lineRule="exact"/>
        <w:rPr>
          <w:rFonts w:ascii="Courier New" w:cs="Courier New" w:eastAsia="Courier New" w:hAnsi="Courier New"/>
          <w:sz w:val="15"/>
          <w:szCs w:val="15"/>
          <w:color w:val="auto"/>
        </w:rPr>
      </w:pPr>
    </w:p>
    <w:p>
      <w:pPr>
        <w:ind w:left="2" w:right="3119" w:hanging="2"/>
        <w:spacing w:after="0"/>
        <w:tabs>
          <w:tab w:leader="none" w:pos="35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Modify, amend or terminate any existing lease, license or contract affecting the use, possession or operation of any such material properties or assets; grant or otherwise create or consent to the creation of any easement, covenant, restriction, assessment or charge affecting any material owned property or leased property or any part thereof; convey, assign, sublease, license or otherwise transfer all or any portion of any material real property or any interest or rights therein; commit any waste or nuisance on any such property; or make any material changes in the construction or condition of any such property;</w:t>
      </w:r>
    </w:p>
    <w:p>
      <w:pPr>
        <w:spacing w:after="0" w:line="178" w:lineRule="exact"/>
        <w:rPr>
          <w:rFonts w:ascii="Courier New" w:cs="Courier New" w:eastAsia="Courier New" w:hAnsi="Courier New"/>
          <w:sz w:val="15"/>
          <w:szCs w:val="15"/>
          <w:color w:val="auto"/>
        </w:rPr>
      </w:pPr>
    </w:p>
    <w:p>
      <w:pPr>
        <w:ind w:left="2" w:right="3299" w:hanging="2"/>
        <w:spacing w:after="0" w:line="262" w:lineRule="auto"/>
        <w:tabs>
          <w:tab w:leader="none" w:pos="445" w:val="left"/>
        </w:tabs>
        <w:numPr>
          <w:ilvl w:val="0"/>
          <w:numId w:val="1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Incur any indebtedness for borrowed money or guarantee any such indebtedness of another person, issue or sell any debt securities or options, warrants, calls or other rights to acquire any debt securities of Company, enter into any "keep well" or other agreement</w:t>
      </w:r>
    </w:p>
    <w:p>
      <w:pPr>
        <w:spacing w:after="0" w:line="329" w:lineRule="exact"/>
        <w:rPr>
          <w:sz w:val="20"/>
          <w:szCs w:val="20"/>
          <w:color w:val="auto"/>
        </w:rPr>
      </w:pPr>
    </w:p>
    <w:p>
      <w:pPr>
        <w:ind w:left="2482"/>
        <w:spacing w:after="0"/>
        <w:rPr>
          <w:sz w:val="20"/>
          <w:szCs w:val="20"/>
          <w:color w:val="auto"/>
        </w:rPr>
      </w:pPr>
      <w:r>
        <w:rPr>
          <w:rFonts w:ascii="Courier New" w:cs="Courier New" w:eastAsia="Courier New" w:hAnsi="Courier New"/>
          <w:sz w:val="15"/>
          <w:szCs w:val="15"/>
          <w:color w:val="auto"/>
        </w:rPr>
        <w:t>A-24</w:t>
      </w:r>
    </w:p>
    <w:p>
      <w:pPr>
        <w:sectPr>
          <w:pgSz w:w="11900" w:h="16838" w:orient="portrait"/>
          <w:cols w:equalWidth="0" w:num="1">
            <w:col w:w="9341"/>
          </w:cols>
          <w:pgMar w:left="1118" w:top="631" w:right="1440" w:bottom="1440" w:gutter="0" w:footer="0" w:header="0"/>
        </w:sectPr>
      </w:pPr>
    </w:p>
    <w:bookmarkStart w:id="108" w:name="page109"/>
    <w:bookmarkEnd w:id="108"/>
    <w:p>
      <w:pPr>
        <w:ind w:left="880" w:right="3299"/>
        <w:spacing w:after="0" w:line="239" w:lineRule="auto"/>
        <w:rPr>
          <w:sz w:val="20"/>
          <w:szCs w:val="20"/>
          <w:color w:val="auto"/>
        </w:rPr>
      </w:pPr>
      <w:r>
        <w:rPr>
          <w:rFonts w:ascii="Courier New" w:cs="Courier New" w:eastAsia="Courier New" w:hAnsi="Courier New"/>
          <w:sz w:val="15"/>
          <w:szCs w:val="15"/>
          <w:color w:val="auto"/>
        </w:rPr>
        <w:t>to maintain any financial statement condition or enter into any arrangement having the economic effect of any of the foregoing other than in connection with the financing of working capital consistent with past practice;</w:t>
      </w:r>
    </w:p>
    <w:p>
      <w:pPr>
        <w:spacing w:after="0" w:line="176" w:lineRule="exact"/>
        <w:rPr>
          <w:sz w:val="20"/>
          <w:szCs w:val="20"/>
          <w:color w:val="auto"/>
        </w:rPr>
      </w:pPr>
    </w:p>
    <w:p>
      <w:pPr>
        <w:ind w:left="880" w:right="3119" w:hanging="2"/>
        <w:spacing w:after="0"/>
        <w:tabs>
          <w:tab w:leader="none" w:pos="1413"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 or amend any employee benefit plan, policy or arrangement; any employee stock purchase or employee stock option plan; or enter into any employment contract or collective bargaining agreement; pay any special bonus or special remuneration to any director or employee, other than as disclosed in Section 4.1(b) of the Company Schedule; or increase the salaries or wage rates or fringe benefits (including rights to severance or indemnification) of its directors, officers, employees or consultants except, in each case, as may be required by law;</w:t>
      </w:r>
    </w:p>
    <w:p>
      <w:pPr>
        <w:spacing w:after="0" w:line="177" w:lineRule="exact"/>
        <w:rPr>
          <w:rFonts w:ascii="Courier New" w:cs="Courier New" w:eastAsia="Courier New" w:hAnsi="Courier New"/>
          <w:sz w:val="15"/>
          <w:szCs w:val="15"/>
          <w:color w:val="auto"/>
        </w:rPr>
      </w:pPr>
    </w:p>
    <w:p>
      <w:pPr>
        <w:ind w:left="880" w:right="3119" w:hanging="2"/>
        <w:spacing w:after="0"/>
        <w:tabs>
          <w:tab w:leader="none" w:pos="1501"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pay, discharge, settle or satisfy any material litigation (whether or not commenced prior to the date of this Agreement) or any material claims, liabilities or obligations (absolute, accrued, asserted or unasserted, contingent or otherwise), other than the payment, discharge, settlement or satisfaction, in the ordinary course of business consistent with past practice or in accordance with their terms, or liabilities recognized or disclosed in the most recent consolidated financial statements (or the notes thereto) of Company included in the Company SEC Reports or incurred since the date of such financial statements, or (ii) waive the benefits of, agree to modify in any manner, terminate, release any person from or knowingly fail to enforce any confidentiality or similar agreement to which Company or any of its subsidiaries is a party or of which Company or any of its subsidiaries is a beneficiary;</w:t>
      </w:r>
    </w:p>
    <w:p>
      <w:pPr>
        <w:spacing w:after="0" w:line="181" w:lineRule="exact"/>
        <w:rPr>
          <w:rFonts w:ascii="Courier New" w:cs="Courier New" w:eastAsia="Courier New" w:hAnsi="Courier New"/>
          <w:sz w:val="15"/>
          <w:szCs w:val="15"/>
          <w:color w:val="auto"/>
        </w:rPr>
      </w:pPr>
    </w:p>
    <w:p>
      <w:pPr>
        <w:ind w:left="880" w:right="3119" w:hanging="2"/>
        <w:spacing w:after="0"/>
        <w:tabs>
          <w:tab w:leader="none" w:pos="1413"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in the ordinary course of business consistent with past practice, modify, amend or terminate any material contract or agreement to which Company or any subsidiary thereof is a party or waive, delay the exercise of, release or assign any material rights or claims thereunder;</w:t>
      </w:r>
    </w:p>
    <w:p>
      <w:pPr>
        <w:spacing w:after="0" w:line="174" w:lineRule="exact"/>
        <w:rPr>
          <w:rFonts w:ascii="Courier New" w:cs="Courier New" w:eastAsia="Courier New" w:hAnsi="Courier New"/>
          <w:sz w:val="15"/>
          <w:szCs w:val="15"/>
          <w:color w:val="auto"/>
        </w:rPr>
      </w:pPr>
    </w:p>
    <w:p>
      <w:pPr>
        <w:ind w:left="880" w:right="3759" w:hanging="2"/>
        <w:spacing w:after="0" w:line="238" w:lineRule="auto"/>
        <w:tabs>
          <w:tab w:leader="none" w:pos="1324"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Revalue any of its assets or make any change in accounting methods, principles or practices;</w:t>
      </w:r>
    </w:p>
    <w:p>
      <w:pPr>
        <w:spacing w:after="0" w:line="174" w:lineRule="exact"/>
        <w:rPr>
          <w:rFonts w:ascii="Courier New" w:cs="Courier New" w:eastAsia="Courier New" w:hAnsi="Courier New"/>
          <w:sz w:val="15"/>
          <w:szCs w:val="15"/>
          <w:color w:val="auto"/>
        </w:rPr>
      </w:pPr>
    </w:p>
    <w:p>
      <w:pPr>
        <w:ind w:left="880" w:right="3399" w:hanging="2"/>
        <w:spacing w:after="0" w:line="239" w:lineRule="auto"/>
        <w:tabs>
          <w:tab w:leader="none" w:pos="1413"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Incur or enter into any agreement, contract or commitment outside of the ordinary course of business and requiring Company or any of its subsidiaries to pay in excess of $350,000;</w:t>
      </w:r>
    </w:p>
    <w:p>
      <w:pPr>
        <w:spacing w:after="0" w:line="175" w:lineRule="exact"/>
        <w:rPr>
          <w:rFonts w:ascii="Courier New" w:cs="Courier New" w:eastAsia="Courier New" w:hAnsi="Courier New"/>
          <w:sz w:val="15"/>
          <w:szCs w:val="15"/>
          <w:color w:val="auto"/>
        </w:rPr>
      </w:pPr>
    </w:p>
    <w:p>
      <w:pPr>
        <w:ind w:left="880" w:right="3219" w:hanging="2"/>
        <w:spacing w:after="0"/>
        <w:tabs>
          <w:tab w:leader="none" w:pos="1501"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any Tax election or accounting method change inconsistent with past practice that, individually or in the aggregate, would be reasonably likely to adversely affect in any material respect the Tax liability or Tax attributes of Company or any of its subsidiaries, taken as a whole, settle or compromise any Tax liability, or consent to any extension or waiver of any limitation period with respect to Taxes; or</w:t>
      </w:r>
    </w:p>
    <w:p>
      <w:pPr>
        <w:spacing w:after="0" w:line="175" w:lineRule="exact"/>
        <w:rPr>
          <w:rFonts w:ascii="Courier New" w:cs="Courier New" w:eastAsia="Courier New" w:hAnsi="Courier New"/>
          <w:sz w:val="15"/>
          <w:szCs w:val="15"/>
          <w:color w:val="auto"/>
        </w:rPr>
      </w:pPr>
    </w:p>
    <w:p>
      <w:pPr>
        <w:ind w:left="880" w:right="3659" w:hanging="2"/>
        <w:spacing w:after="0" w:line="238" w:lineRule="auto"/>
        <w:tabs>
          <w:tab w:leader="none" w:pos="159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 in writing or otherwise to take any of the actions described in this Section 4.1(b).</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4.2 Conduct of Business by Parent. During the period from the date of this Agreement and continuing until the earlier of the termination of this Agreement pursuant to its terms or the Effective Time, except as permitted by the terms of this Agreement, without the prior written consent of Company, Parent shall not declare, set aside or pay any dividends on or make any other distributions (whether in cash, stock, equity securities or property) in respect of any capital stock or split, combine or reclassify any capital stock or issue or authorize the issuance of any other securities in respect of, in lieu of or in substitution for any capital stock, unless the Merger Consideration shall be appropriately adjusted. In addition, parent shall cause Merger Sub to take all such steps as are necessary to give effect to Parent's obligations under this Agreement.</w:t>
      </w:r>
    </w:p>
    <w:p>
      <w:pPr>
        <w:spacing w:after="0" w:line="177"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V</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ADDITIONAL AGREEMENTS</w:t>
      </w:r>
    </w:p>
    <w:p>
      <w:pPr>
        <w:spacing w:after="0" w:line="174" w:lineRule="exact"/>
        <w:rPr>
          <w:sz w:val="20"/>
          <w:szCs w:val="20"/>
          <w:color w:val="auto"/>
        </w:rPr>
      </w:pPr>
    </w:p>
    <w:p>
      <w:pPr>
        <w:ind w:right="3219"/>
        <w:spacing w:after="0" w:line="259" w:lineRule="auto"/>
        <w:rPr>
          <w:sz w:val="20"/>
          <w:szCs w:val="20"/>
          <w:color w:val="auto"/>
        </w:rPr>
      </w:pPr>
      <w:r>
        <w:rPr>
          <w:rFonts w:ascii="Courier New" w:cs="Courier New" w:eastAsia="Courier New" w:hAnsi="Courier New"/>
          <w:sz w:val="14"/>
          <w:szCs w:val="14"/>
          <w:color w:val="auto"/>
        </w:rPr>
        <w:t>5.1 Stockholder Approval; Preparation of Registration Statement and Proxy Statement/prospectus. As soon as practicable following the execution of this Agreement, and as described in Section 1.3, above, Parent and Company shall prepare the Proxy Statement/Prospectus, and Parent shall prepare and file with the SEC the Registration Statement in which the Proxy Statement/Prospectus will be included as a prospectus. Each of Parent and the Company shall provide promptly to the other such information concerning its business and financial statements and affairs as, in the reasonable judgment of the providing party or its counsel, may be required or appropriate for inclusion in the Proxy</w:t>
      </w:r>
    </w:p>
    <w:p>
      <w:pPr>
        <w:spacing w:after="0" w:line="33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A-25</w:t>
      </w:r>
    </w:p>
    <w:p>
      <w:pPr>
        <w:sectPr>
          <w:pgSz w:w="11900" w:h="16838" w:orient="portrait"/>
          <w:cols w:equalWidth="0" w:num="1">
            <w:col w:w="10219"/>
          </w:cols>
          <w:pgMar w:left="240" w:top="631" w:right="1440" w:bottom="1440" w:gutter="0" w:footer="0" w:header="0"/>
        </w:sectPr>
      </w:pPr>
    </w:p>
    <w:bookmarkStart w:id="109" w:name="page110"/>
    <w:bookmarkEnd w:id="109"/>
    <w:p>
      <w:pPr>
        <w:ind w:right="3119"/>
        <w:spacing w:after="0" w:line="258" w:lineRule="auto"/>
        <w:rPr>
          <w:sz w:val="20"/>
          <w:szCs w:val="20"/>
          <w:color w:val="auto"/>
        </w:rPr>
      </w:pPr>
      <w:r>
        <w:rPr>
          <w:rFonts w:ascii="Courier New" w:cs="Courier New" w:eastAsia="Courier New" w:hAnsi="Courier New"/>
          <w:sz w:val="14"/>
          <w:szCs w:val="14"/>
          <w:color w:val="auto"/>
        </w:rPr>
        <w:t>Statement/Prospectus and the Registration Statement, or in any amendments or supplements thereto, and to cause its counsel and auditors to cooperate with the other's counsel and auditors in the preparation of the Proxy Statement/Prospectus and the Registration Statement. Each of the Company and Parent shall respond to any comments of the SEC, and shall use its respective commercially reasonable efforts to have the Registration Statement declared effective under the Securities Act as promptly as practicable after such filing, and the Company shall cause the Proxy Statement/Prospectus to be mailed to its stockholders at the earliest practicable time after the Registration Statement is declared effective by the SEC. As promptly as practicable after the date of this Agreement, each of the Company and Parent shall prepare and file any other filings required to be filed by it under the Exchange Act, the Securities Act or any other Federal, foreign or Blue Sky or related laws relating to the Merger and the transactions contemplated by this Agreement (the "Other Filings"). Each of the Company and Parent shall notify the other promptly upon the receipt of any comments from the SEC or its staff or any other government officials and of any request by the SEC or its staff or any other government officials for amendments or supplements to the Registration Statement, the Proxy Statement/Prospectus or any Other Filing or for additional information and shall supply the other with copies of all correspondence between such party or any of its representatives, on the one hand, and the SEC or its staff or any other government officials, on the other hand, with respect to the Registration Statement, the Proxy Statement/Prospectus, the Merger or any Other Filing. No filing of, or amendment or supplement to, or correspondence to the SEC or its staff with respect to, the Registration Statement will be made by Parent, or with respect to the Proxy Statement/Prospectus will be made by Company, without providing the other party a reasonable opportunity to review and comment thereon. Each of the Company and Parent shall cause all documents that it is responsible for filing with the SEC or other regulatory authorities under this Section 5.1 to comply in all material respects with all applicable requirements of law and the rules and regulations promulgated thereunder. If at any time prior to the Effective Time any information relating to Company or Parent, or any of their respective affiliates, officers or directors, should be discovered by Company or Parent which should be set forth in an amendment or supplement to either of the Registration Statement, the Proxy Statement or Other Filings, so that any of such documents would not include any misstatement of a material fact or omit to state any material fact necessary to make the statements therein, in light of the circumstances under which they were made, not misleading, the party which discovers such information shall promptly notify the other parties hereto and an appropriate amendment or supplement describing such information shall be promptly filed with the SEC and, to the extent required by law, disseminated to the stockholders of Company.</w:t>
      </w: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5.2 Stockholder Meeting.</w:t>
      </w:r>
    </w:p>
    <w:p>
      <w:pPr>
        <w:spacing w:after="0" w:line="174" w:lineRule="exact"/>
        <w:rPr>
          <w:sz w:val="20"/>
          <w:szCs w:val="20"/>
          <w:color w:val="auto"/>
        </w:rPr>
      </w:pPr>
    </w:p>
    <w:p>
      <w:pPr>
        <w:ind w:left="440" w:right="3119" w:hanging="5"/>
        <w:spacing w:after="0" w:line="258" w:lineRule="auto"/>
        <w:tabs>
          <w:tab w:leader="none" w:pos="795"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after the date hereof, the Company shall take all action necessary in accordance with Delaware Law and the Company Charter Documents to convene a meeting of the Company's stockholders (the "Company Stockholders' Meeting") to be held as promptly as practicable, for the purpose of voting upon this Agreement and the Merger. Subject to the terms of Section 5.2(c) hereof, the Company shall use its commercially reasonable efforts to solicit from its stockholders proxies in favor of the adoption and approval of this Agreement and the approval of the Merger and shall take all other action necessary or advisable to secure the vote or consent of its stockholders required by the rules of NASDAQ or Delaware Law to obtain such approvals. Notwithstanding anything to the contrary contained in this Agreement, the Company may adjourn or postpone the Company Stockholders' Meeting to the extent necessary to ensure that any necessary supplement or amendment to the Prospectus/Proxy Statement is provided to the Company's stockholders in advance of a vote on the Merger and this Agreement or, if as of the time for which the Company Stockholders' Meeting is originally scheduled (as set forth in the Prospectus/Proxy Statement) there are insufficient shares of Company Common Stock represented (either in person or by proxy) to constitute a quorum necessary to conduct the business of the Company Stockholders' Meeting. The Company shall ensure that the Company Stockholders' Meeting is called, noticed, convened, held and conducted, and that all proxies solicited by the Company in connection with the Company Stockholders' Meeting are solicited, in compliance with Delaware Law, the Company Charter Documents, the rules of NASDAQ and all other applicable legal requirements. The Company's obligation to call, give notice of, convene and hold the Company Stockholders' Meeting in accordance with this Section 5.2(a) shall not be limited to or otherwise affected by the commencement, disclosure, announcement or submission to the Company of any Acquisition Proposal (as defined in section 5.4(c), below.)</w:t>
      </w:r>
    </w:p>
    <w:p>
      <w:pPr>
        <w:spacing w:after="0" w:line="200" w:lineRule="exact"/>
        <w:rPr>
          <w:sz w:val="20"/>
          <w:szCs w:val="20"/>
          <w:color w:val="auto"/>
        </w:rPr>
      </w:pPr>
    </w:p>
    <w:p>
      <w:pPr>
        <w:spacing w:after="0" w:line="31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A-26</w:t>
      </w:r>
    </w:p>
    <w:p>
      <w:pPr>
        <w:sectPr>
          <w:pgSz w:w="11900" w:h="16838" w:orient="portrait"/>
          <w:cols w:equalWidth="0" w:num="1">
            <w:col w:w="10219"/>
          </w:cols>
          <w:pgMar w:left="240" w:top="631" w:right="1440" w:bottom="1440" w:gutter="0" w:footer="0" w:header="0"/>
        </w:sectPr>
      </w:pPr>
    </w:p>
    <w:bookmarkStart w:id="110" w:name="page111"/>
    <w:bookmarkEnd w:id="110"/>
    <w:p>
      <w:pPr>
        <w:ind w:left="440" w:right="3119" w:hanging="5"/>
        <w:spacing w:after="0"/>
        <w:tabs>
          <w:tab w:leader="none" w:pos="795"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of Section 5.2(c) hereof: (i) the Board of Directors of the Company shall, by unanimous recommendation of the non-interested directors of the Company Board, recommend that the Company's stockholders vote in favor of and adopt and approve this Agreement and the Merger at the Company Stockholders' Meeting; (ii) the Prospectus/Proxy Statement shall include a statement to the effect that the Board of Directors of the Company has, by a unanimous vote of the non-interested directors, recommended that the Company's stockholders vote in favor of and adopt and approve this Agreement and the Merger at the Company Stockholders' Meeting; and (iii) neither the Board of Directors of the Company nor any committee thereof shall withdraw, amend or modify, or propose or resolve to withdraw, amend or modify in a manner adverse to Parent, the unanimous recommendation of the non-interested members of the Board of Directors of the Company that the Company's stockholders vote in favor of and adopt and approve this Agreement and the Merger. For purposes of this Agreement, said recommendation of the Board of Directors shall be deemed to have been modified in a manner adverse to Parent if said recommendation shall no longer be unanimous.</w:t>
      </w:r>
    </w:p>
    <w:p>
      <w:pPr>
        <w:spacing w:after="0" w:line="184" w:lineRule="exact"/>
        <w:rPr>
          <w:rFonts w:ascii="Courier New" w:cs="Courier New" w:eastAsia="Courier New" w:hAnsi="Courier New"/>
          <w:sz w:val="15"/>
          <w:szCs w:val="15"/>
          <w:color w:val="auto"/>
        </w:rPr>
      </w:pPr>
    </w:p>
    <w:p>
      <w:pPr>
        <w:ind w:left="440" w:right="3219" w:hanging="5"/>
        <w:spacing w:after="0" w:line="258" w:lineRule="auto"/>
        <w:tabs>
          <w:tab w:leader="none" w:pos="795" w:val="left"/>
        </w:tabs>
        <w:numPr>
          <w:ilvl w:val="0"/>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in this Agreement shall prevent the Board of Directors of the Company from withholding, withdrawing, amending or modifying the unanimous recommendation of the non-interested directors in favor of the Merger if</w:t>
      </w:r>
    </w:p>
    <w:p>
      <w:pPr>
        <w:ind w:left="440" w:right="3119" w:hanging="5"/>
        <w:spacing w:after="0"/>
        <w:tabs>
          <w:tab w:leader="none" w:pos="79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Superior Offer (as defined in Section 5.4 hereof) is made to the Company and is not withdrawn, (ii) neither the Company nor any of its representatives shall have violated any of the restrictions set forth in Section 5.4 hereof, and (iii) the Board of Directors of the Company concludes in good faith, after consultation with its outside counsel, that, in light of such Superior Offer, the withholding, withdrawal, amendment or modification of such recommendation is required in order for the Board of Directors of the Company to comply with its fiduciary duties to the Company's stockholders under applicable law; provided, however, that prior to any commencement thereof the Company shall have given Parent at least seventy two (72) hours notice thereof and the opportunity to meet with the Company and its counsel. Nothing contained in this Section 5.2 shall limit the Company's obligation to hold and convene the Company Stockholders' Meeting (regardless of whether the unanimous recommendation of the non-interested members of the Board of Directors of the Company shall have been withdrawn, amended or modified).</w:t>
      </w:r>
    </w:p>
    <w:p>
      <w:pPr>
        <w:spacing w:after="0" w:line="183"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5.3 Confidentiality; Access to Information. The parties acknowledge that Company and Parent have previously executed a Confidentiality Agreement, dated as of October 10, 2001, (the "Confidentiality Agreement"), which Confidentiality Agreement will continue in full force and effect in accordance with its terms. Company will afford Parent and its accountants, counsel and other representatives reasonable access during normal business hours, upon reasonable notice, to the properties, books, records and personnel of Company during the period prior to the Effective Time to obtain all information concerning the business, including the status of product development efforts, properties, results of operations and personnel of Company, as Parent may reasonably request. No information or knowledge obtained by Parent in any investigation pursuant to this Section 5.3 will affect or be deemed to modify any representation or warranty contained herein or the conditions to the obligations of the parties to consummate the Merger.</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5.4 No Solicitation.</w:t>
      </w:r>
    </w:p>
    <w:p>
      <w:pPr>
        <w:spacing w:after="0" w:line="174" w:lineRule="exact"/>
        <w:rPr>
          <w:sz w:val="20"/>
          <w:szCs w:val="20"/>
          <w:color w:val="auto"/>
        </w:rPr>
      </w:pPr>
    </w:p>
    <w:p>
      <w:pPr>
        <w:ind w:left="440" w:right="3119" w:hanging="5"/>
        <w:spacing w:after="0" w:line="258" w:lineRule="auto"/>
        <w:tabs>
          <w:tab w:leader="none" w:pos="795" w:val="left"/>
        </w:tabs>
        <w:numPr>
          <w:ilvl w:val="0"/>
          <w:numId w:val="1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and its subsidiaries shall immediately cease any and all existing activities, discussions or negotiations with any parties conducted heretofore with respect to any Acquisition Proposal (as defined in Section 5.4(c) hereof). From and after the date of this Agreement until the Effective Time or termination of this Agreement pursuant to Article VII hereof, the Company and its subsidiaries shall not, nor will they authorize or permit any of their respective officers, directors, affiliates or employees or any investment banker, attorney or other advisor or representative retained by any of them to, directly or indirectly (i) solicit, initiate, encourage or induce the making, submission or announcement of any Acquisition Proposal, (ii) participate in any discussions or negotiations regarding, or furnish to any person any non-public information with respect to, or take any other action to facilitate any inquiries or the making of any proposal that constitutes or may reasonably be expected to lead to, any Acquisition Proposal, (iii) engage in discussions with any person with respect to any Acquisition Proposal, (iv) subject to the terms of Section 5.4(c) hereof, approve, endorse or recommend any Acquisition Proposal or (v) enter into any letter of intent or similar document or any contract, agreement or commitment contemplating or otherwise relating to any Acquisition Transaction; provided, however, that the terms of this Section 5.4 shall not prohibit the Company from furnishing nonpublic information regarding the Company and its subsidiaries to, entering into a confidentiality agreement with or entering into discussions with, any person or group in response to a</w:t>
      </w:r>
    </w:p>
    <w:p>
      <w:pPr>
        <w:spacing w:after="0" w:line="200" w:lineRule="exact"/>
        <w:rPr>
          <w:sz w:val="20"/>
          <w:szCs w:val="20"/>
          <w:color w:val="auto"/>
        </w:rPr>
      </w:pPr>
    </w:p>
    <w:p>
      <w:pPr>
        <w:spacing w:after="0" w:line="31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A-27</w:t>
      </w:r>
    </w:p>
    <w:p>
      <w:pPr>
        <w:sectPr>
          <w:pgSz w:w="11900" w:h="16838" w:orient="portrait"/>
          <w:cols w:equalWidth="0" w:num="1">
            <w:col w:w="10219"/>
          </w:cols>
          <w:pgMar w:left="240" w:top="631" w:right="1440" w:bottom="1440" w:gutter="0" w:footer="0" w:header="0"/>
        </w:sectPr>
      </w:pPr>
    </w:p>
    <w:bookmarkStart w:id="111" w:name="page112"/>
    <w:bookmarkEnd w:id="111"/>
    <w:p>
      <w:pPr>
        <w:ind w:left="5" w:right="3119"/>
        <w:spacing w:after="0" w:line="258" w:lineRule="auto"/>
        <w:rPr>
          <w:sz w:val="20"/>
          <w:szCs w:val="20"/>
          <w:color w:val="auto"/>
        </w:rPr>
      </w:pPr>
      <w:r>
        <w:rPr>
          <w:rFonts w:ascii="Courier New" w:cs="Courier New" w:eastAsia="Courier New" w:hAnsi="Courier New"/>
          <w:sz w:val="14"/>
          <w:szCs w:val="14"/>
          <w:color w:val="auto"/>
        </w:rPr>
        <w:t>Superior Offer submitted by such person or group (and not withdrawn) if (1) neither the Company nor any representative of the Company and its subsidiaries shall have violated any of the restrictions set forth in this Section 5.4, (2) the Board of Directors of the Company concludes in good faith, after consultation with its outside legal counsel, that such action is required in order for the Board of Directors of the Company to comply with its fiduciary duties to the Company's stockholders under applicable law, (3)(x) at least three (3) business days prior to furnishing any such nonpublic information to, or entering into discussions or negotiations with, such person or group, the Company gives Parent written notice of the identity of such person or group and of the Company's intention to furnish nonpublic information to, or enter into discussions or negotiations with, such person or group and (y) the Company receives from such person or group an executed confidentiality agreement containing customary limitations on the use and disclosure of all nonpublic written and oral information furnished to such person or group by or on behalf of the Company, and (4) contemporaneously with furnishing any such nonpublic information to such person or group, the Company furnishes such nonpublic information to Parent (to the extent such nonpublic information has not been previously furnished by the Company to Parent); and provided further, however, that the terms of this Section 5.4 shall not prohibit the Company from taking any action necessary in order to comply with Rule 14d-9 or Rule 14e-2 promulgated under the Exchange Act. Without limiting the foregoing, it is understood that any violation of the restrictions set forth in the preceding two sentences by any officer or director of the Company or any of its subsidiaries or any investment banker, attorney or other advisor or representative of the Company or any of its subsidiaries shall be deemed to be a breach of this Section 5.4 by the Company. In addition to the foregoing, the Company shall (i) provide Parent with at least forty-eight</w:t>
      </w:r>
    </w:p>
    <w:p>
      <w:pPr>
        <w:spacing w:after="0" w:line="176" w:lineRule="exact"/>
        <w:rPr>
          <w:sz w:val="20"/>
          <w:szCs w:val="20"/>
          <w:color w:val="auto"/>
        </w:rPr>
      </w:pPr>
    </w:p>
    <w:p>
      <w:pPr>
        <w:ind w:left="5" w:right="3119" w:hanging="5"/>
        <w:spacing w:after="0"/>
        <w:tabs>
          <w:tab w:leader="none" w:pos="449"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hours prior notice (or such lesser prior notice as provided to the members of the Company's Board of Directors but in no event less than eight hours) of any meeting of the Company's Board of Directors at which the Company's Board of Directors is reasonably expected to consider a Superior Offer, and (ii) provide Parent with at least three (3) business days prior written notice of a meeting of the Company's Board of Directors at which the Company's Board of Directors is reasonably expected to recommend a Superior Offer to its stockholders and together with such notice a copy of all documentation relating to such Superior Offer, including proposed written agreements, arrangements, or understandings and all applicable financial statements and evidence of any planned financing with respect to such Superior Proposal (and a description of all material oral agreements with respect thereto.</w:t>
      </w:r>
    </w:p>
    <w:p>
      <w:pPr>
        <w:spacing w:after="0" w:line="17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(b) In addition to the obligations of the Company set forth in Section</w:t>
      </w:r>
    </w:p>
    <w:p>
      <w:pPr>
        <w:spacing w:after="0" w:line="3" w:lineRule="exact"/>
        <w:rPr>
          <w:sz w:val="20"/>
          <w:szCs w:val="20"/>
          <w:color w:val="auto"/>
        </w:rPr>
      </w:pPr>
    </w:p>
    <w:p>
      <w:pPr>
        <w:ind w:left="5" w:right="3119"/>
        <w:spacing w:after="0"/>
        <w:rPr>
          <w:sz w:val="20"/>
          <w:szCs w:val="20"/>
          <w:color w:val="auto"/>
        </w:rPr>
      </w:pPr>
      <w:r>
        <w:rPr>
          <w:rFonts w:ascii="Courier New" w:cs="Courier New" w:eastAsia="Courier New" w:hAnsi="Courier New"/>
          <w:sz w:val="15"/>
          <w:szCs w:val="15"/>
          <w:color w:val="auto"/>
        </w:rPr>
        <w:t>5.4(a) hereof, the Company as promptly as practicable shall advise Parent orally and in writing of any request received by the Company for non-public information which the Company reasonably believes would lead to an Acquisition Proposal or of any Acquisition Proposal, or any inquiry received by the Company with respect to or which the Company reasonably should believe would lead to any Acquisition Proposal, the material terms and conditions of such request, Acquisition Proposal or inquiry, and the identity of the person or group making any such request, Acquisition Proposal or inquiry. The Company shall use reasonable efforts to keep Parent informed in all material respects of the status and details (including material amendments or proposed amendments) of any such request, Acquisition Proposal or inquiry.</w:t>
      </w:r>
    </w:p>
    <w:p>
      <w:pPr>
        <w:spacing w:after="0" w:line="180" w:lineRule="exact"/>
        <w:rPr>
          <w:sz w:val="20"/>
          <w:szCs w:val="20"/>
          <w:color w:val="auto"/>
        </w:rPr>
      </w:pPr>
    </w:p>
    <w:p>
      <w:pPr>
        <w:ind w:left="5" w:right="3119" w:hanging="5"/>
        <w:spacing w:after="0" w:line="258" w:lineRule="auto"/>
        <w:tabs>
          <w:tab w:leader="none" w:pos="360" w:val="left"/>
        </w:tabs>
        <w:numPr>
          <w:ilvl w:val="0"/>
          <w:numId w:val="1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Agreement, (i) "Acquisition Proposal" shall mean any offer or proposal (other than an offer or proposal by Parent) relating to any Acquisition Transaction; (ii) "Acquisition Transaction" shall mean any transaction or series of related transactions other than the transactions contemplated by this Agreement involving: (A) any acquisition or purchase from the Company by any person or "group" (as defined under Section 13(d) of the Exchange Act and the rules and regulations thereunder) of more than a fifteen percent (15%) interest in the total outstanding voting securities of the Company or any of its subsidiaries or any tender offer or exchange offer that if consummated would result in any person or "group" (as defined under Section 13(d) of the Exchange Act and the rules and regulations thereunder) beneficially owning fifteen percent (15%) or more of the total outstanding voting securities of the Company or any of its subsidiaries or any merger, consolidation, business combination or similar transaction involving the Company pursuant to which the stockholders of the Company immediately preceding such transaction hold less than eighty-five percent (85%) of the equity interests in the surviving or resulting entity of such transaction; (B) any sale, lease, exchange, transfer, license, acquisition or disposition of more than fifteen percent (15%) of the assets of the Company; or (C) any liquidation or dissolution of the Company; and (iii) "Superior Offer" shall mean an unsolicited, bona fide written offer made by a third party to consummate any of the following transactions: (A) a merger, consolidation, business combination, recapitalization, liquidation, dissolution or similar</w:t>
      </w:r>
    </w:p>
    <w:p>
      <w:pPr>
        <w:spacing w:after="0" w:line="200" w:lineRule="exact"/>
        <w:rPr>
          <w:sz w:val="20"/>
          <w:szCs w:val="20"/>
          <w:color w:val="auto"/>
        </w:rPr>
      </w:pPr>
    </w:p>
    <w:p>
      <w:pPr>
        <w:spacing w:after="0" w:line="313"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A-28</w:t>
      </w:r>
    </w:p>
    <w:p>
      <w:pPr>
        <w:sectPr>
          <w:pgSz w:w="11900" w:h="16838" w:orient="portrait"/>
          <w:cols w:equalWidth="0" w:num="1">
            <w:col w:w="9784"/>
          </w:cols>
          <w:pgMar w:left="675" w:top="631" w:right="1440" w:bottom="1440" w:gutter="0" w:footer="0" w:header="0"/>
        </w:sectPr>
      </w:pPr>
    </w:p>
    <w:bookmarkStart w:id="112" w:name="page113"/>
    <w:bookmarkEnd w:id="112"/>
    <w:p>
      <w:pPr>
        <w:ind w:left="440" w:right="3119"/>
        <w:spacing w:after="0"/>
        <w:rPr>
          <w:sz w:val="20"/>
          <w:szCs w:val="20"/>
          <w:color w:val="auto"/>
        </w:rPr>
      </w:pPr>
      <w:r>
        <w:rPr>
          <w:rFonts w:ascii="Courier New" w:cs="Courier New" w:eastAsia="Courier New" w:hAnsi="Courier New"/>
          <w:sz w:val="15"/>
          <w:szCs w:val="15"/>
          <w:color w:val="auto"/>
        </w:rPr>
        <w:t>transaction involving the Company pursuant to which the stockholders of the Company immediately preceding such transaction hold less than a majority of the equity interests in the surviving or resulting entity of such transaction; (B) the acquisition by any person or group (including by way of a tender or exchange offer or issuance by the Company), directly or indirectly, of beneficial ownership or a right to acquire beneficial ownership of shares representing a majority of the voting power of the outstanding shares of the Company's capital stock; or (C) a sale or other disposition by the Company of substantially all of its assets, in the case of each of clauses (A), (B) and (C) on terms that the Board of Directors of the Company determines, in its reasonable judgment (based on advice of a financial advisor of nationally recognized reputation) to be more favorable to the Company stockholders from a financial point of view than the terms of the Merger.</w:t>
      </w:r>
    </w:p>
    <w:p>
      <w:pPr>
        <w:spacing w:after="0" w:line="181" w:lineRule="exact"/>
        <w:rPr>
          <w:sz w:val="20"/>
          <w:szCs w:val="20"/>
          <w:color w:val="auto"/>
        </w:rPr>
      </w:pPr>
    </w:p>
    <w:p>
      <w:pPr>
        <w:ind w:right="3119"/>
        <w:spacing w:after="0" w:line="260" w:lineRule="auto"/>
        <w:rPr>
          <w:sz w:val="20"/>
          <w:szCs w:val="20"/>
          <w:color w:val="auto"/>
        </w:rPr>
      </w:pPr>
      <w:r>
        <w:rPr>
          <w:rFonts w:ascii="Courier New" w:cs="Courier New" w:eastAsia="Courier New" w:hAnsi="Courier New"/>
          <w:sz w:val="14"/>
          <w:szCs w:val="14"/>
          <w:color w:val="auto"/>
        </w:rPr>
        <w:t>5.5 Public Disclosure. Parent and Company will consult with each other, and agree, before issuing any press release, and will consult with each other and to the extent practicable, agree, before otherwise making any public statement with respect to this Agreement, the other party, or an Acquisition Proposal, and will not issue any such press release or make any such public statement prior to such consultation, except as may be required by law or any listing agreement with a national securities exchange, in which case reasonable efforts to consult with the other party will be made prior to any such release or public statement.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5.6 Efforts; Notification.</w:t>
      </w:r>
    </w:p>
    <w:p>
      <w:pPr>
        <w:spacing w:after="0" w:line="174" w:lineRule="exact"/>
        <w:rPr>
          <w:sz w:val="20"/>
          <w:szCs w:val="20"/>
          <w:color w:val="auto"/>
        </w:rPr>
      </w:pPr>
    </w:p>
    <w:p>
      <w:pPr>
        <w:ind w:left="440" w:right="3119" w:hanging="5"/>
        <w:spacing w:after="0" w:line="258" w:lineRule="auto"/>
        <w:tabs>
          <w:tab w:leader="none" w:pos="795"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terms and subject to the conditions set forth in this Agreement, each of the parties agrees to use its commercially reasonable efforts to take, or cause to be taken, all reasonable actions, and to do, or cause to be done, and to assist and cooperate with the other parties in doing, all things reasonably necessary, proper or advisable to consummate and make effective, in the most expeditious manner practicable, the transactions contemplated by this Agreement, including to accomplish the following: (i) causing of the conditions precedent set forth in Article VI to be satisfied, (ii) the obtaining of all necessary actions or nonactions, waivers, consents, approvals, orders and authorizations from Governmental Entities and the making of all necessary registrations, declarations and filings (including registrations, declarations and filings with Governmental Entities, if any) and the taking of all commercially reasonable steps as may be necessary to avoid any suit, claim, action, investigation or proceeding by any Governmental Entity, (iii) the defending of any suits, claims, actions, investigations or proceedings, whether judicial or administrative, challenging this Agreement or the consummation of the transactions contemplated hereby, including seeking to have any stay or temporary restraining order entered by any court or other Governmental Entity vacated or reversed and (iv) the execution or delivery of any additional instruments reasonably necessary to consummate the transactions contemplated by, and to fully carry out the purposes of, this Agreement. In connection with and without limiting the foregoing, Company and the Company Board shall, if any state takeover statute or similar statute or regulation is or becomes applicable to this Agreement or any of the transactions contemplated by this Agreement, use its best efforts to take, or cause to be taken, all reasonable actions to ensure that the transactions contemplated by this Agreement may be consummated as promptly as practicable on the terms contemplated by this Agreement and otherwise to minimize the effect of such statute or regulation on this Agreement and the transactions contemplated hereby.</w:t>
      </w:r>
    </w:p>
    <w:p>
      <w:pPr>
        <w:spacing w:after="0" w:line="200" w:lineRule="exact"/>
        <w:rPr>
          <w:rFonts w:ascii="Courier New" w:cs="Courier New" w:eastAsia="Courier New" w:hAnsi="Courier New"/>
          <w:sz w:val="14"/>
          <w:szCs w:val="14"/>
          <w:color w:val="auto"/>
        </w:rPr>
      </w:pPr>
    </w:p>
    <w:p>
      <w:pPr>
        <w:spacing w:after="0" w:line="317" w:lineRule="exact"/>
        <w:rPr>
          <w:rFonts w:ascii="Courier New" w:cs="Courier New" w:eastAsia="Courier New" w:hAnsi="Courier New"/>
          <w:sz w:val="14"/>
          <w:szCs w:val="14"/>
          <w:color w:val="auto"/>
        </w:rPr>
      </w:pPr>
    </w:p>
    <w:p>
      <w:pPr>
        <w:ind w:left="440" w:right="3119" w:hanging="5"/>
        <w:spacing w:after="0"/>
        <w:tabs>
          <w:tab w:leader="none" w:pos="79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give prompt notice to Parent upon becoming aware that any representation or warranty made by it contained in this Agreement has become materially untrue or inaccurate, or of any failure of Company to comply with or satisfy in any material respect any covenant, condition or agreement to be complied with or satisfied by it under this Agreement; provided, however, that no such notification shall affect the representations, warranties, covenants or agreements of the parties or the conditions to the obligations of the parties under this Agreement.</w:t>
      </w:r>
    </w:p>
    <w:p>
      <w:pPr>
        <w:spacing w:after="0" w:line="176" w:lineRule="exact"/>
        <w:rPr>
          <w:rFonts w:ascii="Courier New" w:cs="Courier New" w:eastAsia="Courier New" w:hAnsi="Courier New"/>
          <w:sz w:val="15"/>
          <w:szCs w:val="15"/>
          <w:color w:val="auto"/>
        </w:rPr>
      </w:pPr>
    </w:p>
    <w:p>
      <w:pPr>
        <w:ind w:left="440" w:right="3119" w:hanging="5"/>
        <w:spacing w:after="0"/>
        <w:tabs>
          <w:tab w:leader="none" w:pos="795"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Parent shall give prompt notice to Company upon becoming aware that any representation or warranty made by it or Merger Sub contained in this Agreement has become materially untrue or inaccurate, or of any failure of Parent or Merger Sub to comply with or satisfy in any material respect any covenant, condition or agreement to be complied with or satisfied by it under this Agreement; provided, however, that no such notification shall affect the representations, warranties, covenants or agreements of the parties or the conditions to the obligations of the parties under this Agreement.</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A-29</w:t>
      </w:r>
    </w:p>
    <w:p>
      <w:pPr>
        <w:sectPr>
          <w:pgSz w:w="11900" w:h="16838" w:orient="portrait"/>
          <w:cols w:equalWidth="0" w:num="1">
            <w:col w:w="10219"/>
          </w:cols>
          <w:pgMar w:left="240" w:top="631" w:right="1440" w:bottom="1440" w:gutter="0" w:footer="0" w:header="0"/>
        </w:sectPr>
      </w:pPr>
    </w:p>
    <w:bookmarkStart w:id="113" w:name="page114"/>
    <w:bookmarkEnd w:id="113"/>
    <w:p>
      <w:pPr>
        <w:ind w:right="3299"/>
        <w:spacing w:after="0" w:line="239" w:lineRule="auto"/>
        <w:rPr>
          <w:sz w:val="20"/>
          <w:szCs w:val="20"/>
          <w:color w:val="auto"/>
        </w:rPr>
      </w:pPr>
      <w:r>
        <w:rPr>
          <w:rFonts w:ascii="Courier New" w:cs="Courier New" w:eastAsia="Courier New" w:hAnsi="Courier New"/>
          <w:sz w:val="15"/>
          <w:szCs w:val="15"/>
          <w:color w:val="auto"/>
        </w:rPr>
        <w:t>5.7 Third Party Consents. As soon as practicable following the date hereof, Parent and Company will each use commercially reasonable efforts to obtain all consents, waivers and approvals set forth in Section 5.7 of the Company Schedule.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5.8 Stock Options; ESPP.</w:t>
      </w:r>
    </w:p>
    <w:p>
      <w:pPr>
        <w:spacing w:after="0" w:line="174" w:lineRule="exact"/>
        <w:rPr>
          <w:sz w:val="20"/>
          <w:szCs w:val="20"/>
          <w:color w:val="auto"/>
        </w:rPr>
      </w:pPr>
    </w:p>
    <w:p>
      <w:pPr>
        <w:ind w:left="440" w:right="3119" w:hanging="5"/>
        <w:spacing w:after="0"/>
        <w:tabs>
          <w:tab w:leader="none" w:pos="795"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Immediately prior to the Effective Time of the Merger, and except as provided below, each outstanding Company Stock Option, and the Company Option Plans shall terminate. In the case of any holder of a Company Stock Option, the parties shall take reasonable steps (i) to enable the holder thereof to exercise any portion of the option that is either exercisable or that first becomes exercisable in connection with the Merger, or (ii) convert such option to an option in the Parent's 1998 Stock Option Plan as more fully described below.</w:t>
      </w:r>
    </w:p>
    <w:p>
      <w:pPr>
        <w:spacing w:after="0" w:line="176" w:lineRule="exact"/>
        <w:rPr>
          <w:rFonts w:ascii="Courier New" w:cs="Courier New" w:eastAsia="Courier New" w:hAnsi="Courier New"/>
          <w:sz w:val="15"/>
          <w:szCs w:val="15"/>
          <w:color w:val="auto"/>
        </w:rPr>
      </w:pPr>
    </w:p>
    <w:p>
      <w:pPr>
        <w:ind w:left="880" w:right="3219" w:hanging="2"/>
        <w:spacing w:after="0" w:line="239" w:lineRule="auto"/>
        <w:tabs>
          <w:tab w:leader="none" w:pos="1235"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date of execution of this Agreement, and unless the Merger does not close as contemplated by this Agreement, the Company shall make no additional grants of Company Stock Options;</w:t>
      </w:r>
    </w:p>
    <w:p>
      <w:pPr>
        <w:spacing w:after="0" w:line="175" w:lineRule="exact"/>
        <w:rPr>
          <w:rFonts w:ascii="Courier New" w:cs="Courier New" w:eastAsia="Courier New" w:hAnsi="Courier New"/>
          <w:sz w:val="15"/>
          <w:szCs w:val="15"/>
          <w:color w:val="auto"/>
        </w:rPr>
      </w:pPr>
    </w:p>
    <w:p>
      <w:pPr>
        <w:ind w:left="880" w:right="3119" w:hanging="2"/>
        <w:spacing w:after="0"/>
        <w:tabs>
          <w:tab w:leader="none" w:pos="1324" w:val="left"/>
        </w:tabs>
        <w:numPr>
          <w:ilvl w:val="1"/>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Effective Time of the Merger, Parent shall assume the Company Stock Options, and such assumed Company Stock Options will continue to have, and be subject to, the terms and conditions of such options immediately prior to the Effective Time except that (a) each Company Grant will be solely exercisable (or will become exercisable in accordance with its terms) for that number of whole shares of Parent Common Stock equal to the product of the number of shares of Company Common Stock that were issuable upon exercise of such Company Stock Options immediately prior to the Effective Time multiplied by the Option Exchange Ratio, rounded down to the nearest whole number of shares of Parent Common Stock and (b) the per share exercise price for the shares of Parent Common Stock issuable upon exercise of such assumed Company Stock Options will be equal to the quotient determined by dividing the exercise price per share of Company Common Stock at which such Company Stock Option was exercisable immediately prior to the Effective Time by the Option Exchange Ratio, rounded up to the nearest whole cent. Parent shall comply with the terms of all such grants of Company Stock Options. Parent shall take all corporate actions necessary to reserve for issuance a sufficient number of shares of Parent Common Stock for delivery pursuant to the terms set forth in this Section 5.8(a). The "Option Exchange Ratio" shall be determined as follows:</w:t>
      </w:r>
    </w:p>
    <w:p>
      <w:pPr>
        <w:spacing w:after="0" w:line="184"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Option Exchange Ratio = (TV/ TS) / AP</w:t>
      </w:r>
    </w:p>
    <w:p>
      <w:pPr>
        <w:spacing w:after="0" w:line="171"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Where</w:t>
      </w:r>
    </w:p>
    <w:p>
      <w:pPr>
        <w:spacing w:after="0" w:line="171" w:lineRule="exact"/>
        <w:rPr>
          <w:sz w:val="20"/>
          <w:szCs w:val="20"/>
          <w:color w:val="auto"/>
        </w:rPr>
      </w:pPr>
    </w:p>
    <w:p>
      <w:pPr>
        <w:ind w:left="1140"/>
        <w:spacing w:after="0"/>
        <w:tabs>
          <w:tab w:leader="none" w:pos="1480" w:val="left"/>
          <w:tab w:leader="none" w:pos="1740" w:val="left"/>
        </w:tabs>
        <w:rPr>
          <w:sz w:val="20"/>
          <w:szCs w:val="20"/>
          <w:color w:val="auto"/>
        </w:rPr>
      </w:pPr>
      <w:r>
        <w:rPr>
          <w:rFonts w:ascii="Courier New" w:cs="Courier New" w:eastAsia="Courier New" w:hAnsi="Courier New"/>
          <w:sz w:val="15"/>
          <w:szCs w:val="15"/>
          <w:color w:val="auto"/>
        </w:rPr>
        <w:t>TV</w:t>
        <w:tab/>
        <w:t>=</w:t>
      </w:r>
      <w:r>
        <w:rPr>
          <w:sz w:val="20"/>
          <w:szCs w:val="20"/>
          <w:color w:val="auto"/>
        </w:rPr>
        <w:tab/>
      </w:r>
      <w:r>
        <w:rPr>
          <w:rFonts w:ascii="Courier New" w:cs="Courier New" w:eastAsia="Courier New" w:hAnsi="Courier New"/>
          <w:sz w:val="14"/>
          <w:szCs w:val="14"/>
          <w:color w:val="auto"/>
        </w:rPr>
        <w:t>The sum of $7,300,000 plus the product of (i) the</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Average Price (defined below) times (ii) 873,000</w:t>
      </w:r>
    </w:p>
    <w:p>
      <w:pPr>
        <w:spacing w:after="0" w:line="1"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("Transaction Value")</w:t>
      </w:r>
    </w:p>
    <w:p>
      <w:pPr>
        <w:spacing w:after="0" w:line="3" w:lineRule="exact"/>
        <w:rPr>
          <w:sz w:val="20"/>
          <w:szCs w:val="20"/>
          <w:color w:val="auto"/>
        </w:rPr>
      </w:pPr>
    </w:p>
    <w:p>
      <w:pPr>
        <w:ind w:left="1500" w:right="3579" w:hanging="620"/>
        <w:spacing w:after="0" w:line="239" w:lineRule="auto"/>
        <w:tabs>
          <w:tab w:leader="none" w:pos="1480" w:val="left"/>
        </w:tabs>
        <w:rPr>
          <w:sz w:val="20"/>
          <w:szCs w:val="20"/>
          <w:color w:val="auto"/>
        </w:rPr>
      </w:pPr>
      <w:r>
        <w:rPr>
          <w:rFonts w:ascii="Courier New" w:cs="Courier New" w:eastAsia="Courier New" w:hAnsi="Courier New"/>
          <w:sz w:val="15"/>
          <w:szCs w:val="15"/>
          <w:color w:val="auto"/>
        </w:rPr>
        <w:t>TS</w:t>
        <w:tab/>
        <w:t>= The aggregate the number of shares of Company Common Stock and Company Stock Options outstanding immediately prior to the Effective Time</w:t>
      </w:r>
    </w:p>
    <w:p>
      <w:pPr>
        <w:spacing w:after="0" w:line="4" w:lineRule="exact"/>
        <w:rPr>
          <w:sz w:val="20"/>
          <w:szCs w:val="20"/>
          <w:color w:val="auto"/>
        </w:rPr>
      </w:pPr>
    </w:p>
    <w:p>
      <w:pPr>
        <w:ind w:left="1500" w:right="3299" w:hanging="620"/>
        <w:spacing w:after="0" w:line="239" w:lineRule="auto"/>
        <w:tabs>
          <w:tab w:leader="none" w:pos="1480" w:val="left"/>
        </w:tabs>
        <w:rPr>
          <w:sz w:val="20"/>
          <w:szCs w:val="20"/>
          <w:color w:val="auto"/>
        </w:rPr>
      </w:pPr>
      <w:r>
        <w:rPr>
          <w:rFonts w:ascii="Courier New" w:cs="Courier New" w:eastAsia="Courier New" w:hAnsi="Courier New"/>
          <w:sz w:val="15"/>
          <w:szCs w:val="15"/>
          <w:color w:val="auto"/>
        </w:rPr>
        <w:t>AP</w:t>
        <w:tab/>
        <w:t>= The weighted average closing price of the Parent Common Stock for the ten (10) trading days ending one trading day prior to the Closing Date, as quoted on the NASDAQ National Market (the "Average Price"))</w:t>
      </w:r>
    </w:p>
    <w:p>
      <w:pPr>
        <w:spacing w:after="0" w:line="176" w:lineRule="exact"/>
        <w:rPr>
          <w:sz w:val="20"/>
          <w:szCs w:val="20"/>
          <w:color w:val="auto"/>
        </w:rPr>
      </w:pPr>
    </w:p>
    <w:p>
      <w:pPr>
        <w:ind w:left="880" w:right="3119"/>
        <w:spacing w:after="0"/>
        <w:rPr>
          <w:sz w:val="20"/>
          <w:szCs w:val="20"/>
          <w:color w:val="auto"/>
        </w:rPr>
      </w:pPr>
      <w:r>
        <w:rPr>
          <w:rFonts w:ascii="Courier New" w:cs="Courier New" w:eastAsia="Courier New" w:hAnsi="Courier New"/>
          <w:sz w:val="15"/>
          <w:szCs w:val="15"/>
          <w:color w:val="auto"/>
        </w:rPr>
        <w:t>The parties acknowledge that the formula for the Option Exchange Ratio is intended to exchange a fraction of a share of Parent Common Stock for each for each share of Company Common Stock subject to a Company Stock Option, with the value of such fraction of a share of Parent Common Stock to be approximately equivalent to the aggregate value of the Cash Portion and Stock Portion exchanged for each outstanding share of Company Common Stock, as such value is determined by the Average Price.</w:t>
      </w:r>
    </w:p>
    <w:p>
      <w:pPr>
        <w:spacing w:after="0" w:line="177" w:lineRule="exact"/>
        <w:rPr>
          <w:sz w:val="20"/>
          <w:szCs w:val="20"/>
          <w:color w:val="auto"/>
        </w:rPr>
      </w:pPr>
    </w:p>
    <w:p>
      <w:pPr>
        <w:ind w:left="440" w:right="3119" w:hanging="5"/>
        <w:spacing w:after="0" w:line="262" w:lineRule="auto"/>
        <w:tabs>
          <w:tab w:leader="none" w:pos="795"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ESPP. Company shall take all steps necessary to terminate Company's ESPP as soon as practicable following the Closing Date. Any shares of Company Common Stock in the ESPP shall by virtue of the Merger, and without any action on the part of the holder thereof, be converted into the right</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A-30</w:t>
      </w:r>
    </w:p>
    <w:p>
      <w:pPr>
        <w:sectPr>
          <w:pgSz w:w="11900" w:h="16838" w:orient="portrait"/>
          <w:cols w:equalWidth="0" w:num="1">
            <w:col w:w="10219"/>
          </w:cols>
          <w:pgMar w:left="240" w:top="631" w:right="1440" w:bottom="1440" w:gutter="0" w:footer="0" w:header="0"/>
        </w:sectPr>
      </w:pPr>
    </w:p>
    <w:bookmarkStart w:id="114" w:name="page115"/>
    <w:bookmarkEnd w:id="114"/>
    <w:p>
      <w:pPr>
        <w:ind w:left="440" w:right="3119"/>
        <w:spacing w:after="0"/>
        <w:rPr>
          <w:sz w:val="20"/>
          <w:szCs w:val="20"/>
          <w:color w:val="auto"/>
        </w:rPr>
      </w:pPr>
      <w:r>
        <w:rPr>
          <w:rFonts w:ascii="Courier New" w:cs="Courier New" w:eastAsia="Courier New" w:hAnsi="Courier New"/>
          <w:sz w:val="15"/>
          <w:szCs w:val="15"/>
          <w:color w:val="auto"/>
        </w:rPr>
        <w:t>to receive the Merger Consideration described in Section 1.7(a), above, without issuance of certificates representing issued and outstanding shares of Company Common Stock to participants under the ESPP. Company shall, prior to the Effective Time, provide Parent with evidence of the termination of the ESPP.</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5.9 Employee Benefits.</w:t>
      </w:r>
    </w:p>
    <w:p>
      <w:pPr>
        <w:spacing w:after="0" w:line="174" w:lineRule="exact"/>
        <w:rPr>
          <w:sz w:val="20"/>
          <w:szCs w:val="20"/>
          <w:color w:val="auto"/>
        </w:rPr>
      </w:pPr>
    </w:p>
    <w:p>
      <w:pPr>
        <w:ind w:left="440" w:right="3119" w:hanging="5"/>
        <w:spacing w:after="0"/>
        <w:tabs>
          <w:tab w:leader="none" w:pos="795"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terminate, effective as of the day immediately preceding the date the Company becomes a member of the same Controlled Group of Corporations (as defined in Section 414(b) of the Code) as the Parent (the "401(k) Termination Date"), any and all 401(k) plans unless Parent provides notice to Company that such 401(k) plan(s) shall not be terminated. Parent shall receive from Company evidence that Company's plan(s) and/or program(s) have been terminated pursuant to resolutions of each such entity's Board of Directors (the form and substance of such resolutions shall be subject to review and approval of Parent), effective as of the 401(k) Termination Date. To the extent permitted by Parent's applicable plan and otherwise practicable, Parent shall take appropriate steps to enable continuing employees to roll over distributions from the terminated plans to a tax-qualified defined contribution plan or plans maintained by Parent or an affiliate.</w:t>
      </w:r>
    </w:p>
    <w:p>
      <w:pPr>
        <w:spacing w:after="0" w:line="181" w:lineRule="exact"/>
        <w:rPr>
          <w:rFonts w:ascii="Courier New" w:cs="Courier New" w:eastAsia="Courier New" w:hAnsi="Courier New"/>
          <w:sz w:val="15"/>
          <w:szCs w:val="15"/>
          <w:color w:val="auto"/>
        </w:rPr>
      </w:pPr>
    </w:p>
    <w:p>
      <w:pPr>
        <w:ind w:left="440" w:right="3119" w:hanging="5"/>
        <w:spacing w:after="0" w:line="259" w:lineRule="auto"/>
        <w:tabs>
          <w:tab w:leader="none" w:pos="795" w:val="left"/>
        </w:tabs>
        <w:numPr>
          <w:ilvl w:val="0"/>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will cause the Surviving Corporation to provide the benefits (including health benefits, severance policies, 401(k) plans and general employment policies and procedures, subject to the terms and conditions of such plans) which are substantially comparable in the aggregate to benefits that are available to similarly situated employees of Parent and its subsidiaries as of the date hereof, provided, however, that such insurance carriers, outside providers or the like are able to provide such benefits on terms reasonably acceptable to Parent, and provided, further, that nothing in this Section 5.8 shall prevent the Surviving Corporation or any of its subsidiaries from making any change required by applicable law, and provided, further, that it shall not result in any duplication of benefits.</w:t>
      </w:r>
    </w:p>
    <w:p>
      <w:pPr>
        <w:spacing w:after="0" w:line="165" w:lineRule="exact"/>
        <w:rPr>
          <w:sz w:val="20"/>
          <w:szCs w:val="20"/>
          <w:color w:val="auto"/>
        </w:rPr>
      </w:pPr>
    </w:p>
    <w:p>
      <w:pPr>
        <w:ind w:right="3119"/>
        <w:spacing w:after="0" w:line="258" w:lineRule="auto"/>
        <w:rPr>
          <w:sz w:val="20"/>
          <w:szCs w:val="20"/>
          <w:color w:val="auto"/>
        </w:rPr>
      </w:pPr>
      <w:r>
        <w:rPr>
          <w:rFonts w:ascii="Courier New" w:cs="Courier New" w:eastAsia="Courier New" w:hAnsi="Courier New"/>
          <w:sz w:val="14"/>
          <w:szCs w:val="14"/>
          <w:color w:val="auto"/>
        </w:rPr>
        <w:t>5.10 Inspection of Real Property. From and after the date of this Agreement, Parent and its agents, contractors and representatives shall have the right and privilege of entering upon all properties owned or leased by Company and of reviewing Company's books and records regarding such properties from time to time as needed to make any inspections, evaluations, surveys or tests which Parent may reasonably deem necessary or appropriate. Without limiting the generality of the foregoing, Parent and its agents, contractors and representatives shall have the right and privilege of conducting such engineering studies, seismic tests, environmental studies (including, without limitation, surface and subsurface tests, borings and samplings) and surveys of such properties and such feasibility studies as Parent deems necessary or appropriate and to investigate all matters relating to zoning, use and compliance with other applicable laws regarding the use and occupancy of such properties and any proposed impositions, assessments and governmental regulations affecting such properties. Company shall cooperate reasonably with Parent in completing such inspections and evaluations. Parent's exercise of its right to inspect such properties, or Parent's election not to inspect any property, shall in no way be interpreted as a waiver of any of Parent's rights or remedies contained in this Agreement, including, without limitation, Parent's right to rely on Company's representations and warranties made herein.</w:t>
      </w:r>
    </w:p>
    <w:p>
      <w:pPr>
        <w:spacing w:after="0" w:line="34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5.11 Company Affiliate Agreements. Set forth in Section 5.11 of the Company Schedule is a complete and accurate list of those persons who may be deemed to be, in Company's reasonable judgment, affiliates of Company within the meaning of Rule 145 promulgated under the Securities Act (each, a "Company Affiliate"). Company will provide Parent with such information and documents as Parent reasonably requests for purposes of reviewing such list. Company has delivered herewith written Company Affiliate Agreements substantially in the form attached hereto as Exhibit B executed by all Company Affiliates as of the date hereof. Company will use its commercially reasonable efforts to deliver or cause to be delivered to Parent, on or as promptly as practicable following the date hereof, from each Company Affiliate that has not delivered a Company Affiliate Agreement on or prior to the date hereof, an executed Company Affiliate Agreement. Each Company Affiliate Agreement will be in full force and effect as of the Effective Time. Parent will be entitled to place appropriate legends on the certificates evidencing any Parent Common Stock to be received by a Company Affiliate pursuant to the terms of this Agreement, and to issue appropriate stop transfer instructions to the transfer agent for the Parent Common Stock, consistent with the terms of the Company Affiliate Agreement.</w:t>
      </w:r>
    </w:p>
    <w:p>
      <w:pPr>
        <w:spacing w:after="0" w:line="200" w:lineRule="exact"/>
        <w:rPr>
          <w:sz w:val="20"/>
          <w:szCs w:val="20"/>
          <w:color w:val="auto"/>
        </w:rPr>
      </w:pPr>
    </w:p>
    <w:p>
      <w:pPr>
        <w:spacing w:after="0" w:line="30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A-31</w:t>
      </w:r>
    </w:p>
    <w:p>
      <w:pPr>
        <w:sectPr>
          <w:pgSz w:w="11900" w:h="16838" w:orient="portrait"/>
          <w:cols w:equalWidth="0" w:num="1">
            <w:col w:w="10219"/>
          </w:cols>
          <w:pgMar w:left="240" w:top="631" w:right="1440" w:bottom="1440" w:gutter="0" w:footer="0" w:header="0"/>
        </w:sectPr>
      </w:pPr>
    </w:p>
    <w:bookmarkStart w:id="115" w:name="page116"/>
    <w:bookmarkEnd w:id="115"/>
    <w:p>
      <w:pPr>
        <w:ind w:left="9" w:right="3659"/>
        <w:spacing w:after="0" w:line="239" w:lineRule="auto"/>
        <w:rPr>
          <w:sz w:val="20"/>
          <w:szCs w:val="20"/>
          <w:color w:val="auto"/>
        </w:rPr>
      </w:pPr>
      <w:r>
        <w:rPr>
          <w:rFonts w:ascii="Courier New" w:cs="Courier New" w:eastAsia="Courier New" w:hAnsi="Courier New"/>
          <w:sz w:val="15"/>
          <w:szCs w:val="15"/>
          <w:color w:val="auto"/>
        </w:rPr>
        <w:t>5.12 NASDAQ Listing. Parent agrees to make such filings with NASDAQ as are necessary to ensure that the shares of Parent Common Stock issuable in connection with the Merger are eligible for quotation thereon.</w:t>
      </w:r>
    </w:p>
    <w:p>
      <w:pPr>
        <w:spacing w:after="0" w:line="175" w:lineRule="exact"/>
        <w:rPr>
          <w:sz w:val="20"/>
          <w:szCs w:val="20"/>
          <w:color w:val="auto"/>
        </w:rPr>
      </w:pPr>
    </w:p>
    <w:p>
      <w:pPr>
        <w:ind w:left="9" w:right="3299"/>
        <w:spacing w:after="0" w:line="239" w:lineRule="auto"/>
        <w:rPr>
          <w:sz w:val="20"/>
          <w:szCs w:val="20"/>
          <w:color w:val="auto"/>
        </w:rPr>
      </w:pPr>
      <w:r>
        <w:rPr>
          <w:rFonts w:ascii="Courier New" w:cs="Courier New" w:eastAsia="Courier New" w:hAnsi="Courier New"/>
          <w:sz w:val="15"/>
          <w:szCs w:val="15"/>
          <w:color w:val="auto"/>
        </w:rPr>
        <w:t>5.13 Form S-8. Parent agrees to file, within fifteen (15) business days of the Effective Time, a registration statement on Form S-8 for the shares of Parent Common Stock issuable with respect to assumed Company Stock Options</w:t>
      </w:r>
    </w:p>
    <w:p>
      <w:pPr>
        <w:spacing w:after="0" w:line="343"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ARTICLE VI</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CONDITIONS TO THE MERGER</w:t>
      </w:r>
    </w:p>
    <w:p>
      <w:pPr>
        <w:spacing w:after="0" w:line="174" w:lineRule="exact"/>
        <w:rPr>
          <w:sz w:val="20"/>
          <w:szCs w:val="20"/>
          <w:color w:val="auto"/>
        </w:rPr>
      </w:pPr>
    </w:p>
    <w:p>
      <w:pPr>
        <w:ind w:left="9" w:right="3219"/>
        <w:spacing w:after="0" w:line="239" w:lineRule="auto"/>
        <w:rPr>
          <w:sz w:val="20"/>
          <w:szCs w:val="20"/>
          <w:color w:val="auto"/>
        </w:rPr>
      </w:pPr>
      <w:r>
        <w:rPr>
          <w:rFonts w:ascii="Courier New" w:cs="Courier New" w:eastAsia="Courier New" w:hAnsi="Courier New"/>
          <w:sz w:val="15"/>
          <w:szCs w:val="15"/>
          <w:color w:val="auto"/>
        </w:rPr>
        <w:t>6.1 Conditions. The respective obligations of each party to consummate the Merger shall be subject to the satisfaction or waiver, where permissible, prior to the Effective Time, of the following conditions:</w:t>
      </w:r>
    </w:p>
    <w:p>
      <w:pPr>
        <w:spacing w:after="0" w:line="175" w:lineRule="exact"/>
        <w:rPr>
          <w:sz w:val="20"/>
          <w:szCs w:val="20"/>
          <w:color w:val="auto"/>
        </w:rPr>
      </w:pPr>
    </w:p>
    <w:p>
      <w:pPr>
        <w:ind w:left="449" w:right="3219" w:hanging="5"/>
        <w:spacing w:after="0"/>
        <w:tabs>
          <w:tab w:leader="none" w:pos="804"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 Approval. This Agreement and the Merger shall have been duly approved and adopted by the holders of a majority of the outstanding shares of each class of the Company entitled to vote on this Agreement and the Merger, in accordance with applicable law and the Certificate of Incorporation and Bylaws of the Company;</w:t>
      </w:r>
    </w:p>
    <w:p>
      <w:pPr>
        <w:spacing w:after="0" w:line="174" w:lineRule="exact"/>
        <w:rPr>
          <w:rFonts w:ascii="Courier New" w:cs="Courier New" w:eastAsia="Courier New" w:hAnsi="Courier New"/>
          <w:sz w:val="15"/>
          <w:szCs w:val="15"/>
          <w:color w:val="auto"/>
        </w:rPr>
      </w:pPr>
    </w:p>
    <w:p>
      <w:pPr>
        <w:ind w:left="449" w:right="3219" w:hanging="5"/>
        <w:spacing w:after="0" w:line="261" w:lineRule="auto"/>
        <w:tabs>
          <w:tab w:leader="none" w:pos="804" w:val="left"/>
        </w:tabs>
        <w:numPr>
          <w:ilvl w:val="0"/>
          <w:numId w:val="15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Litigation. No court or other Governmental Entity of competent jurisdiction shall have enacted, issued, promulgated, enforced or entered any statute, rule, regulation, judgment, decree, injunction or other order (whether temporary, preliminary or permanent) which is in effect and prohibits consummation of the Merger (collectively, an "Order").</w:t>
      </w:r>
    </w:p>
    <w:p>
      <w:pPr>
        <w:spacing w:after="0" w:line="161" w:lineRule="exact"/>
        <w:rPr>
          <w:rFonts w:ascii="Courier New" w:cs="Courier New" w:eastAsia="Courier New" w:hAnsi="Courier New"/>
          <w:sz w:val="14"/>
          <w:szCs w:val="14"/>
          <w:color w:val="auto"/>
        </w:rPr>
      </w:pPr>
    </w:p>
    <w:p>
      <w:pPr>
        <w:ind w:left="449" w:right="3299" w:hanging="5"/>
        <w:spacing w:after="0" w:line="239" w:lineRule="auto"/>
        <w:tabs>
          <w:tab w:leader="none" w:pos="804"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Registration Statement. The Registration Statement shall have been declared effective and no stop order suspending effectiveness shall be in effect and no proceedings for such purpose shall be pending before or threatened by the SEC.</w:t>
      </w:r>
    </w:p>
    <w:p>
      <w:pPr>
        <w:spacing w:after="0" w:line="176" w:lineRule="exact"/>
        <w:rPr>
          <w:rFonts w:ascii="Courier New" w:cs="Courier New" w:eastAsia="Courier New" w:hAnsi="Courier New"/>
          <w:sz w:val="15"/>
          <w:szCs w:val="15"/>
          <w:color w:val="auto"/>
        </w:rPr>
      </w:pPr>
    </w:p>
    <w:p>
      <w:pPr>
        <w:ind w:left="449" w:right="3219" w:hanging="5"/>
        <w:spacing w:after="0"/>
        <w:tabs>
          <w:tab w:leader="none" w:pos="804"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The shares of Parent Common Stock to be issued in the Merger shall have been approved for listing on the NASDAQ as may be required in accordance with the rules thereof, subject to official notice of issuance, or shall be exempt from such requirement under then applicable laws, regulations and rules of NASDAQ.</w:t>
      </w:r>
    </w:p>
    <w:p>
      <w:pPr>
        <w:spacing w:after="0" w:line="174" w:lineRule="exact"/>
        <w:rPr>
          <w:sz w:val="20"/>
          <w:szCs w:val="20"/>
          <w:color w:val="auto"/>
        </w:rPr>
      </w:pPr>
    </w:p>
    <w:p>
      <w:pPr>
        <w:ind w:left="9" w:right="3119"/>
        <w:spacing w:after="0" w:line="262" w:lineRule="auto"/>
        <w:rPr>
          <w:sz w:val="20"/>
          <w:szCs w:val="20"/>
          <w:color w:val="auto"/>
        </w:rPr>
      </w:pPr>
      <w:r>
        <w:rPr>
          <w:rFonts w:ascii="Courier New" w:cs="Courier New" w:eastAsia="Courier New" w:hAnsi="Courier New"/>
          <w:sz w:val="14"/>
          <w:szCs w:val="14"/>
          <w:color w:val="auto"/>
        </w:rPr>
        <w:t>6.2 Additional Conditions to Obligations of Company. The obligation of the Company to consummate and effect the Merger shall be subject to the satisfaction at or prior to the Closing Date of each of the following conditions, any of which may be waived, in writing, exclusively by the Company:</w:t>
      </w:r>
    </w:p>
    <w:p>
      <w:pPr>
        <w:spacing w:after="0" w:line="161" w:lineRule="exact"/>
        <w:rPr>
          <w:sz w:val="20"/>
          <w:szCs w:val="20"/>
          <w:color w:val="auto"/>
        </w:rPr>
      </w:pPr>
    </w:p>
    <w:p>
      <w:pPr>
        <w:ind w:left="9" w:right="3119" w:hanging="9"/>
        <w:spacing w:after="0"/>
        <w:tabs>
          <w:tab w:leader="none" w:pos="364"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Representations and Warranties. Each representation and warranty of Parent and Merger Sub contained in this Agreement (i) shall have been true and correct as of the date of this Agreement and (ii) shall be true and correct on and as of the Closing Date with the same force and effect as if made on the Closing Date except (A) in each case, or in the aggregate, as does not constitute a Material Adverse Effect on Parent and Merger Sub, (B) for changes contemplated by this Agreement and (C)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(i) all "Material Adverse Effect" qualifications and other qualifications based on the word "material" or similar phrases contained in such representations and warranties shall be disregarded and (ii) any update of or modification to the Parent Schedule made or purported to have been made after the date of this Agreement shall be disregarded). The Company shall have received a certificate with respect to the foregoing signed on behalf of Parent by an authorized officer of Parent.</w:t>
      </w:r>
    </w:p>
    <w:p>
      <w:pPr>
        <w:spacing w:after="0" w:line="18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and Covenants. Parent and Merger Sub shall have performed or</w:t>
      </w:r>
    </w:p>
    <w:p>
      <w:pPr>
        <w:spacing w:after="0" w:line="3" w:lineRule="exact"/>
        <w:rPr>
          <w:rFonts w:ascii="Courier New" w:cs="Courier New" w:eastAsia="Courier New" w:hAnsi="Courier New"/>
          <w:sz w:val="15"/>
          <w:szCs w:val="15"/>
          <w:color w:val="auto"/>
        </w:rPr>
      </w:pPr>
    </w:p>
    <w:p>
      <w:pPr>
        <w:ind w:left="9" w:right="32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complied in all material respects with all agreements and covenants required by this Agreement to be performed or complied with by them on or prior to the Closing Date, and the Company shall have received a certificate to such effect signed on behalf of Parent to the best knowledge of an authorized officer of Parent.</w:t>
      </w:r>
    </w:p>
    <w:p>
      <w:pPr>
        <w:spacing w:after="0" w:line="34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A-32</w:t>
      </w:r>
    </w:p>
    <w:p>
      <w:pPr>
        <w:sectPr>
          <w:pgSz w:w="11900" w:h="16838" w:orient="portrait"/>
          <w:cols w:equalWidth="0" w:num="1">
            <w:col w:w="10228"/>
          </w:cols>
          <w:pgMar w:left="231" w:top="631" w:right="1440" w:bottom="1440" w:gutter="0" w:footer="0" w:header="0"/>
        </w:sectPr>
      </w:pPr>
    </w:p>
    <w:bookmarkStart w:id="116" w:name="page117"/>
    <w:bookmarkEnd w:id="116"/>
    <w:p>
      <w:pPr>
        <w:ind w:right="3299"/>
        <w:spacing w:after="0"/>
        <w:rPr>
          <w:sz w:val="20"/>
          <w:szCs w:val="20"/>
          <w:color w:val="auto"/>
        </w:rPr>
      </w:pPr>
      <w:r>
        <w:rPr>
          <w:rFonts w:ascii="Courier New" w:cs="Courier New" w:eastAsia="Courier New" w:hAnsi="Courier New"/>
          <w:sz w:val="15"/>
          <w:szCs w:val="15"/>
          <w:color w:val="auto"/>
        </w:rPr>
        <w:t>6.3 Additional Conditions to the Obligations of Parent and Merger Sub. The obligations of Parent and Merger Sub to consummate and effect the Merger shall be subject to the satisfaction at or prior to the Closing Date of each of the following conditions, any of which may be waived, in writing, exclusively by Parent:</w:t>
      </w:r>
    </w:p>
    <w:p>
      <w:pPr>
        <w:spacing w:after="0" w:line="174" w:lineRule="exact"/>
        <w:rPr>
          <w:sz w:val="20"/>
          <w:szCs w:val="20"/>
          <w:color w:val="auto"/>
        </w:rPr>
      </w:pPr>
    </w:p>
    <w:p>
      <w:pPr>
        <w:ind w:left="440" w:right="3119" w:hanging="5"/>
        <w:spacing w:after="0" w:line="258" w:lineRule="auto"/>
        <w:tabs>
          <w:tab w:leader="none" w:pos="79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Representations and Warranties. Each representation and warranty of the Company contained in this Agreement (i) shall have been true and correct as of the date of this Agreement and (ii) shall be true and correct on and as of the Closing Date with the same force and effect as if made on and as of the Closing Date except (A) in each case, or in the aggregate, as does not constitute a Material Adverse Effect on the Company; provided, however, that such Material Adverse Effect qualifier shall be inapplicable with respect to representations and warranties set forth in Section 2.3 hereof,</w:t>
      </w:r>
    </w:p>
    <w:p>
      <w:pPr>
        <w:spacing w:after="0" w:line="1" w:lineRule="exact"/>
        <w:rPr>
          <w:rFonts w:ascii="Courier New" w:cs="Courier New" w:eastAsia="Courier New" w:hAnsi="Courier New"/>
          <w:sz w:val="14"/>
          <w:szCs w:val="14"/>
          <w:color w:val="auto"/>
        </w:rPr>
      </w:pPr>
    </w:p>
    <w:p>
      <w:pPr>
        <w:ind w:left="440" w:right="311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 for changes contemplated by this Agreement and (C) for those representations and warranties which address matters only as of a particular date (which representations shall have been true and correct (subject to the qualifications as set forth in the preceding clause (A) as of such particular date). For purposes of determining the accuracy of such representations and warranties hereunder, (i) all "Material Adverse Effect" qualifications and other qualifications based on the word "material" or similar phrases contained in such representations and warranties shall be disregarded and (ii) any update of or modification to the Company Schedule made or purported to have been made after the date of this Agreement shall be disregarded. Parent shall have received a certificate with respect to the foregoing signed on behalf of the Company by an authorized officer of the Company.</w:t>
      </w:r>
    </w:p>
    <w:p>
      <w:pPr>
        <w:spacing w:after="0" w:line="180" w:lineRule="exact"/>
        <w:rPr>
          <w:rFonts w:ascii="Courier New" w:cs="Courier New" w:eastAsia="Courier New" w:hAnsi="Courier New"/>
          <w:sz w:val="14"/>
          <w:szCs w:val="14"/>
          <w:color w:val="auto"/>
        </w:rPr>
      </w:pPr>
    </w:p>
    <w:p>
      <w:pPr>
        <w:ind w:left="440" w:right="3119" w:hanging="5"/>
        <w:spacing w:after="0"/>
        <w:tabs>
          <w:tab w:leader="none" w:pos="79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and Covenants. The Company shall have performed or complied in all material respects with all agreements and covenants required by this Agreement to be performed or complied with by it at or prior to the Closing Date, and Parent shall have received a certificate to such effect signed on behalf of the Company to the best knowledge of the Chief Executive Officer and the Chief Financial Officer of the Company.</w:t>
      </w:r>
    </w:p>
    <w:p>
      <w:pPr>
        <w:spacing w:after="0" w:line="175" w:lineRule="exact"/>
        <w:rPr>
          <w:rFonts w:ascii="Courier New" w:cs="Courier New" w:eastAsia="Courier New" w:hAnsi="Courier New"/>
          <w:sz w:val="15"/>
          <w:szCs w:val="15"/>
          <w:color w:val="auto"/>
        </w:rPr>
      </w:pPr>
    </w:p>
    <w:p>
      <w:pPr>
        <w:ind w:left="440" w:right="3219" w:hanging="5"/>
        <w:spacing w:after="0" w:line="239" w:lineRule="auto"/>
        <w:tabs>
          <w:tab w:leader="none" w:pos="79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 Agreements. Each of the Company Affiliates set forth in Section 5.11 of the Company Schedule shall have entered into the Affiliate Agreement and each of such agreements will be in full force and effect as of the Effective Time.</w:t>
      </w:r>
    </w:p>
    <w:p>
      <w:pPr>
        <w:spacing w:after="0" w:line="176" w:lineRule="exact"/>
        <w:rPr>
          <w:rFonts w:ascii="Courier New" w:cs="Courier New" w:eastAsia="Courier New" w:hAnsi="Courier New"/>
          <w:sz w:val="15"/>
          <w:szCs w:val="15"/>
          <w:color w:val="auto"/>
        </w:rPr>
      </w:pPr>
    </w:p>
    <w:p>
      <w:pPr>
        <w:ind w:left="440" w:right="3219" w:hanging="5"/>
        <w:spacing w:after="0" w:line="262" w:lineRule="auto"/>
        <w:tabs>
          <w:tab w:leader="none" w:pos="795"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Consents. The Company shall have obtained all consents, waivers and approvals required in connection with the consummation of the transactions contemplated hereby in connection with the agreements, contracts, licenses or leases set forth in Section 6.3(d) of the Parent Schedule.</w:t>
      </w:r>
    </w:p>
    <w:p>
      <w:pPr>
        <w:spacing w:after="0" w:line="160" w:lineRule="exact"/>
        <w:rPr>
          <w:rFonts w:ascii="Courier New" w:cs="Courier New" w:eastAsia="Courier New" w:hAnsi="Courier New"/>
          <w:sz w:val="14"/>
          <w:szCs w:val="14"/>
          <w:color w:val="auto"/>
        </w:rPr>
      </w:pPr>
    </w:p>
    <w:p>
      <w:pPr>
        <w:ind w:left="440" w:right="3119" w:hanging="5"/>
        <w:spacing w:after="0"/>
        <w:tabs>
          <w:tab w:leader="none" w:pos="795"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Audited Financial Statements. The audited financial statements of the Company for the year ended December 31, 2001, shall provide (i) balance sheet net equity of not less than $7,267,500, (ii) year end revenues of not less than $21,280,000 and (iii) net income of not less than $498,750 (excluding (y) transaction related expenses estimated to be $85,000, and</w:t>
      </w:r>
    </w:p>
    <w:p>
      <w:pPr>
        <w:spacing w:after="0" w:line="3" w:lineRule="exact"/>
        <w:rPr>
          <w:rFonts w:ascii="Courier New" w:cs="Courier New" w:eastAsia="Courier New" w:hAnsi="Courier New"/>
          <w:sz w:val="15"/>
          <w:szCs w:val="15"/>
          <w:color w:val="auto"/>
        </w:rPr>
      </w:pPr>
    </w:p>
    <w:p>
      <w:pPr>
        <w:ind w:left="440" w:right="3119" w:hanging="5"/>
        <w:spacing w:after="0" w:line="239" w:lineRule="auto"/>
        <w:tabs>
          <w:tab w:leader="none" w:pos="795"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excess tax liability over forty percent (40%) that has been applied to the calculation of net income by the Company for the year ending December 31, 2001).</w:t>
      </w:r>
    </w:p>
    <w:p>
      <w:pPr>
        <w:spacing w:after="0" w:line="34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ARTICLE VII</w:t>
      </w:r>
    </w:p>
    <w:p>
      <w:pPr>
        <w:spacing w:after="0" w:line="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TERMINATION, AMENDMENT AND WAIVER</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7.1 Termination. This Agreement may be terminated and the Merger may be abandoned at any time prior to the Effective Time (notwithstanding any approval of this Agreement by the stockholders of Company):</w:t>
      </w:r>
    </w:p>
    <w:p>
      <w:pPr>
        <w:spacing w:after="0" w:line="172" w:lineRule="exact"/>
        <w:rPr>
          <w:sz w:val="20"/>
          <w:szCs w:val="20"/>
          <w:color w:val="auto"/>
        </w:rPr>
      </w:pPr>
    </w:p>
    <w:p>
      <w:pPr>
        <w:ind w:left="780" w:hanging="345"/>
        <w:spacing w:after="0"/>
        <w:tabs>
          <w:tab w:leader="none" w:pos="78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mutual written agreement of Company and Parent; or</w:t>
      </w:r>
    </w:p>
    <w:p>
      <w:pPr>
        <w:spacing w:after="0" w:line="174" w:lineRule="exact"/>
        <w:rPr>
          <w:rFonts w:ascii="Courier New" w:cs="Courier New" w:eastAsia="Courier New" w:hAnsi="Courier New"/>
          <w:sz w:val="15"/>
          <w:szCs w:val="15"/>
          <w:color w:val="auto"/>
        </w:rPr>
      </w:pPr>
    </w:p>
    <w:p>
      <w:pPr>
        <w:ind w:left="440" w:right="3219" w:hanging="5"/>
        <w:spacing w:after="0"/>
        <w:tabs>
          <w:tab w:leader="none" w:pos="795"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either the Company or Parent if the Merger shall not have been consummated by April 8, 2002 (the "Termination Date") for any reason; provided; however, that (i) if the Registration Statement is reviewed by the SEC, then the Termination Date will be May 7, 2002; and (ii) the right to terminate this Agreement under this Section 7.1(b) shall not be available to any party whose action or failure to act has been a principal cause of or resulted in the failure of the Merger to occur on or before such date and such action or failure to act constitutes a breach of this Agreement; or</w:t>
      </w: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A-33</w:t>
      </w:r>
    </w:p>
    <w:p>
      <w:pPr>
        <w:sectPr>
          <w:pgSz w:w="11900" w:h="16838" w:orient="portrait"/>
          <w:cols w:equalWidth="0" w:num="1">
            <w:col w:w="10219"/>
          </w:cols>
          <w:pgMar w:left="240" w:top="631" w:right="1440" w:bottom="1440" w:gutter="0" w:footer="0" w:header="0"/>
        </w:sectPr>
      </w:pPr>
    </w:p>
    <w:bookmarkStart w:id="117" w:name="page118"/>
    <w:bookmarkEnd w:id="117"/>
    <w:p>
      <w:pPr>
        <w:ind w:left="5" w:right="3119" w:hanging="5"/>
        <w:spacing w:after="0" w:line="259" w:lineRule="auto"/>
        <w:tabs>
          <w:tab w:leader="none" w:pos="36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the Company or Parent if the required approval of the stockholders of the Company contemplated by this Agreement shall not have been obtained by reason of the failure to obtain the required vote at a meeting of the Company stockholders duly convened therefor or at any adjournment thereof; provided, however, that the right to terminate this Agreement under this Section 7.1(c) shall not be available to the Company where the failure to obtain the Company stockholder approval shall have been caused by the action or failure to act of the Company and such action or failure to act constitutes a breach by the Company of this Agreement; or</w:t>
      </w:r>
    </w:p>
    <w:p>
      <w:pPr>
        <w:spacing w:after="0" w:line="166" w:lineRule="exact"/>
        <w:rPr>
          <w:rFonts w:ascii="Courier New" w:cs="Courier New" w:eastAsia="Courier New" w:hAnsi="Courier New"/>
          <w:sz w:val="14"/>
          <w:szCs w:val="14"/>
          <w:color w:val="auto"/>
        </w:rPr>
      </w:pPr>
    </w:p>
    <w:p>
      <w:pPr>
        <w:ind w:left="5" w:right="3119" w:hanging="5"/>
        <w:spacing w:after="0" w:line="260" w:lineRule="auto"/>
        <w:tabs>
          <w:tab w:leader="none" w:pos="36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either Company or Parent, if there shall be any applicable law or regulation that makes consummation of the Merger illegal or otherwise prohibited or any judgment, injunction, order or decree of any court or governmental body having competent jurisdiction enjoining Company or Parent from consummating the Merger is entered and such judgment, injunction, judgment or order shall have become final and nonappealable; or</w:t>
      </w:r>
    </w:p>
    <w:p>
      <w:pPr>
        <w:spacing w:after="0" w:line="163" w:lineRule="exact"/>
        <w:rPr>
          <w:rFonts w:ascii="Courier New" w:cs="Courier New" w:eastAsia="Courier New" w:hAnsi="Courier New"/>
          <w:sz w:val="14"/>
          <w:szCs w:val="14"/>
          <w:color w:val="auto"/>
        </w:rPr>
      </w:pPr>
    </w:p>
    <w:p>
      <w:pPr>
        <w:ind w:left="5" w:right="3119" w:hanging="5"/>
        <w:spacing w:after="0" w:line="259" w:lineRule="auto"/>
        <w:tabs>
          <w:tab w:leader="none" w:pos="36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Company, upon a material breach of any covenant or agreement on the part of Parent set forth in this Agreement, or if any representation or warranty of Parent shall have been untrue or inaccurate when made or shall have become untrue or inaccurate such that, in the aggregate, in the case of such representations and warranties, such untruths or inaccuracies would reasonably be expected to have a Material Adverse Effect on Company; provided, that if such untruth or inaccuracy in Parent's representations and warranties or breach by Parent is curable by Parent through exercise of its commercially reasonable efforts, then Company may not terminate this Agreement pursuant to this Section 7.1(e) until the earlier of (i) the expiration of a thirty (30) day period after delivery of written notice from Company to Parent of such untruth or inaccuracy or breach, or (ii) Parent ceasing to exercise commercially reasonable efforts to cure such untruth or inaccuracy or breach, provided, that Parent continues to exercise commercially reasonable efforts to cure such untruth or inaccuracy or breach (it being understood that Company may not terminate this Agreement pursuant to this Section 7.1(e) if such untruth or inaccuracy or breach by Parent is cured during such thirty-day period); or</w:t>
      </w:r>
    </w:p>
    <w:p>
      <w:pPr>
        <w:spacing w:after="0" w:line="333" w:lineRule="exact"/>
        <w:rPr>
          <w:rFonts w:ascii="Courier New" w:cs="Courier New" w:eastAsia="Courier New" w:hAnsi="Courier New"/>
          <w:sz w:val="14"/>
          <w:szCs w:val="14"/>
          <w:color w:val="auto"/>
        </w:rPr>
      </w:pPr>
    </w:p>
    <w:p>
      <w:pPr>
        <w:ind w:left="5" w:right="3119" w:hanging="5"/>
        <w:spacing w:after="0" w:line="259" w:lineRule="auto"/>
        <w:tabs>
          <w:tab w:leader="none" w:pos="36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upon a material breach of any covenant or agreement on the part of Company set forth in this Agreement, or if any representation or warranty of Company shall have been untrue or inaccurate when made or shall have become untrue or inaccurate such that, in the aggregate, in the case of such representations and warranties, such untruths or inaccuracies would reasonably be expected to have a Material Adverse Effect on Parent Merger Sub ; provided, that if such untruth or inaccuracy in Company's representations and warranties or breach by Company is curable by Company through exercise of its commercially reasonable efforts, then Parent may not terminate this Agreement pursuant to this Section 7.1(f) until the earlier of (i) the expiration of a thirty (30) day period after delivery of written notice from Parent to Company of such untruth or inaccuracy or breach, or (ii) Company ceasing to exercise commercially reasonable efforts to cure such untruth or inaccuracy or breach, provided, that Company continues to exercise commercially reasonable efforts to cure such untruth or inaccuracy or breach (it being understood that Parent may not terminate this Agreement pursuant to this Section 7.1(f) if such untruth or inaccuracy or breach by Company is cured during such thirty-day period); or</w:t>
      </w:r>
    </w:p>
    <w:p>
      <w:pPr>
        <w:spacing w:after="0" w:line="333" w:lineRule="exact"/>
        <w:rPr>
          <w:rFonts w:ascii="Courier New" w:cs="Courier New" w:eastAsia="Courier New" w:hAnsi="Courier New"/>
          <w:sz w:val="14"/>
          <w:szCs w:val="14"/>
          <w:color w:val="auto"/>
        </w:rPr>
      </w:pPr>
    </w:p>
    <w:p>
      <w:pPr>
        <w:ind w:left="5" w:right="3219" w:hanging="5"/>
        <w:spacing w:after="0"/>
        <w:tabs>
          <w:tab w:leader="none" w:pos="36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if an event has occurred or a circumstance has arisen that would reasonably be expected to have a Material Adverse Effect on the Company that is not curable by the Company through the exercise of its commercially reasonable efforts within sixty (60) days of the date of such occurrence or circumstance; or</w:t>
      </w:r>
    </w:p>
    <w:p>
      <w:pPr>
        <w:spacing w:after="0" w:line="174" w:lineRule="exact"/>
        <w:rPr>
          <w:rFonts w:ascii="Courier New" w:cs="Courier New" w:eastAsia="Courier New" w:hAnsi="Courier New"/>
          <w:sz w:val="15"/>
          <w:szCs w:val="15"/>
          <w:color w:val="auto"/>
        </w:rPr>
      </w:pPr>
    </w:p>
    <w:p>
      <w:pPr>
        <w:ind w:left="5" w:right="3219" w:hanging="5"/>
        <w:spacing w:after="0"/>
        <w:tabs>
          <w:tab w:leader="none" w:pos="360"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Company, if an event has occurred or a circumstance has arisen that would reasonably be expected to have a Material Adverse Effect on Parent that is not curable by Parent through the exercise of its commercially reasonable efforts within sixty (60) days of the date of such occurrence; or</w:t>
      </w:r>
    </w:p>
    <w:p>
      <w:pPr>
        <w:spacing w:after="0" w:line="174" w:lineRule="exact"/>
        <w:rPr>
          <w:rFonts w:ascii="Courier New" w:cs="Courier New" w:eastAsia="Courier New" w:hAnsi="Courier New"/>
          <w:sz w:val="15"/>
          <w:szCs w:val="15"/>
          <w:color w:val="auto"/>
        </w:rPr>
      </w:pPr>
    </w:p>
    <w:p>
      <w:pPr>
        <w:ind w:left="5" w:right="3299" w:hanging="5"/>
        <w:spacing w:after="0" w:line="258" w:lineRule="auto"/>
        <w:tabs>
          <w:tab w:leader="none" w:pos="360"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Company, if it intends to enter into a definitive agreement with respect to an Acquisition Proposal, provided that, (i) Company is not in breach of its obligations under this Section 7.1(i) and under Section 5.4 hereof and continues to comply with all such obligations in all respects,</w:t>
      </w:r>
    </w:p>
    <w:p>
      <w:pPr>
        <w:ind w:left="5" w:right="3119" w:hanging="5"/>
        <w:spacing w:after="0" w:line="260" w:lineRule="auto"/>
        <w:tabs>
          <w:tab w:leader="none" w:pos="449"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Board has authorized, subject to complying with the terms of this Agreement, Company to enter into a definitive written agreement for a transaction that constitutes a Superior Proposal, (iii) Company notifies Parent in writing that Company has received a Superior Proposal and intends to enter into a definitive agreement with respect to such Superior Proposal, attaching the most current version of such agreement to such notice, (iv) Parent does not make, within three (3) business days after receipt of Company's written notice of its intention to enter into a</w:t>
      </w:r>
    </w:p>
    <w:p>
      <w:pPr>
        <w:spacing w:after="0" w:line="329"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A-34</w:t>
      </w:r>
    </w:p>
    <w:p>
      <w:pPr>
        <w:sectPr>
          <w:pgSz w:w="11900" w:h="16838" w:orient="portrait"/>
          <w:cols w:equalWidth="0" w:num="1">
            <w:col w:w="9784"/>
          </w:cols>
          <w:pgMar w:left="675" w:top="631" w:right="1440" w:bottom="1440" w:gutter="0" w:footer="0" w:header="0"/>
        </w:sectPr>
      </w:pPr>
    </w:p>
    <w:bookmarkStart w:id="118" w:name="page119"/>
    <w:bookmarkEnd w:id="118"/>
    <w:p>
      <w:pPr>
        <w:ind w:left="449" w:right="3119"/>
        <w:spacing w:after="0" w:line="258" w:lineRule="auto"/>
        <w:rPr>
          <w:sz w:val="20"/>
          <w:szCs w:val="20"/>
          <w:color w:val="auto"/>
        </w:rPr>
      </w:pPr>
      <w:r>
        <w:rPr>
          <w:rFonts w:ascii="Courier New" w:cs="Courier New" w:eastAsia="Courier New" w:hAnsi="Courier New"/>
          <w:sz w:val="14"/>
          <w:szCs w:val="14"/>
          <w:color w:val="auto"/>
        </w:rPr>
        <w:t>definitive agreement for a Superior Proposal, an offer that the Company Board in good faith reasonably determines, after consultation with a financial advisor of nationally recognized standing and its outside legal counsel, is at least as favorable to Company's stockholders as such Superior Proposal, (v) during such period Company has informed Parent of the terms and conditions of such Superior Proposal, and the identity of the person making such Superior Proposal, with the intent of enabling both parties to agree to a modification of the terms and conditions of this Agreement so that the transactions contemplated hereby may be effected, and</w:t>
      </w:r>
    </w:p>
    <w:p>
      <w:pPr>
        <w:ind w:left="889" w:hanging="445"/>
        <w:spacing w:after="0" w:line="238" w:lineRule="auto"/>
        <w:tabs>
          <w:tab w:leader="none" w:pos="889" w:val="left"/>
        </w:tabs>
        <w:numPr>
          <w:ilvl w:val="0"/>
          <w:numId w:val="1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to Company's termination pursuant to this Section 7.1(i),</w:t>
      </w:r>
    </w:p>
    <w:p>
      <w:pPr>
        <w:spacing w:after="0" w:line="1" w:lineRule="exact"/>
        <w:rPr>
          <w:rFonts w:ascii="Courier New" w:cs="Courier New" w:eastAsia="Courier New" w:hAnsi="Courier New"/>
          <w:sz w:val="15"/>
          <w:szCs w:val="15"/>
          <w:color w:val="auto"/>
        </w:rPr>
      </w:pPr>
    </w:p>
    <w:p>
      <w:pPr>
        <w:ind w:left="44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Company pays to Parent the Termination Fee required by Section 7.3(b); or</w:t>
      </w:r>
    </w:p>
    <w:p>
      <w:pPr>
        <w:spacing w:after="0" w:line="174" w:lineRule="exact"/>
        <w:rPr>
          <w:sz w:val="20"/>
          <w:szCs w:val="20"/>
          <w:color w:val="auto"/>
        </w:rPr>
      </w:pPr>
    </w:p>
    <w:p>
      <w:pPr>
        <w:ind w:left="449" w:right="3119" w:hanging="5"/>
        <w:spacing w:after="0" w:line="258" w:lineRule="auto"/>
        <w:tabs>
          <w:tab w:leader="none" w:pos="804"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if any one of the following Triggering Events shall have occurred: (i) the Board of Directors of the Company or any committee thereof shall for any reason have withdrawn or shall have amended or modified in a manner adverse to Parent its recommendation made with the unanimous approval of all non-interested directors in favor of the adoption and approval of the Agreement or the approval of the Merger; (ii) the Company shall have failed to include in the Proxy Statement/Prospectus the recommendation made with the unanimous approval of all non-interested directors of the Company in favor of the adoption and approval of the Agreement and the approval of the Merger; (iii) the Board of Directors of the Company or any committee thereof shall have approved or recommended any Acquisition Proposal; (iv) the Company shall have entered into any letter of intent or similar document or any agreement, contract or commitment accepting any Acquisition Proposal; or (v) a tender or exchange offer relating to securities of the Company shall have been commenced by a person unaffiliated with Parent and the Company shall not have sent to its security holders pursuant to Rule 14e-2 promulgated under the Securities Act, within ten (10) business days after such tender or exchange offer is first published sent or given, a statement disclosing that the Company recommends rejection of such tender or exchange offer; or</w:t>
      </w:r>
    </w:p>
    <w:p>
      <w:pPr>
        <w:spacing w:after="0" w:line="344" w:lineRule="exact"/>
        <w:rPr>
          <w:rFonts w:ascii="Courier New" w:cs="Courier New" w:eastAsia="Courier New" w:hAnsi="Courier New"/>
          <w:sz w:val="14"/>
          <w:szCs w:val="14"/>
          <w:color w:val="auto"/>
        </w:rPr>
      </w:pPr>
    </w:p>
    <w:p>
      <w:pPr>
        <w:ind w:left="449" w:right="3399" w:hanging="5"/>
        <w:spacing w:after="0" w:line="262" w:lineRule="auto"/>
        <w:tabs>
          <w:tab w:leader="none" w:pos="804"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Parent, in the event that holders of Company Common Stock holding fifteen percent (15%) or more of the issued and outstanding shares of Company Common Stock elect to pursue dissenters rights, as described in Section 1.11, whether such holders have perfected such rights or not; or</w:t>
      </w:r>
    </w:p>
    <w:p>
      <w:pPr>
        <w:spacing w:after="0" w:line="160" w:lineRule="exact"/>
        <w:rPr>
          <w:rFonts w:ascii="Courier New" w:cs="Courier New" w:eastAsia="Courier New" w:hAnsi="Courier New"/>
          <w:sz w:val="14"/>
          <w:szCs w:val="14"/>
          <w:color w:val="auto"/>
        </w:rPr>
      </w:pPr>
    </w:p>
    <w:p>
      <w:pPr>
        <w:ind w:left="449" w:right="3119" w:hanging="5"/>
        <w:spacing w:after="0" w:line="239" w:lineRule="auto"/>
        <w:tabs>
          <w:tab w:leader="none" w:pos="804"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Parent or Company in the event that the weighted average closing price of Parent Common Stock as quoted on the NASDAQ National Market for the fifteen (15) trading days ending one day prior to the scheduled Closing Date is greater than $23 or less than $14.</w:t>
      </w:r>
    </w:p>
    <w:p>
      <w:pPr>
        <w:spacing w:after="0" w:line="176" w:lineRule="exact"/>
        <w:rPr>
          <w:sz w:val="20"/>
          <w:szCs w:val="20"/>
          <w:color w:val="auto"/>
        </w:rPr>
      </w:pPr>
    </w:p>
    <w:p>
      <w:pPr>
        <w:ind w:left="9" w:right="3119"/>
        <w:spacing w:after="0" w:line="258" w:lineRule="auto"/>
        <w:rPr>
          <w:sz w:val="20"/>
          <w:szCs w:val="20"/>
          <w:color w:val="auto"/>
        </w:rPr>
      </w:pPr>
      <w:r>
        <w:rPr>
          <w:rFonts w:ascii="Courier New" w:cs="Courier New" w:eastAsia="Courier New" w:hAnsi="Courier New"/>
          <w:sz w:val="14"/>
          <w:szCs w:val="14"/>
          <w:color w:val="auto"/>
        </w:rPr>
        <w:t>7.2 Notice of Termination; Effect of Termination. Any proper termination of this Agreement under Section 7.1 above will be effective immediately (or if the termination is pursuant to Section 7.1(e) or (f) above and the proviso is applicable, thirty (30) days after) upon the delivery of written notice of the terminating party to the other parties hereto. In the event of the termination of this Agreement under Section 7.1, this Agreement shall be of no further force or effect without liability of any party (or any stockholder, director, officer, employee, agent, consultant or representative of such party) to the other parties hereto, except (i) as set forth in this Section 7.2, Section 7.3 and Article VIII, each of which shall survive the termination of this Agreement, and</w:t>
      </w:r>
    </w:p>
    <w:p>
      <w:pPr>
        <w:spacing w:after="0" w:line="2" w:lineRule="exact"/>
        <w:rPr>
          <w:sz w:val="20"/>
          <w:szCs w:val="20"/>
          <w:color w:val="auto"/>
        </w:rPr>
      </w:pPr>
    </w:p>
    <w:p>
      <w:pPr>
        <w:ind w:left="9" w:right="3219" w:hanging="9"/>
        <w:spacing w:after="0"/>
        <w:tabs>
          <w:tab w:leader="none" w:pos="453"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nothing herein shall relieve any party from liability for any intentional or willful breach of or fraud in connection with this Agreement. No termination of this Agreement shall affect the obligations of the parties contained in the Confidentiality Agreement, all of which obligations shall survive termination of this Agreement in accordance with their terms.</w:t>
      </w:r>
    </w:p>
    <w:p>
      <w:pPr>
        <w:spacing w:after="0" w:line="17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7.3 Fees and Expenses.</w:t>
      </w:r>
    </w:p>
    <w:p>
      <w:pPr>
        <w:spacing w:after="0" w:line="174" w:lineRule="exact"/>
        <w:rPr>
          <w:sz w:val="20"/>
          <w:szCs w:val="20"/>
          <w:color w:val="auto"/>
        </w:rPr>
      </w:pPr>
    </w:p>
    <w:p>
      <w:pPr>
        <w:ind w:left="449" w:right="3119" w:hanging="5"/>
        <w:spacing w:after="0"/>
        <w:tabs>
          <w:tab w:leader="none" w:pos="80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Except as set forth in this Section 7.3, all attorneys', accountants' and consultants' fees and expenses incurred in connection with this Agreement and the transactions contemplated hereby shall be paid by the party incurring such fees and expenses whether or not the Merger is consummated.</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Payments.</w:t>
      </w:r>
    </w:p>
    <w:p>
      <w:pPr>
        <w:spacing w:after="0" w:line="174" w:lineRule="exact"/>
        <w:rPr>
          <w:rFonts w:ascii="Courier New" w:cs="Courier New" w:eastAsia="Courier New" w:hAnsi="Courier New"/>
          <w:sz w:val="15"/>
          <w:szCs w:val="15"/>
          <w:color w:val="auto"/>
        </w:rPr>
      </w:pPr>
    </w:p>
    <w:p>
      <w:pPr>
        <w:ind w:left="889" w:right="3219" w:hanging="2"/>
        <w:spacing w:after="0" w:line="262" w:lineRule="auto"/>
        <w:tabs>
          <w:tab w:leader="none" w:pos="1244" w:val="left"/>
        </w:tabs>
        <w:numPr>
          <w:ilvl w:val="1"/>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this Agreement is terminated prior to the Effective Time pursuant to Sections 7.1(i) or (j) Company shall promptly, but in any event no later than one day after the date of such termination, pay Parent a fee equal to $1,000,000 together with up to $500,000 of</w:t>
      </w:r>
    </w:p>
    <w:p>
      <w:pPr>
        <w:spacing w:after="0" w:line="329"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A-35</w:t>
      </w:r>
    </w:p>
    <w:p>
      <w:pPr>
        <w:sectPr>
          <w:pgSz w:w="11900" w:h="16838" w:orient="portrait"/>
          <w:cols w:equalWidth="0" w:num="1">
            <w:col w:w="10228"/>
          </w:cols>
          <w:pgMar w:left="231" w:top="631" w:right="1440" w:bottom="1440" w:gutter="0" w:footer="0" w:header="0"/>
        </w:sectPr>
      </w:pPr>
    </w:p>
    <w:bookmarkStart w:id="119" w:name="page120"/>
    <w:bookmarkEnd w:id="119"/>
    <w:p>
      <w:pPr>
        <w:ind w:left="880" w:right="3659"/>
        <w:spacing w:after="0" w:line="271" w:lineRule="auto"/>
        <w:rPr>
          <w:sz w:val="20"/>
          <w:szCs w:val="20"/>
          <w:color w:val="auto"/>
        </w:rPr>
      </w:pPr>
      <w:r>
        <w:rPr>
          <w:rFonts w:ascii="Courier New" w:cs="Courier New" w:eastAsia="Courier New" w:hAnsi="Courier New"/>
          <w:sz w:val="14"/>
          <w:szCs w:val="14"/>
          <w:color w:val="auto"/>
        </w:rPr>
        <w:t>Parent's actual legal and accounting fees in connection with the Merger, in immediately available funds (the "Termination Fee").</w:t>
      </w:r>
    </w:p>
    <w:p>
      <w:pPr>
        <w:spacing w:after="0" w:line="154" w:lineRule="exact"/>
        <w:rPr>
          <w:sz w:val="20"/>
          <w:szCs w:val="20"/>
          <w:color w:val="auto"/>
        </w:rPr>
      </w:pPr>
    </w:p>
    <w:p>
      <w:pPr>
        <w:ind w:left="880" w:right="3479" w:hanging="2"/>
        <w:spacing w:after="0" w:line="239" w:lineRule="auto"/>
        <w:tabs>
          <w:tab w:leader="none" w:pos="1324"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Agreement is terminated by Parent pursuant to Section 7.1(f) then the Company shall pay to Parent up to $500,000 of the actual legal, advisory, and accounting fees incurred by parent in connection with the Merger.</w:t>
      </w:r>
    </w:p>
    <w:p>
      <w:pPr>
        <w:spacing w:after="0" w:line="176" w:lineRule="exact"/>
        <w:rPr>
          <w:rFonts w:ascii="Courier New" w:cs="Courier New" w:eastAsia="Courier New" w:hAnsi="Courier New"/>
          <w:sz w:val="15"/>
          <w:szCs w:val="15"/>
          <w:color w:val="auto"/>
        </w:rPr>
      </w:pPr>
    </w:p>
    <w:p>
      <w:pPr>
        <w:ind w:left="880" w:right="3299" w:hanging="2"/>
        <w:spacing w:after="0" w:line="239" w:lineRule="auto"/>
        <w:tabs>
          <w:tab w:leader="none" w:pos="1413"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this Agreement is terminated by Company pursuant to Section 7.1(e), then Parent shall pay up to $500,000 of the actual legal, advisory, and accounting fees incurred by Company in connection with the Merger.</w:t>
      </w:r>
    </w:p>
    <w:p>
      <w:pPr>
        <w:spacing w:after="0" w:line="173" w:lineRule="exact"/>
        <w:rPr>
          <w:rFonts w:ascii="Courier New" w:cs="Courier New" w:eastAsia="Courier New" w:hAnsi="Courier New"/>
          <w:sz w:val="15"/>
          <w:szCs w:val="15"/>
          <w:color w:val="auto"/>
        </w:rPr>
      </w:pPr>
    </w:p>
    <w:p>
      <w:pPr>
        <w:ind w:left="1320" w:hanging="442"/>
        <w:spacing w:after="0"/>
        <w:tabs>
          <w:tab w:leader="none" w:pos="1320"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acknowledges that the agreements contained in this</w:t>
      </w:r>
    </w:p>
    <w:p>
      <w:pPr>
        <w:spacing w:after="0" w:line="3" w:lineRule="exact"/>
        <w:rPr>
          <w:rFonts w:ascii="Courier New" w:cs="Courier New" w:eastAsia="Courier New" w:hAnsi="Courier New"/>
          <w:sz w:val="15"/>
          <w:szCs w:val="15"/>
          <w:color w:val="auto"/>
        </w:rPr>
      </w:pPr>
    </w:p>
    <w:p>
      <w:pPr>
        <w:ind w:left="880"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Section 7.3(b) are an integral part of the transactions contemplated by this Agreement, and that, without these agreements, Parent would not enter into this Agreement. Accordingly, if Company fails to pay in a timely manner the amounts due pursuant to this Section 7.3(b), and, in order to obtain such payment, Parent makes a claim that results in a judgment against Company, Company shall pay to Parent its reasonable costs and expenses (including reasonable attorneys' fees and expenses) in connection with such suit, together with interest on the amounts set forth in this Section 7.3(b) at the prime rate BankOne, N.A. in effect on the date such payment was required to be made. Payment of the fees described in this Section 7.3(b) shall not be in lieu of damages incurred in the event of breach of this Agreement.</w:t>
      </w:r>
    </w:p>
    <w:p>
      <w:pPr>
        <w:spacing w:after="0" w:line="165" w:lineRule="exact"/>
        <w:rPr>
          <w:sz w:val="20"/>
          <w:szCs w:val="20"/>
          <w:color w:val="auto"/>
        </w:rPr>
      </w:pPr>
    </w:p>
    <w:p>
      <w:pPr>
        <w:ind w:right="3299"/>
        <w:spacing w:after="0" w:line="239" w:lineRule="auto"/>
        <w:rPr>
          <w:sz w:val="20"/>
          <w:szCs w:val="20"/>
          <w:color w:val="auto"/>
        </w:rPr>
      </w:pPr>
      <w:r>
        <w:rPr>
          <w:rFonts w:ascii="Courier New" w:cs="Courier New" w:eastAsia="Courier New" w:hAnsi="Courier New"/>
          <w:sz w:val="15"/>
          <w:szCs w:val="15"/>
          <w:color w:val="auto"/>
        </w:rPr>
        <w:t>7.4 Amendment. Subject to applicable law, this Agreement may be amended by the parties hereto at any time by execution of an instrument in writing signed on behalf of each of Parent and Company.</w:t>
      </w:r>
    </w:p>
    <w:p>
      <w:pPr>
        <w:spacing w:after="0" w:line="175"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7.5 Extension; Waiver. At any time prior to the Effective Time any party hereto may, to the extent legally allowed and except as otherwise set forth herein, (i) extend the time for the performance of any of the obligations or other acts of the other parties hereto, (ii) waive any inaccuracies in the representations and warranties made to such party contained herein or in any document delivered pursuant hereto and (iii) waive compliance with any of the agreements or conditions for the benefit of such party contained herein. Any agreement on the part of a party hereto to any such extension or waiver shall be valid only if set forth in an instrument in writing signed on behalf of such party. Delay in exercising any right under this Agreement shall not constitute a waiver of such right.</w:t>
      </w:r>
    </w:p>
    <w:p>
      <w:pPr>
        <w:spacing w:after="0" w:line="176"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ARTICLE VIII</w:t>
      </w:r>
    </w:p>
    <w:p>
      <w:pPr>
        <w:spacing w:after="0" w:line="1" w:lineRule="exact"/>
        <w:rPr>
          <w:sz w:val="20"/>
          <w:szCs w:val="20"/>
          <w:color w:val="auto"/>
        </w:rPr>
      </w:pPr>
    </w:p>
    <w:p>
      <w:pPr>
        <w:jc w:val="center"/>
        <w:ind w:right="3119"/>
        <w:spacing w:after="0"/>
        <w:rPr>
          <w:sz w:val="20"/>
          <w:szCs w:val="20"/>
          <w:color w:val="auto"/>
        </w:rPr>
      </w:pPr>
      <w:r>
        <w:rPr>
          <w:rFonts w:ascii="Courier New" w:cs="Courier New" w:eastAsia="Courier New" w:hAnsi="Courier New"/>
          <w:sz w:val="15"/>
          <w:szCs w:val="15"/>
          <w:color w:val="auto"/>
        </w:rPr>
        <w:t>GENERAL PROVISIONS</w:t>
      </w:r>
    </w:p>
    <w:p>
      <w:pPr>
        <w:spacing w:after="0" w:line="174"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8.1 Non-Survival of Representations and Warranties. The representations, warranties and covenants of Company, Parent and Merger Sub contained in this Agreement shall terminate at the Effective Time, and only the covenants that by their terms survive the Effective Time shall survive the Effective Time.</w:t>
      </w:r>
    </w:p>
    <w:p>
      <w:pPr>
        <w:spacing w:after="0" w:line="176"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8.2 Notices. All notices and other communications hereunder shall be in writing and shall be deemed given if delivered personally or by commercial delivery service, or sent via telecopy (receipt confirmed) to the parties at the following addresses or telecopy numbers (or at such other address or telecopy numbers for a party as shall be specified by like notice):</w:t>
      </w:r>
    </w:p>
    <w:p>
      <w:pPr>
        <w:spacing w:after="0" w:line="172"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 if to Parent or Merger Sub, to:</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ClearOne Communications, Inc.</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1825 Research Way</w:t>
      </w:r>
    </w:p>
    <w:p>
      <w:pPr>
        <w:spacing w:after="0" w:line="1" w:lineRule="exact"/>
        <w:rPr>
          <w:sz w:val="20"/>
          <w:szCs w:val="20"/>
          <w:color w:val="auto"/>
        </w:rPr>
      </w:pPr>
    </w:p>
    <w:p>
      <w:pPr>
        <w:ind w:left="960"/>
        <w:spacing w:after="0"/>
        <w:tabs>
          <w:tab w:leader="none" w:pos="2720" w:val="left"/>
        </w:tabs>
        <w:rPr>
          <w:sz w:val="20"/>
          <w:szCs w:val="20"/>
          <w:color w:val="auto"/>
        </w:rPr>
      </w:pPr>
      <w:r>
        <w:rPr>
          <w:rFonts w:ascii="Courier New" w:cs="Courier New" w:eastAsia="Courier New" w:hAnsi="Courier New"/>
          <w:sz w:val="15"/>
          <w:szCs w:val="15"/>
          <w:color w:val="auto"/>
        </w:rPr>
        <w:t>Salt Lake City, UT</w:t>
      </w:r>
      <w:r>
        <w:rPr>
          <w:sz w:val="20"/>
          <w:szCs w:val="20"/>
          <w:color w:val="auto"/>
        </w:rPr>
        <w:tab/>
      </w:r>
      <w:r>
        <w:rPr>
          <w:rFonts w:ascii="Courier New" w:cs="Courier New" w:eastAsia="Courier New" w:hAnsi="Courier New"/>
          <w:sz w:val="14"/>
          <w:szCs w:val="14"/>
          <w:color w:val="auto"/>
        </w:rPr>
        <w:t>84119</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Attention: Frances Flood and Randall J. Wichinski</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Telecopy No.: (801) 974-3742</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A-36</w:t>
      </w:r>
    </w:p>
    <w:p>
      <w:pPr>
        <w:sectPr>
          <w:pgSz w:w="11900" w:h="16838" w:orient="portrait"/>
          <w:cols w:equalWidth="0" w:num="1">
            <w:col w:w="10219"/>
          </w:cols>
          <w:pgMar w:left="240" w:top="631" w:right="1440" w:bottom="1440" w:gutter="0" w:footer="0" w:header="0"/>
        </w:sectPr>
      </w:pPr>
    </w:p>
    <w:bookmarkStart w:id="120" w:name="page121"/>
    <w:bookmarkEnd w:id="120"/>
    <w:p>
      <w:pPr>
        <w:ind w:left="960"/>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Jones Waldo Holbrook &amp; McDonough</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170 South Main Street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Suite 1500</w:t>
      </w:r>
    </w:p>
    <w:p>
      <w:pPr>
        <w:spacing w:after="0" w:line="1" w:lineRule="exact"/>
        <w:rPr>
          <w:sz w:val="20"/>
          <w:szCs w:val="20"/>
          <w:color w:val="auto"/>
        </w:rPr>
      </w:pPr>
    </w:p>
    <w:p>
      <w:pPr>
        <w:ind w:left="960"/>
        <w:spacing w:after="0"/>
        <w:tabs>
          <w:tab w:leader="none" w:pos="2720" w:val="left"/>
        </w:tabs>
        <w:rPr>
          <w:sz w:val="20"/>
          <w:szCs w:val="20"/>
          <w:color w:val="auto"/>
        </w:rPr>
      </w:pPr>
      <w:r>
        <w:rPr>
          <w:rFonts w:ascii="Courier New" w:cs="Courier New" w:eastAsia="Courier New" w:hAnsi="Courier New"/>
          <w:sz w:val="15"/>
          <w:szCs w:val="15"/>
          <w:color w:val="auto"/>
        </w:rPr>
        <w:t>Salt Lake City, UT</w:t>
      </w:r>
      <w:r>
        <w:rPr>
          <w:sz w:val="20"/>
          <w:szCs w:val="20"/>
          <w:color w:val="auto"/>
        </w:rPr>
        <w:tab/>
      </w:r>
      <w:r>
        <w:rPr>
          <w:rFonts w:ascii="Courier New" w:cs="Courier New" w:eastAsia="Courier New" w:hAnsi="Courier New"/>
          <w:sz w:val="14"/>
          <w:szCs w:val="14"/>
          <w:color w:val="auto"/>
        </w:rPr>
        <w:t>84101</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Attention: James A. Valeo, Esq.</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Telecopy No.: (801) 328-0537</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 if to Company, to:</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E.mergent, Inc.</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5960 Golden Hills Drive</w:t>
      </w:r>
    </w:p>
    <w:p>
      <w:pPr>
        <w:spacing w:after="0" w:line="1" w:lineRule="exact"/>
        <w:rPr>
          <w:sz w:val="20"/>
          <w:szCs w:val="20"/>
          <w:color w:val="auto"/>
        </w:rPr>
      </w:pPr>
    </w:p>
    <w:p>
      <w:pPr>
        <w:ind w:left="960"/>
        <w:spacing w:after="0"/>
        <w:tabs>
          <w:tab w:leader="none" w:pos="2640" w:val="left"/>
        </w:tabs>
        <w:rPr>
          <w:sz w:val="20"/>
          <w:szCs w:val="20"/>
          <w:color w:val="auto"/>
        </w:rPr>
      </w:pPr>
      <w:r>
        <w:rPr>
          <w:rFonts w:ascii="Courier New" w:cs="Courier New" w:eastAsia="Courier New" w:hAnsi="Courier New"/>
          <w:sz w:val="15"/>
          <w:szCs w:val="15"/>
          <w:color w:val="auto"/>
        </w:rPr>
        <w:t>Golden Valley, MN</w:t>
      </w:r>
      <w:r>
        <w:rPr>
          <w:sz w:val="20"/>
          <w:szCs w:val="20"/>
          <w:color w:val="auto"/>
        </w:rPr>
        <w:tab/>
      </w:r>
      <w:r>
        <w:rPr>
          <w:rFonts w:ascii="Courier New" w:cs="Courier New" w:eastAsia="Courier New" w:hAnsi="Courier New"/>
          <w:sz w:val="14"/>
          <w:szCs w:val="14"/>
          <w:color w:val="auto"/>
        </w:rPr>
        <w:t>55416</w:t>
      </w:r>
    </w:p>
    <w:p>
      <w:pPr>
        <w:spacing w:after="0" w:line="3" w:lineRule="exact"/>
        <w:rPr>
          <w:sz w:val="20"/>
          <w:szCs w:val="20"/>
          <w:color w:val="auto"/>
        </w:rPr>
      </w:pPr>
    </w:p>
    <w:p>
      <w:pPr>
        <w:ind w:left="960" w:right="7219" w:firstLine="7"/>
        <w:spacing w:after="0" w:line="271" w:lineRule="auto"/>
        <w:tabs>
          <w:tab w:leader="none" w:pos="1493" w:val="left"/>
        </w:tabs>
        <w:numPr>
          <w:ilvl w:val="0"/>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542-0069 Attention: James Hansen</w:t>
      </w:r>
    </w:p>
    <w:p>
      <w:pPr>
        <w:spacing w:after="0" w:line="15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with a copy to:</w:t>
      </w:r>
    </w:p>
    <w:p>
      <w:pPr>
        <w:spacing w:after="0" w:line="17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Fredrickson &amp; Bryon, P.A.</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1100 International Centre</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900 Second Avenue South</w:t>
      </w:r>
    </w:p>
    <w:p>
      <w:pPr>
        <w:spacing w:after="0" w:line="1" w:lineRule="exact"/>
        <w:rPr>
          <w:sz w:val="20"/>
          <w:szCs w:val="20"/>
          <w:color w:val="auto"/>
        </w:rPr>
      </w:pPr>
    </w:p>
    <w:p>
      <w:pPr>
        <w:ind w:left="960"/>
        <w:spacing w:after="0"/>
        <w:tabs>
          <w:tab w:leader="none" w:pos="2460" w:val="left"/>
        </w:tabs>
        <w:rPr>
          <w:sz w:val="20"/>
          <w:szCs w:val="20"/>
          <w:color w:val="auto"/>
        </w:rPr>
      </w:pPr>
      <w:r>
        <w:rPr>
          <w:rFonts w:ascii="Courier New" w:cs="Courier New" w:eastAsia="Courier New" w:hAnsi="Courier New"/>
          <w:sz w:val="15"/>
          <w:szCs w:val="15"/>
          <w:color w:val="auto"/>
        </w:rPr>
        <w:t>Minneapolis, MN</w:t>
      </w:r>
      <w:r>
        <w:rPr>
          <w:sz w:val="20"/>
          <w:szCs w:val="20"/>
          <w:color w:val="auto"/>
        </w:rPr>
        <w:tab/>
      </w:r>
      <w:r>
        <w:rPr>
          <w:rFonts w:ascii="Courier New" w:cs="Courier New" w:eastAsia="Courier New" w:hAnsi="Courier New"/>
          <w:sz w:val="14"/>
          <w:szCs w:val="14"/>
          <w:color w:val="auto"/>
        </w:rPr>
        <w:t>55402</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Telecopy No: (612) 347-7077</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Attention: Robert Ribeiro, Esq.</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8.3 Interpretation; Knowledge.</w:t>
      </w:r>
    </w:p>
    <w:p>
      <w:pPr>
        <w:spacing w:after="0" w:line="174" w:lineRule="exact"/>
        <w:rPr>
          <w:sz w:val="20"/>
          <w:szCs w:val="20"/>
          <w:color w:val="auto"/>
        </w:rPr>
      </w:pPr>
    </w:p>
    <w:p>
      <w:pPr>
        <w:ind w:left="440" w:right="3119" w:hanging="5"/>
        <w:spacing w:after="0"/>
        <w:tabs>
          <w:tab w:leader="none" w:pos="795"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 a reference is made in this Agreement to Exhibits, such reference shall be to an Exhibit to this Agreement unless otherwise indicated. When a reference is made in this Agreement to Sections, such reference shall be to a Section of this Agreement. Unless otherwise indicated the words "include," "includes" and "including" when used herein shall be deemed in each case to be followed by the words "without limitation." The table of contents and headings contained in this Agreement are for reference purposes only and shall not affect in any way the meaning or interpretation of this Agreement. When reference is made herein to "the business of" an entity, such reference shall be deemed to include the business of all direct and indirect subsidiaries of such entity. Reference to the subsidiaries of an entity shall be deemed to include all direct and indirect subsidiaries of such entity.</w:t>
      </w:r>
    </w:p>
    <w:p>
      <w:pPr>
        <w:spacing w:after="0" w:line="180" w:lineRule="exact"/>
        <w:rPr>
          <w:rFonts w:ascii="Courier New" w:cs="Courier New" w:eastAsia="Courier New" w:hAnsi="Courier New"/>
          <w:sz w:val="15"/>
          <w:szCs w:val="15"/>
          <w:color w:val="auto"/>
        </w:rPr>
      </w:pPr>
    </w:p>
    <w:p>
      <w:pPr>
        <w:ind w:left="440" w:right="3119" w:hanging="5"/>
        <w:spacing w:after="0"/>
        <w:tabs>
          <w:tab w:leader="none" w:pos="795"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"knowledge" means with respect to a party hereto, with respect to any matter in question, knowledge of the executive officers or directors of such party if: (a) such individual is actually aware of such fact or matter; or (b) a prudent individual could be expected to discover or otherwise become aware of such fact or other matter in the course of conducting a reasonable investigation concerning the existence of such fact or matter.</w:t>
      </w:r>
    </w:p>
    <w:p>
      <w:pPr>
        <w:spacing w:after="0" w:line="175" w:lineRule="exact"/>
        <w:rPr>
          <w:rFonts w:ascii="Courier New" w:cs="Courier New" w:eastAsia="Courier New" w:hAnsi="Courier New"/>
          <w:sz w:val="15"/>
          <w:szCs w:val="15"/>
          <w:color w:val="auto"/>
        </w:rPr>
      </w:pPr>
    </w:p>
    <w:p>
      <w:pPr>
        <w:ind w:left="440" w:right="3219" w:hanging="5"/>
        <w:spacing w:after="0" w:line="239" w:lineRule="auto"/>
        <w:tabs>
          <w:tab w:leader="none" w:pos="795"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 "agreement" when used herein shall be deemed in each case to mean any contract, commitment or other agreement, whether oral or written, that is legally binding.</w:t>
      </w:r>
    </w:p>
    <w:p>
      <w:pPr>
        <w:spacing w:after="0" w:line="175" w:lineRule="exact"/>
        <w:rPr>
          <w:rFonts w:ascii="Courier New" w:cs="Courier New" w:eastAsia="Courier New" w:hAnsi="Courier New"/>
          <w:sz w:val="15"/>
          <w:szCs w:val="15"/>
          <w:color w:val="auto"/>
        </w:rPr>
      </w:pPr>
    </w:p>
    <w:p>
      <w:pPr>
        <w:ind w:left="440" w:right="3119" w:hanging="5"/>
        <w:spacing w:after="0"/>
        <w:tabs>
          <w:tab w:leader="none" w:pos="795"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Agreement, the term "person" shall mean any individual, corporation (including any non-profit corporation), general partnership, limited partnership, limited liability partnership, joint venture, estate, trust, company (including any limited liability company or joint stock company), firm or other enterprise, association, organization, entity or Governmental Entity.</w:t>
      </w:r>
    </w:p>
    <w:p>
      <w:pPr>
        <w:spacing w:after="0" w:line="175" w:lineRule="exact"/>
        <w:rPr>
          <w:rFonts w:ascii="Courier New" w:cs="Courier New" w:eastAsia="Courier New" w:hAnsi="Courier New"/>
          <w:sz w:val="15"/>
          <w:szCs w:val="15"/>
          <w:color w:val="auto"/>
        </w:rPr>
      </w:pPr>
    </w:p>
    <w:p>
      <w:pPr>
        <w:ind w:left="440" w:right="3119" w:hanging="5"/>
        <w:spacing w:after="0" w:line="264" w:lineRule="auto"/>
        <w:tabs>
          <w:tab w:leader="none" w:pos="795"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used in connection with Parent or Company, as the case may be, the term "Material Adverse Effect" means any change or effect in the business of the Company that, individually or when taken together with all other</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A-37</w:t>
      </w:r>
    </w:p>
    <w:p>
      <w:pPr>
        <w:sectPr>
          <w:pgSz w:w="11900" w:h="16838" w:orient="portrait"/>
          <w:cols w:equalWidth="0" w:num="1">
            <w:col w:w="10219"/>
          </w:cols>
          <w:pgMar w:left="240" w:top="628" w:right="1440" w:bottom="1440" w:gutter="0" w:footer="0" w:header="0"/>
        </w:sectPr>
      </w:pPr>
    </w:p>
    <w:bookmarkStart w:id="121" w:name="page122"/>
    <w:bookmarkEnd w:id="121"/>
    <w:p>
      <w:pPr>
        <w:ind w:left="440" w:right="3119"/>
        <w:spacing w:after="0" w:line="259" w:lineRule="auto"/>
        <w:rPr>
          <w:sz w:val="20"/>
          <w:szCs w:val="20"/>
          <w:color w:val="auto"/>
        </w:rPr>
      </w:pPr>
      <w:r>
        <w:rPr>
          <w:rFonts w:ascii="Courier New" w:cs="Courier New" w:eastAsia="Courier New" w:hAnsi="Courier New"/>
          <w:sz w:val="14"/>
          <w:szCs w:val="14"/>
          <w:color w:val="auto"/>
        </w:rPr>
        <w:t>such changes or effects that have occurred prior to the date of determination of the occurrence of the Material Adverse Effect, is or is reasonably likely to be materially adverse to the business, assets (including intangible assets), financial condition or results of operations of such entity and its subsidiaries, taken as a whole; provided, however, that in no event shall any of the following, alone or in combination, be deemed to constitute, nor shall any of the following be taken into account in determining whether there has been or will be, a Material Adverse Effect on any entity: (i) any change or effect that results or arises from changes affecting any of the industries in which such entity operates generally or the United States economy generally (which changes or effects in each case do not materially disproportionately affect such entity); or (ii) any change or effect that results or arises from changes affecting general worldwide economic or capital market conditions (which changes in each case do not materially disproportionately affect such entity).</w:t>
      </w:r>
    </w:p>
    <w:p>
      <w:pPr>
        <w:spacing w:after="0" w:line="163"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8.4 Counterparts. This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8.5 Entire Agreement; Third Party Beneficiaries. This Agreement and the documents and instruments and other agreements among the parties hereto as contemplated by or referred to herein, including the Company Schedule and the Parent Schedule constitute the entire agreement among the parties with respect to the subject matter hereof and supersede all prior agreements and understandings, both written and oral, among the parties with respect to the subject matter hereof, it being understood that the Confidentiality Agreement shall continue in full force and effect until the Closing and shall survive any termination of this Agreement. This Agreement shall be binding upon and inure solely to the benefit of each party hereto, and nothing in this Agreement, express or implied, is intended to or shall confer upon any third party any right, benefit or remedy of any nature whatsoever under or by reason of this Agreement.</w:t>
      </w:r>
    </w:p>
    <w:p>
      <w:pPr>
        <w:spacing w:after="0" w:line="180"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8.6 Severability. In the event that any provision of this Agreement, or the application thereof, becomes or is declared by a court of competent jurisdiction to be illegal, void or unenforceable, the remainder of this Agreement will continue in full force and effect and the application of such provision to other persons or circumstances will be interpreted so as reasonably to effect the intent of the parties hereto. The parties further agree to replace such void or unenforceable provision of this Agreement with a valid and enforceable provision that will achieve, to the extent possible, the economic, business and other purposes of such void or unenforceable provision.</w:t>
      </w:r>
    </w:p>
    <w:p>
      <w:pPr>
        <w:spacing w:after="0" w:line="177" w:lineRule="exact"/>
        <w:rPr>
          <w:sz w:val="20"/>
          <w:szCs w:val="20"/>
          <w:color w:val="auto"/>
        </w:rPr>
      </w:pPr>
    </w:p>
    <w:p>
      <w:pPr>
        <w:ind w:right="3299"/>
        <w:spacing w:after="0" w:line="259" w:lineRule="auto"/>
        <w:rPr>
          <w:sz w:val="20"/>
          <w:szCs w:val="20"/>
          <w:color w:val="auto"/>
        </w:rPr>
      </w:pPr>
      <w:r>
        <w:rPr>
          <w:rFonts w:ascii="Courier New" w:cs="Courier New" w:eastAsia="Courier New" w:hAnsi="Courier New"/>
          <w:sz w:val="14"/>
          <w:szCs w:val="14"/>
          <w:color w:val="auto"/>
        </w:rPr>
        <w:t>8.7 Other Remedies; Specific Performance.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w:t>
      </w:r>
    </w:p>
    <w:p>
      <w:pPr>
        <w:spacing w:after="0" w:line="165" w:lineRule="exact"/>
        <w:rPr>
          <w:sz w:val="20"/>
          <w:szCs w:val="20"/>
          <w:color w:val="auto"/>
        </w:rPr>
      </w:pPr>
    </w:p>
    <w:p>
      <w:pPr>
        <w:ind w:right="3219"/>
        <w:spacing w:after="0" w:line="264" w:lineRule="auto"/>
        <w:rPr>
          <w:sz w:val="20"/>
          <w:szCs w:val="20"/>
          <w:color w:val="auto"/>
        </w:rPr>
      </w:pPr>
      <w:r>
        <w:rPr>
          <w:rFonts w:ascii="Courier New" w:cs="Courier New" w:eastAsia="Courier New" w:hAnsi="Courier New"/>
          <w:sz w:val="14"/>
          <w:szCs w:val="14"/>
          <w:color w:val="auto"/>
        </w:rPr>
        <w:t>8.8 Governing Law. This Agreement shall be governed by and construed in accordance with the laws of the State of Delaware, regardless of the laws that might otherwise govern under applicable principles of conflicts of law thereof.</w:t>
      </w:r>
    </w:p>
    <w:p>
      <w:pPr>
        <w:spacing w:after="0" w:line="159"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8.9 Rules of Construction. The parties hereto agree that they have been represented by counsel during the negotiation and execution of this Agreement and, therefore, waive the application of any law, regulation, holding or rule of construction providing that ambiguities in an agreement or other document will be construed against the party drafting such agreement or document.</w:t>
      </w:r>
    </w:p>
    <w:p>
      <w:pPr>
        <w:spacing w:after="0" w:line="174" w:lineRule="exact"/>
        <w:rPr>
          <w:sz w:val="20"/>
          <w:szCs w:val="20"/>
          <w:color w:val="auto"/>
        </w:rPr>
      </w:pPr>
    </w:p>
    <w:p>
      <w:pPr>
        <w:ind w:right="3119"/>
        <w:spacing w:after="0"/>
        <w:rPr>
          <w:sz w:val="20"/>
          <w:szCs w:val="20"/>
          <w:color w:val="auto"/>
        </w:rPr>
      </w:pPr>
      <w:r>
        <w:rPr>
          <w:rFonts w:ascii="Courier New" w:cs="Courier New" w:eastAsia="Courier New" w:hAnsi="Courier New"/>
          <w:sz w:val="15"/>
          <w:szCs w:val="15"/>
          <w:color w:val="auto"/>
        </w:rPr>
        <w:t>8.10 Assignment. No party may assign either this Agreement or any of its rights, interests, or obligations hereunder without the prior written approval of the other parties. Subject to the preceding sentence, this Agreement shall be binding upon and shall inure to the benefit of the parties hereto and their respective successors and permitted assigns.</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A-38</w:t>
      </w:r>
    </w:p>
    <w:p>
      <w:pPr>
        <w:sectPr>
          <w:pgSz w:w="11900" w:h="16838" w:orient="portrait"/>
          <w:cols w:equalWidth="0" w:num="1">
            <w:col w:w="10219"/>
          </w:cols>
          <w:pgMar w:left="240" w:top="631" w:right="1440" w:bottom="1440" w:gutter="0" w:footer="0" w:header="0"/>
        </w:sectPr>
      </w:pPr>
    </w:p>
    <w:bookmarkStart w:id="122" w:name="page123"/>
    <w:bookmarkEnd w:id="122"/>
    <w:p>
      <w:pPr>
        <w:jc w:val="both"/>
        <w:ind w:right="3119"/>
        <w:spacing w:after="0"/>
        <w:rPr>
          <w:sz w:val="20"/>
          <w:szCs w:val="20"/>
          <w:color w:val="auto"/>
        </w:rPr>
      </w:pPr>
      <w:r>
        <w:rPr>
          <w:rFonts w:ascii="Courier New" w:cs="Courier New" w:eastAsia="Courier New" w:hAnsi="Courier New"/>
          <w:sz w:val="15"/>
          <w:szCs w:val="15"/>
          <w:color w:val="auto"/>
        </w:rPr>
        <w:t>8.11 WAIVER OF JURY TRIAL. EACH OF PARENT, COMPANY AND MERGER SUB HEREBY IRREVOCABLY WAIVES ALL RIGHT TO TRIAL BY JURY IN ANY ACTION, PROCEEDING OR COUNTERCLAIM (WHETHER BASED ON CONTRACT, TORT OR OTHERWISE) ARISING OUT OF OR RELATING TO THIS AGREEMENT OR THE ACTIONS OF PARENT, COMPANY OR MERGER SUB IN THE NEGOTIATION, ADMINISTRATION, PERFORMANCE AND ENFORCEMENT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[REMAINDER OF PAGE INTENTIONALLY BLANK]</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A-39</w:t>
      </w:r>
    </w:p>
    <w:p>
      <w:pPr>
        <w:sectPr>
          <w:pgSz w:w="11900" w:h="16838" w:orient="portrait"/>
          <w:cols w:equalWidth="0" w:num="1">
            <w:col w:w="10219"/>
          </w:cols>
          <w:pgMar w:left="240" w:top="631" w:right="1440" w:bottom="1440" w:gutter="0" w:footer="0" w:header="0"/>
        </w:sectPr>
      </w:pPr>
    </w:p>
    <w:bookmarkStart w:id="123" w:name="page124"/>
    <w:bookmarkEnd w:id="123"/>
    <w:p>
      <w:pPr>
        <w:ind w:right="3479" w:firstLine="444"/>
        <w:spacing w:after="0" w:line="238" w:lineRule="auto"/>
        <w:rPr>
          <w:sz w:val="20"/>
          <w:szCs w:val="20"/>
          <w:color w:val="auto"/>
        </w:rPr>
      </w:pPr>
      <w:r>
        <w:rPr>
          <w:rFonts w:ascii="Courier New" w:cs="Courier New" w:eastAsia="Courier New" w:hAnsi="Courier New"/>
          <w:sz w:val="15"/>
          <w:szCs w:val="15"/>
          <w:color w:val="auto"/>
        </w:rPr>
        <w:t>IN WITNESS WHEREOF, the parties have executed this instrument as of the date first set forth above.</w:t>
      </w: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 Communications, Inc.</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Frances Flood</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 Inc.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James Hansen</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President and Chief Executive Officer</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Tundra Acquisition Corporation</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Randall J. Wichinski</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Vice President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A-40</w:t>
      </w:r>
    </w:p>
    <w:p>
      <w:pPr>
        <w:sectPr>
          <w:pgSz w:w="11900" w:h="16838" w:orient="portrait"/>
          <w:cols w:equalWidth="0" w:num="1">
            <w:col w:w="10219"/>
          </w:cols>
          <w:pgMar w:left="240" w:top="801" w:right="1440" w:bottom="1440" w:gutter="0" w:footer="0" w:header="0"/>
        </w:sectPr>
      </w:pPr>
    </w:p>
    <w:bookmarkStart w:id="124" w:name="page125"/>
    <w:bookmarkEnd w:id="124"/>
    <w:p>
      <w:pPr>
        <w:ind w:left="3180"/>
        <w:spacing w:after="0"/>
        <w:rPr>
          <w:sz w:val="20"/>
          <w:szCs w:val="20"/>
          <w:color w:val="auto"/>
        </w:rPr>
      </w:pPr>
      <w:r>
        <w:rPr>
          <w:rFonts w:ascii="Courier New" w:cs="Courier New" w:eastAsia="Courier New" w:hAnsi="Courier New"/>
          <w:sz w:val="15"/>
          <w:szCs w:val="15"/>
          <w:color w:val="auto"/>
        </w:rPr>
        <w:t>ANNEX A-1</w:t>
      </w:r>
    </w:p>
    <w:p>
      <w:pPr>
        <w:spacing w:after="0" w:line="342" w:lineRule="exact"/>
        <w:rPr>
          <w:sz w:val="20"/>
          <w:szCs w:val="20"/>
          <w:color w:val="auto"/>
        </w:rPr>
      </w:pPr>
    </w:p>
    <w:p>
      <w:pPr>
        <w:ind w:left="2740"/>
        <w:spacing w:after="0"/>
        <w:rPr>
          <w:sz w:val="20"/>
          <w:szCs w:val="20"/>
          <w:color w:val="auto"/>
        </w:rPr>
      </w:pPr>
      <w:r>
        <w:rPr>
          <w:rFonts w:ascii="Courier New" w:cs="Courier New" w:eastAsia="Courier New" w:hAnsi="Courier New"/>
          <w:sz w:val="15"/>
          <w:szCs w:val="15"/>
          <w:color w:val="auto"/>
        </w:rPr>
        <w:t>AMENDMENT AGREEMENT</w:t>
      </w:r>
    </w:p>
    <w:p>
      <w:pPr>
        <w:spacing w:after="0" w:line="345" w:lineRule="exact"/>
        <w:rPr>
          <w:sz w:val="20"/>
          <w:szCs w:val="20"/>
          <w:color w:val="auto"/>
        </w:rPr>
      </w:pPr>
    </w:p>
    <w:p>
      <w:pPr>
        <w:ind w:right="3119" w:firstLine="799"/>
        <w:spacing w:after="0"/>
        <w:rPr>
          <w:sz w:val="20"/>
          <w:szCs w:val="20"/>
          <w:color w:val="auto"/>
        </w:rPr>
      </w:pPr>
      <w:r>
        <w:rPr>
          <w:rFonts w:ascii="Courier New" w:cs="Courier New" w:eastAsia="Courier New" w:hAnsi="Courier New"/>
          <w:sz w:val="15"/>
          <w:szCs w:val="15"/>
          <w:color w:val="auto"/>
        </w:rPr>
        <w:t>THIS AMENDMENT AGREEMENT is dated March 29, 2002, by and among ClearOne Communications, Inc. (formerly, Gentner Communications Corporation), a Utah corporation ("Parent"), Tundra Acquisition Corporation, a Delaware corporation and a wholly-owned subsidiary of Parent ("Merger Sub") and E.mergent, Inc., a Delaware corporation (the "Company").</w:t>
      </w:r>
    </w:p>
    <w:p>
      <w:pPr>
        <w:spacing w:after="0" w:line="174" w:lineRule="exact"/>
        <w:rPr>
          <w:sz w:val="20"/>
          <w:szCs w:val="20"/>
          <w:color w:val="auto"/>
        </w:rPr>
      </w:pPr>
    </w:p>
    <w:p>
      <w:pPr>
        <w:ind w:right="3299" w:firstLine="799"/>
        <w:spacing w:after="0" w:line="271" w:lineRule="auto"/>
        <w:rPr>
          <w:sz w:val="20"/>
          <w:szCs w:val="20"/>
          <w:color w:val="auto"/>
        </w:rPr>
      </w:pPr>
      <w:r>
        <w:rPr>
          <w:rFonts w:ascii="Courier New" w:cs="Courier New" w:eastAsia="Courier New" w:hAnsi="Courier New"/>
          <w:sz w:val="14"/>
          <w:szCs w:val="14"/>
          <w:color w:val="auto"/>
        </w:rPr>
        <w:t>WHEREAS, Parent, Merger Sub and the Company entered into an Agreement and Plan of Merger, dated as of January 21, 2002 (the "Merger Agreement"); and</w:t>
      </w:r>
    </w:p>
    <w:p>
      <w:pPr>
        <w:spacing w:after="0" w:line="154" w:lineRule="exact"/>
        <w:rPr>
          <w:sz w:val="20"/>
          <w:szCs w:val="20"/>
          <w:color w:val="auto"/>
        </w:rPr>
      </w:pPr>
    </w:p>
    <w:p>
      <w:pPr>
        <w:ind w:right="3219" w:firstLine="799"/>
        <w:spacing w:after="0" w:line="239" w:lineRule="auto"/>
        <w:rPr>
          <w:sz w:val="20"/>
          <w:szCs w:val="20"/>
          <w:color w:val="auto"/>
        </w:rPr>
      </w:pPr>
      <w:r>
        <w:rPr>
          <w:rFonts w:ascii="Courier New" w:cs="Courier New" w:eastAsia="Courier New" w:hAnsi="Courier New"/>
          <w:sz w:val="15"/>
          <w:szCs w:val="15"/>
          <w:color w:val="auto"/>
        </w:rPr>
        <w:t>WHEREAS, Parent, Merger Sub and the Company desire to amend the Merger Agreement to extend the period of time within which the Merger may be consummated before Parent and the Company gain a right of termination of the Merger Agreement.</w:t>
      </w:r>
    </w:p>
    <w:p>
      <w:pPr>
        <w:spacing w:after="0" w:line="176" w:lineRule="exact"/>
        <w:rPr>
          <w:sz w:val="20"/>
          <w:szCs w:val="20"/>
          <w:color w:val="auto"/>
        </w:rPr>
      </w:pPr>
    </w:p>
    <w:p>
      <w:pPr>
        <w:ind w:right="3119" w:firstLine="799"/>
        <w:spacing w:after="0" w:line="264" w:lineRule="auto"/>
        <w:rPr>
          <w:sz w:val="20"/>
          <w:szCs w:val="20"/>
          <w:color w:val="auto"/>
        </w:rPr>
      </w:pPr>
      <w:r>
        <w:rPr>
          <w:rFonts w:ascii="Courier New" w:cs="Courier New" w:eastAsia="Courier New" w:hAnsi="Courier New"/>
          <w:sz w:val="14"/>
          <w:szCs w:val="14"/>
          <w:color w:val="auto"/>
        </w:rPr>
        <w:t>NOW, THEREFORE, in consideration of the foregoing premises and for other good and valuable consideration, the receipt and sufficiency of which are hereby acknowledged, the Company, Parent and Merger Sub hereby agree as follows:</w:t>
      </w:r>
    </w:p>
    <w:p>
      <w:pPr>
        <w:spacing w:after="0" w:line="15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 Section 7.1(b) is hereby amended to read in its entirety as follows:</w:t>
      </w:r>
    </w:p>
    <w:p>
      <w:pPr>
        <w:spacing w:after="0" w:line="17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"(b) by either the Company or Parent if the Merger shall</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not have been consummated by April 8, 2002 (the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"Termination Date") for any reason; provided; however,</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that (i) if the Registration Statement is reviewed by the</w:t>
      </w:r>
    </w:p>
    <w:p>
      <w:pPr>
        <w:spacing w:after="0" w:line="1"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SEC, then the Termination Date will be May 31, 2002; and</w:t>
      </w:r>
    </w:p>
    <w:p>
      <w:pPr>
        <w:spacing w:after="0" w:line="3" w:lineRule="exact"/>
        <w:rPr>
          <w:sz w:val="20"/>
          <w:szCs w:val="20"/>
          <w:color w:val="auto"/>
        </w:rPr>
      </w:pPr>
    </w:p>
    <w:p>
      <w:pPr>
        <w:ind w:left="1940" w:right="3219" w:firstLine="3"/>
        <w:spacing w:after="0"/>
        <w:tabs>
          <w:tab w:leader="none" w:pos="2384" w:val="left"/>
        </w:tabs>
        <w:numPr>
          <w:ilvl w:val="1"/>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 to terminate this Agreement under this Section 7.1(b) shall not be available to any party whose action or failure to act has been a principal cause of or resulted in the failure of the Merger to occur on or before such date and such action or failure to act constitutes a breach of this Agreement;"</w:t>
      </w:r>
    </w:p>
    <w:p>
      <w:pPr>
        <w:spacing w:after="0" w:line="175" w:lineRule="exact"/>
        <w:rPr>
          <w:rFonts w:ascii="Courier New" w:cs="Courier New" w:eastAsia="Courier New" w:hAnsi="Courier New"/>
          <w:sz w:val="15"/>
          <w:szCs w:val="15"/>
          <w:color w:val="auto"/>
        </w:rPr>
      </w:pPr>
    </w:p>
    <w:p>
      <w:pPr>
        <w:ind w:right="3399" w:firstLine="701"/>
        <w:spacing w:after="0" w:line="238" w:lineRule="auto"/>
        <w:tabs>
          <w:tab w:leader="none" w:pos="976"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1. above, the Merger Agreement shall remain in full force and effect with no amendment or modification.</w:t>
      </w:r>
    </w:p>
    <w:p>
      <w:pPr>
        <w:spacing w:after="0" w:line="174" w:lineRule="exact"/>
        <w:rPr>
          <w:rFonts w:ascii="Courier New" w:cs="Courier New" w:eastAsia="Courier New" w:hAnsi="Courier New"/>
          <w:sz w:val="15"/>
          <w:szCs w:val="15"/>
          <w:color w:val="auto"/>
        </w:rPr>
      </w:pPr>
    </w:p>
    <w:p>
      <w:pPr>
        <w:ind w:right="3219" w:firstLine="701"/>
        <w:spacing w:after="0" w:line="264" w:lineRule="auto"/>
        <w:tabs>
          <w:tab w:leader="none" w:pos="976" w:val="left"/>
        </w:tabs>
        <w:numPr>
          <w:ilvl w:val="0"/>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Amendment Agreement shall be governed by and construed in accordance with the laws of the State of Delaware, regardless of the laws that might otherwise govern under applicable principles of conflicts of law thereof.</w:t>
      </w:r>
    </w:p>
    <w:p>
      <w:pPr>
        <w:spacing w:after="0" w:line="159" w:lineRule="exact"/>
        <w:rPr>
          <w:rFonts w:ascii="Courier New" w:cs="Courier New" w:eastAsia="Courier New" w:hAnsi="Courier New"/>
          <w:sz w:val="14"/>
          <w:szCs w:val="14"/>
          <w:color w:val="auto"/>
        </w:rPr>
      </w:pPr>
    </w:p>
    <w:p>
      <w:pPr>
        <w:ind w:right="3119" w:firstLine="701"/>
        <w:spacing w:after="0"/>
        <w:tabs>
          <w:tab w:leader="none" w:pos="976"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Amendment Agreement may be executed in one or more counterparts, all of which shall be considered one and the same agreement and shall become effective when one or more counterparts have been signed by each of the parties and delivered to the other party, it being understood that all parties need not sign the same counterpart.</w:t>
      </w:r>
    </w:p>
    <w:p>
      <w:pPr>
        <w:spacing w:after="0" w:line="34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A-1-1</w:t>
      </w:r>
    </w:p>
    <w:p>
      <w:pPr>
        <w:sectPr>
          <w:pgSz w:w="11900" w:h="16838" w:orient="portrait"/>
          <w:cols w:equalWidth="0" w:num="1">
            <w:col w:w="10219"/>
          </w:cols>
          <w:pgMar w:left="240" w:top="457" w:right="1440" w:bottom="1440" w:gutter="0" w:footer="0" w:header="0"/>
        </w:sectPr>
      </w:pPr>
    </w:p>
    <w:bookmarkStart w:id="125" w:name="page126"/>
    <w:bookmarkEnd w:id="125"/>
    <w:p>
      <w:pPr>
        <w:ind w:right="3119" w:firstLine="710"/>
        <w:spacing w:after="0" w:line="238" w:lineRule="auto"/>
        <w:rPr>
          <w:sz w:val="20"/>
          <w:szCs w:val="20"/>
          <w:color w:val="auto"/>
        </w:rPr>
      </w:pPr>
      <w:r>
        <w:rPr>
          <w:rFonts w:ascii="Courier New" w:cs="Courier New" w:eastAsia="Courier New" w:hAnsi="Courier New"/>
          <w:sz w:val="15"/>
          <w:szCs w:val="15"/>
          <w:color w:val="auto"/>
        </w:rPr>
        <w:t>IN WITNESS WHEREOF, the parties have executed the Amendment Agreement as of the date set forth above.</w:t>
      </w:r>
    </w:p>
    <w:p>
      <w:pPr>
        <w:spacing w:after="0" w:line="17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CLEARONE COMMUNICATIONS, INC.</w:t>
      </w:r>
    </w:p>
    <w:p>
      <w:pPr>
        <w:spacing w:after="0" w:line="342" w:lineRule="exact"/>
        <w:rPr>
          <w:sz w:val="20"/>
          <w:szCs w:val="20"/>
          <w:color w:val="auto"/>
        </w:rPr>
      </w:pPr>
    </w:p>
    <w:p>
      <w:pPr>
        <w:ind w:left="2840"/>
        <w:spacing w:after="0"/>
        <w:tabs>
          <w:tab w:leader="none" w:pos="3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F.M. Flood</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Its: Chief Executive Officer</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TUNDRA ACQUISITION CORPORATION</w:t>
      </w:r>
    </w:p>
    <w:p>
      <w:pPr>
        <w:spacing w:after="0" w:line="342" w:lineRule="exact"/>
        <w:rPr>
          <w:sz w:val="20"/>
          <w:szCs w:val="20"/>
          <w:color w:val="auto"/>
        </w:rPr>
      </w:pPr>
    </w:p>
    <w:p>
      <w:pPr>
        <w:ind w:left="2840"/>
        <w:spacing w:after="0"/>
        <w:tabs>
          <w:tab w:leader="none" w:pos="3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/s/ Randy J. Wichinski</w:t>
      </w:r>
    </w:p>
    <w:p>
      <w:pPr>
        <w:spacing w:after="0" w:line="3"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Its: Vice-President</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E.MERGENT, INC.</w:t>
      </w:r>
    </w:p>
    <w:p>
      <w:pPr>
        <w:spacing w:after="0" w:line="342"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By: /s/ James W. Hansen</w:t>
      </w:r>
    </w:p>
    <w:p>
      <w:pPr>
        <w:spacing w:after="0" w:line="3" w:lineRule="exact"/>
        <w:rPr>
          <w:sz w:val="20"/>
          <w:szCs w:val="20"/>
          <w:color w:val="auto"/>
        </w:rPr>
      </w:pPr>
    </w:p>
    <w:p>
      <w:pPr>
        <w:ind w:left="3100"/>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15"/>
          <w:szCs w:val="15"/>
          <w:color w:val="auto"/>
        </w:rPr>
        <w:t>Its: Chief Executive Officer and President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A-1-2</w:t>
      </w:r>
    </w:p>
    <w:p>
      <w:pPr>
        <w:sectPr>
          <w:pgSz w:w="11900" w:h="16838" w:orient="portrait"/>
          <w:cols w:equalWidth="0" w:num="1">
            <w:col w:w="10219"/>
          </w:cols>
          <w:pgMar w:left="240" w:top="801" w:right="1440" w:bottom="1440" w:gutter="0" w:footer="0" w:header="0"/>
        </w:sectPr>
      </w:pPr>
    </w:p>
    <w:bookmarkStart w:id="126" w:name="page127"/>
    <w:bookmarkEnd w:id="126"/>
    <w:p>
      <w:pPr>
        <w:ind w:left="3189"/>
        <w:spacing w:after="0"/>
        <w:rPr>
          <w:sz w:val="20"/>
          <w:szCs w:val="20"/>
          <w:color w:val="auto"/>
        </w:rPr>
      </w:pPr>
      <w:r>
        <w:rPr>
          <w:rFonts w:ascii="Courier New" w:cs="Courier New" w:eastAsia="Courier New" w:hAnsi="Courier New"/>
          <w:sz w:val="15"/>
          <w:szCs w:val="15"/>
          <w:color w:val="auto"/>
        </w:rPr>
        <w:t>ANNEX B</w:t>
      </w:r>
    </w:p>
    <w:p>
      <w:pPr>
        <w:spacing w:after="0" w:line="171" w:lineRule="exact"/>
        <w:rPr>
          <w:sz w:val="20"/>
          <w:szCs w:val="20"/>
          <w:color w:val="auto"/>
        </w:rPr>
      </w:pPr>
    </w:p>
    <w:p>
      <w:pPr>
        <w:ind w:left="2849"/>
        <w:spacing w:after="0"/>
        <w:rPr>
          <w:sz w:val="20"/>
          <w:szCs w:val="20"/>
          <w:color w:val="auto"/>
        </w:rPr>
      </w:pPr>
      <w:r>
        <w:rPr>
          <w:rFonts w:ascii="Courier New" w:cs="Courier New" w:eastAsia="Courier New" w:hAnsi="Courier New"/>
          <w:sz w:val="15"/>
          <w:szCs w:val="15"/>
          <w:color w:val="auto"/>
        </w:rPr>
        <w:t>VOTING AGREEMENT</w:t>
      </w:r>
    </w:p>
    <w:p>
      <w:pPr>
        <w:spacing w:after="0" w:line="174" w:lineRule="exact"/>
        <w:rPr>
          <w:sz w:val="20"/>
          <w:szCs w:val="20"/>
          <w:color w:val="auto"/>
        </w:rPr>
      </w:pPr>
    </w:p>
    <w:p>
      <w:pPr>
        <w:ind w:left="9" w:right="3219" w:firstLine="444"/>
        <w:spacing w:after="0"/>
        <w:rPr>
          <w:sz w:val="20"/>
          <w:szCs w:val="20"/>
          <w:color w:val="auto"/>
        </w:rPr>
      </w:pPr>
      <w:r>
        <w:rPr>
          <w:rFonts w:ascii="Courier New" w:cs="Courier New" w:eastAsia="Courier New" w:hAnsi="Courier New"/>
          <w:sz w:val="15"/>
          <w:szCs w:val="15"/>
          <w:color w:val="auto"/>
        </w:rPr>
        <w:t>This VOTING AGREEMENT (this "Agreement"), dated as of January 21, 2002, by and among CLEARONE COMMUNICATIONS, INC. (formerly, Gentner Communications Corporation), a Utah corporation ("Parent"), TUNDRA ACQUISITION CORPORATION, a Delaware corporation ("Purchaser") and a wholly-owned subsidiary of Parent, and each of the individuals listed on the Signature Pages hereto (each in his individual capacity, a "Stockholder", and collectively, the "Stockholders").</w:t>
      </w:r>
    </w:p>
    <w:p>
      <w:pPr>
        <w:spacing w:after="0" w:line="175" w:lineRule="exact"/>
        <w:rPr>
          <w:sz w:val="20"/>
          <w:szCs w:val="20"/>
          <w:color w:val="auto"/>
        </w:rPr>
      </w:pPr>
    </w:p>
    <w:p>
      <w:pPr>
        <w:ind w:left="9" w:right="3219" w:firstLine="444"/>
        <w:spacing w:after="0" w:line="239" w:lineRule="auto"/>
        <w:rPr>
          <w:sz w:val="20"/>
          <w:szCs w:val="20"/>
          <w:color w:val="auto"/>
        </w:rPr>
      </w:pPr>
      <w:r>
        <w:rPr>
          <w:rFonts w:ascii="Courier New" w:cs="Courier New" w:eastAsia="Courier New" w:hAnsi="Courier New"/>
          <w:sz w:val="15"/>
          <w:szCs w:val="15"/>
          <w:color w:val="auto"/>
        </w:rPr>
        <w:t>A. Each of the Stockholders is, as of the date hereof, the record and beneficial owner of the shares of common stock, par value $0.01 per share (the "Common Stock"), of E.mergent, Inc., a Delaware corporation (the "Company") set forth on Annex I hereto;</w:t>
      </w:r>
    </w:p>
    <w:p>
      <w:pPr>
        <w:spacing w:after="0" w:line="176"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B. Parent, Purchaser and the Company concurrently herewith are entering into an Agreement and Plan of Merger, dated as of the date hereof (the "Merger Agreement;" capitalized terms used but not defined herein have the meanings ascribed to such terms in the Merger Agreement), which provides, among other things, for the acquisition of the Company by Parent by means of a merger of the Company with an into Purchaser (the "Merger") upon the terms and subject to the conditions set forth in the Merger Agreement; and</w:t>
      </w:r>
    </w:p>
    <w:p>
      <w:pPr>
        <w:spacing w:after="0" w:line="176" w:lineRule="exact"/>
        <w:rPr>
          <w:sz w:val="20"/>
          <w:szCs w:val="20"/>
          <w:color w:val="auto"/>
        </w:rPr>
      </w:pPr>
    </w:p>
    <w:p>
      <w:pPr>
        <w:jc w:val="both"/>
        <w:ind w:left="9" w:right="3219" w:firstLine="444"/>
        <w:spacing w:after="0" w:line="239" w:lineRule="auto"/>
        <w:rPr>
          <w:sz w:val="20"/>
          <w:szCs w:val="20"/>
          <w:color w:val="auto"/>
        </w:rPr>
      </w:pPr>
      <w:r>
        <w:rPr>
          <w:rFonts w:ascii="Courier New" w:cs="Courier New" w:eastAsia="Courier New" w:hAnsi="Courier New"/>
          <w:sz w:val="15"/>
          <w:szCs w:val="15"/>
          <w:color w:val="auto"/>
        </w:rPr>
        <w:t>C. As a condition to the willingness of Parent and Purchaser to enter into the Merger Agreement, and in order to induce Parent and Purchaser to enter into the Merger Agreement, the Stockholders have agreed (solely in their capacity as stockholders of the Company) to enter into this Agreement.</w:t>
      </w:r>
    </w:p>
    <w:p>
      <w:pPr>
        <w:spacing w:after="0" w:line="176" w:lineRule="exact"/>
        <w:rPr>
          <w:sz w:val="20"/>
          <w:szCs w:val="20"/>
          <w:color w:val="auto"/>
        </w:rPr>
      </w:pPr>
    </w:p>
    <w:p>
      <w:pPr>
        <w:ind w:left="9" w:right="3219" w:firstLine="444"/>
        <w:spacing w:after="0" w:line="261" w:lineRule="auto"/>
        <w:rPr>
          <w:sz w:val="20"/>
          <w:szCs w:val="20"/>
          <w:color w:val="auto"/>
        </w:rPr>
      </w:pPr>
      <w:r>
        <w:rPr>
          <w:rFonts w:ascii="Courier New" w:cs="Courier New" w:eastAsia="Courier New" w:hAnsi="Courier New"/>
          <w:sz w:val="14"/>
          <w:szCs w:val="14"/>
          <w:color w:val="auto"/>
        </w:rPr>
        <w:t>NOW, THEREFORE, in consideration of the execution and delivery by Parent and Purchaser of the Merger Agreement and the foregoing and the mutual representations, warranties, covenants and agreements set forth herein and therein, and other good and valuable consideration, the receipt and sufficiency of which are hereby acknowledged, the parties hereto agree as follows:</w:t>
      </w:r>
    </w:p>
    <w:p>
      <w:pPr>
        <w:spacing w:after="0" w:line="159" w:lineRule="exact"/>
        <w:rPr>
          <w:sz w:val="20"/>
          <w:szCs w:val="20"/>
          <w:color w:val="auto"/>
        </w:rPr>
      </w:pPr>
    </w:p>
    <w:p>
      <w:pPr>
        <w:ind w:left="449"/>
        <w:spacing w:after="0"/>
        <w:rPr>
          <w:sz w:val="20"/>
          <w:szCs w:val="20"/>
          <w:color w:val="auto"/>
        </w:rPr>
      </w:pPr>
      <w:r>
        <w:rPr>
          <w:rFonts w:ascii="Courier New" w:cs="Courier New" w:eastAsia="Courier New" w:hAnsi="Courier New"/>
          <w:sz w:val="15"/>
          <w:szCs w:val="15"/>
          <w:color w:val="auto"/>
        </w:rPr>
        <w:t>SECTION 1. Representations and Warranties of the Stockholder. Stockholder</w:t>
      </w:r>
    </w:p>
    <w:p>
      <w:pPr>
        <w:spacing w:after="0" w:line="3" w:lineRule="exact"/>
        <w:rPr>
          <w:sz w:val="20"/>
          <w:szCs w:val="20"/>
          <w:color w:val="auto"/>
        </w:rPr>
      </w:pPr>
    </w:p>
    <w:p>
      <w:pPr>
        <w:ind w:left="9" w:right="3119" w:hanging="9"/>
        <w:spacing w:after="0"/>
        <w:tabs>
          <w:tab w:leader="none" w:pos="364"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the sole beneficial owner of the shares of Common Stock or other voting securities and the options and warrants and other rights to purchase shares of Common Stock indicated on Annex I of this Agreement (the "Shares"), free and clear of any liens, claims, options, rights of first refusal, co-sale rights, charges or other encumbrances that, in each case, would deprive Parent of the benefits of this Agreement; (ii) does not beneficially own any securities of the Company other than the Shares; and (iii) has full power and authority to make, enter into and carry out the terms of this Agreement and the proxy contained herein.</w:t>
      </w:r>
    </w:p>
    <w:p>
      <w:pPr>
        <w:spacing w:after="0" w:line="177" w:lineRule="exact"/>
        <w:rPr>
          <w:sz w:val="20"/>
          <w:szCs w:val="20"/>
          <w:color w:val="auto"/>
        </w:rPr>
      </w:pPr>
    </w:p>
    <w:p>
      <w:pPr>
        <w:ind w:left="9" w:right="3119" w:firstLine="444"/>
        <w:spacing w:after="0"/>
        <w:rPr>
          <w:sz w:val="20"/>
          <w:szCs w:val="20"/>
          <w:color w:val="auto"/>
        </w:rPr>
      </w:pPr>
      <w:r>
        <w:rPr>
          <w:rFonts w:ascii="Courier New" w:cs="Courier New" w:eastAsia="Courier New" w:hAnsi="Courier New"/>
          <w:sz w:val="15"/>
          <w:szCs w:val="15"/>
          <w:color w:val="auto"/>
        </w:rPr>
        <w:t>SECTION 2. Voting of the Shares. The Stockholders each agree to vote the Shares, and to exercise all voting, consent and similar rights of the undersigned with respect to the Shares (including, without limitation, the power to execute and deliver written consents) at every annual, special, adjourned or postponed meeting of stockholders of the Company and in every written consent in lieu of such meeting in favor of approval of the Merger and the adoption and approval of the Merger Agreement and in favor of each of the other actions contemplated by the Merger Agreement and any action required in furtherance thereof, and against approval of any proposal made in opposition to, or in competition with, consummation of the Merger and the transactions contemplated by the Merger Agreement.</w:t>
      </w:r>
    </w:p>
    <w:p>
      <w:pPr>
        <w:spacing w:after="0" w:line="34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B-1</w:t>
      </w:r>
    </w:p>
    <w:p>
      <w:pPr>
        <w:sectPr>
          <w:pgSz w:w="11900" w:h="16838" w:orient="portrait"/>
          <w:cols w:equalWidth="0" w:num="1">
            <w:col w:w="10228"/>
          </w:cols>
          <w:pgMar w:left="231" w:top="799" w:right="1440" w:bottom="1440" w:gutter="0" w:footer="0" w:header="0"/>
        </w:sectPr>
      </w:pPr>
    </w:p>
    <w:bookmarkStart w:id="127" w:name="page128"/>
    <w:bookmarkEnd w:id="127"/>
    <w:p>
      <w:pPr>
        <w:ind w:right="3299" w:firstLine="444"/>
        <w:spacing w:after="0" w:line="261" w:lineRule="auto"/>
        <w:rPr>
          <w:sz w:val="20"/>
          <w:szCs w:val="20"/>
          <w:color w:val="auto"/>
        </w:rPr>
      </w:pPr>
      <w:r>
        <w:rPr>
          <w:rFonts w:ascii="Courier New" w:cs="Courier New" w:eastAsia="Courier New" w:hAnsi="Courier New"/>
          <w:sz w:val="14"/>
          <w:szCs w:val="14"/>
          <w:color w:val="auto"/>
        </w:rPr>
        <w:t>SECTION 3. Grant of Irrevocable Proxy; Appointment of Proxy. Concurrently with the execution of this Agreement, the Stockholder each agree to deliver to Parent a Proxy in the form attached hereto as Exhibit A (the "Proxy"), which shall be irrevocable to the fullest extent permissible by applicable law, and, except as provided therein, with respect to the Shares.</w:t>
      </w:r>
    </w:p>
    <w:p>
      <w:pPr>
        <w:spacing w:after="0" w:line="162" w:lineRule="exact"/>
        <w:rPr>
          <w:sz w:val="20"/>
          <w:szCs w:val="20"/>
          <w:color w:val="auto"/>
        </w:rPr>
      </w:pPr>
    </w:p>
    <w:p>
      <w:pPr>
        <w:ind w:right="3119" w:firstLine="444"/>
        <w:spacing w:after="0" w:line="258" w:lineRule="auto"/>
        <w:rPr>
          <w:sz w:val="20"/>
          <w:szCs w:val="20"/>
          <w:color w:val="auto"/>
        </w:rPr>
      </w:pPr>
      <w:r>
        <w:rPr>
          <w:rFonts w:ascii="Courier New" w:cs="Courier New" w:eastAsia="Courier New" w:hAnsi="Courier New"/>
          <w:sz w:val="14"/>
          <w:szCs w:val="14"/>
          <w:color w:val="auto"/>
        </w:rPr>
        <w:t>SECTION 4. Transfer of the Shares. Each of the Stockholders hereby agrees that, at all times during the period commencing with the execution and delivery of this Agreement until the Effective Time or termination of the Merger Agreement pursuant to Article VII thereof, he shall not cause or permit any Transfer (as defined below) of any of the Shares to be effected, or discuss, negotiate or make any offer regarding any Transfer of any of the Shares, unless each person to which any such Shares, or any interest therein, is or may be Transferred shall have (i) executed a counterpart of this Agreement and a proxy in the form attached hereto as Exhibit A (with such modifications as Parent may reasonably request), and (ii) agreed in writing to hold such Shares, or such interest therein, subject to all of the terms and conditions set forth in this Agreement. A Stockholder shall be deemed to have effected a "Transfer" of Shares if such Stockholder directly or indirectly (i) sells, pledges, encumbers, grants an option with respect to, transfers or otherwise disposes of such Shares or any interest therein, or (ii) enters into an agreement or commitment providing for the sale of, pledge of, encumbrance of, grant of an option with respect to, transfer of or disposition of such Shares or any interest therein. Each of the Stockholders hereby also agrees that, at all times commencing with the execution and delivery of this Agreement until the Expiration Date, he shall not deposit, or permit the deposit of, any Shares in a voting trust, grant any proxy (other than the Proxy) in respect of the Shares, or enter into any stockholder voting agreement or similar arrangement or commitment in contravention of the obligations of such Stockholder under this Agreement with respect to any of the Shares.</w:t>
      </w:r>
    </w:p>
    <w:p>
      <w:pPr>
        <w:spacing w:after="0" w:line="345"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5. Certain Events. In the event of any stock split, stock dividend, merger, reorganization, recapitalization or other change in the capital structure of the Company affecting the Common Stock or the acquisition of additional shares of Common Stock or other securities or rights of the Company by any Stockholder, the number of Shares shall be adjusted appropriately, and this Agreement and the rights and obligations hereunder shall attach to any additional shares of Common Stock or other securities or rights of the Company issued to or acquired by any such Stockholder.</w:t>
      </w:r>
    </w:p>
    <w:p>
      <w:pPr>
        <w:spacing w:after="0" w:line="177"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SECTION 6. Certain Other Agreements. From and after the date of this Agreement until the Effective Time or termination of the Merger Agreement pursuant to Article VII thereof, no Stockholder will, nor will any Stockholder authorize or permit any of such Stockholder's affiliates or any investment banker, attorney or other advisor or representative retained by any of them to, directly or indirectly, (i) solicit, initiate, encourage or induce the making, submission or announcement of any Acquisition Proposal, (ii) participate in any discussions or negotiations regarding, or furnish to any person any information with respect to, or take any other action to facilitate any inquiries or the making of any proposal that constitutes or may reasonably be expected to lead to, any Acquisition Proposal, (iii) engage in discussions with any person with respect to any Acquisition Proposal, (iv) approve, endorse or recommend any Acquisition Proposal, or (v) enter into any letter of intent or similar document or any contract, agreement or commitment contemplating or otherwise relating to any Acquisition Transaction; provided, however, that nothing herein shall prohibit a Stockholder from taking action in his capacity as a director or officer of the Company to the extent otherwise permitted by the Merger Agreement.</w:t>
      </w:r>
    </w:p>
    <w:p>
      <w:pPr>
        <w:spacing w:after="0" w:line="184" w:lineRule="exact"/>
        <w:rPr>
          <w:sz w:val="20"/>
          <w:szCs w:val="20"/>
          <w:color w:val="auto"/>
        </w:rPr>
      </w:pPr>
    </w:p>
    <w:p>
      <w:pPr>
        <w:ind w:right="3119" w:firstLine="444"/>
        <w:spacing w:after="0" w:line="264" w:lineRule="auto"/>
        <w:rPr>
          <w:sz w:val="20"/>
          <w:szCs w:val="20"/>
          <w:color w:val="auto"/>
        </w:rPr>
      </w:pPr>
      <w:r>
        <w:rPr>
          <w:rFonts w:ascii="Courier New" w:cs="Courier New" w:eastAsia="Courier New" w:hAnsi="Courier New"/>
          <w:sz w:val="14"/>
          <w:szCs w:val="14"/>
          <w:color w:val="auto"/>
        </w:rPr>
        <w:t>SECTION 7. Further Assurances. Each of the Stockholders shall, upon request of Parent or Purchaser, execute and deliver any additional documents and take such further actions as may reasonably be deemed by Parent or Purchaser to be</w:t>
      </w:r>
    </w:p>
    <w:p>
      <w:pPr>
        <w:spacing w:after="0" w:line="32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B-2</w:t>
      </w:r>
    </w:p>
    <w:p>
      <w:pPr>
        <w:sectPr>
          <w:pgSz w:w="11900" w:h="16838" w:orient="portrait"/>
          <w:cols w:equalWidth="0" w:num="1">
            <w:col w:w="10219"/>
          </w:cols>
          <w:pgMar w:left="240" w:top="631" w:right="1440" w:bottom="1440" w:gutter="0" w:footer="0" w:header="0"/>
        </w:sectPr>
      </w:pPr>
    </w:p>
    <w:bookmarkStart w:id="128" w:name="page129"/>
    <w:bookmarkEnd w:id="128"/>
    <w:p>
      <w:pPr>
        <w:ind w:right="3219"/>
        <w:spacing w:after="0" w:line="238" w:lineRule="auto"/>
        <w:rPr>
          <w:sz w:val="20"/>
          <w:szCs w:val="20"/>
          <w:color w:val="auto"/>
        </w:rPr>
      </w:pPr>
      <w:r>
        <w:rPr>
          <w:rFonts w:ascii="Courier New" w:cs="Courier New" w:eastAsia="Courier New" w:hAnsi="Courier New"/>
          <w:sz w:val="15"/>
          <w:szCs w:val="15"/>
          <w:color w:val="auto"/>
        </w:rPr>
        <w:t>necessary or desirable to carry out the provisions hereof and to vest in Parent the power to vote the Shares as contemplated by Section 3 hereof.</w:t>
      </w:r>
    </w:p>
    <w:p>
      <w:pPr>
        <w:spacing w:after="0" w:line="175" w:lineRule="exact"/>
        <w:rPr>
          <w:sz w:val="20"/>
          <w:szCs w:val="20"/>
          <w:color w:val="auto"/>
        </w:rPr>
      </w:pPr>
    </w:p>
    <w:p>
      <w:pPr>
        <w:ind w:right="3119" w:firstLine="444"/>
        <w:spacing w:after="0" w:line="261" w:lineRule="auto"/>
        <w:rPr>
          <w:sz w:val="20"/>
          <w:szCs w:val="20"/>
          <w:color w:val="auto"/>
        </w:rPr>
      </w:pPr>
      <w:r>
        <w:rPr>
          <w:rFonts w:ascii="Courier New" w:cs="Courier New" w:eastAsia="Courier New" w:hAnsi="Courier New"/>
          <w:sz w:val="14"/>
          <w:szCs w:val="14"/>
          <w:color w:val="auto"/>
        </w:rPr>
        <w:t>SECTION 8. Termination. Except as otherwise provided in this Agreement, this Agreement, and all rights and obligations of the parties hereunder, shall terminate immediately upon the earlier of (i) the termination of the Merger Agreement in accordance with its terms or (ii) the Effective Time; provided, however, that Sections 9 and 11 shall survive any termination of this Agreement.</w:t>
      </w:r>
    </w:p>
    <w:p>
      <w:pPr>
        <w:spacing w:after="0" w:line="162" w:lineRule="exact"/>
        <w:rPr>
          <w:sz w:val="20"/>
          <w:szCs w:val="20"/>
          <w:color w:val="auto"/>
        </w:rPr>
      </w:pPr>
    </w:p>
    <w:p>
      <w:pPr>
        <w:ind w:right="3119" w:firstLine="444"/>
        <w:spacing w:after="0" w:line="238" w:lineRule="auto"/>
        <w:rPr>
          <w:sz w:val="20"/>
          <w:szCs w:val="20"/>
          <w:color w:val="auto"/>
        </w:rPr>
      </w:pPr>
      <w:r>
        <w:rPr>
          <w:rFonts w:ascii="Courier New" w:cs="Courier New" w:eastAsia="Courier New" w:hAnsi="Courier New"/>
          <w:sz w:val="15"/>
          <w:szCs w:val="15"/>
          <w:color w:val="auto"/>
        </w:rPr>
        <w:t>SECTION 9. Expenses. All fees and expenses incurred by any one party hereto shall be borne by the party incurring such fees and expenses.</w:t>
      </w:r>
    </w:p>
    <w:p>
      <w:pPr>
        <w:spacing w:after="0" w:line="175" w:lineRule="exact"/>
        <w:rPr>
          <w:sz w:val="20"/>
          <w:szCs w:val="20"/>
          <w:color w:val="auto"/>
        </w:rPr>
      </w:pPr>
    </w:p>
    <w:p>
      <w:pPr>
        <w:ind w:right="3479" w:firstLine="444"/>
        <w:spacing w:after="0" w:line="239" w:lineRule="auto"/>
        <w:rPr>
          <w:sz w:val="20"/>
          <w:szCs w:val="20"/>
          <w:color w:val="auto"/>
        </w:rPr>
      </w:pPr>
      <w:r>
        <w:rPr>
          <w:rFonts w:ascii="Courier New" w:cs="Courier New" w:eastAsia="Courier New" w:hAnsi="Courier New"/>
          <w:sz w:val="15"/>
          <w:szCs w:val="15"/>
          <w:color w:val="auto"/>
        </w:rPr>
        <w:t>SECTION 10. Appraisal. Each Stockholder also agrees not to exercise any rights (including, without limitation, under Section 262 of the General Corporation Law of the State of Delaware) to demand appraisal of any Shares which may arise with respect to the Merger.</w:t>
      </w:r>
    </w:p>
    <w:p>
      <w:pPr>
        <w:spacing w:after="0" w:line="176"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SECTION 11. Certificate Legends. The Stockholders each hereby agree that Parent shall have the discretion to include a legend on the certificates representing the Shares indicating that the Shares are subject to this Agreement and the Proxy.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SECTION 12. Miscellaneous.</w:t>
      </w:r>
    </w:p>
    <w:p>
      <w:pPr>
        <w:spacing w:after="0" w:line="174" w:lineRule="exact"/>
        <w:rPr>
          <w:sz w:val="20"/>
          <w:szCs w:val="20"/>
          <w:color w:val="auto"/>
        </w:rPr>
      </w:pPr>
    </w:p>
    <w:p>
      <w:pPr>
        <w:ind w:right="3299" w:firstLine="435"/>
        <w:spacing w:after="0"/>
        <w:tabs>
          <w:tab w:leader="none" w:pos="799"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Severability. If any term, provision, covenant or restriction of this Agreement is held by a court of competent jurisdiction to be invalid, void or unenforceable, then the remainder of the terms, provisions, covenants and restrictions of this Agreement shall remain in full force and effect and shall in no way be affected, impaired or invalidated.</w:t>
      </w:r>
    </w:p>
    <w:p>
      <w:pPr>
        <w:spacing w:after="0" w:line="174"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Binding Effect and Assignment. This Agreement and all of the provisions hereof shall be binding upon and inure to the benefit of the parties hereto and their respective successors and permitted assigns, but, except as otherwise specifically provided herein, neither this Agreement nor any of the rights, interests or obligations of the parties hereto may be assigned by either of the parties without prior written consent of the other.</w:t>
      </w:r>
    </w:p>
    <w:p>
      <w:pPr>
        <w:spacing w:after="0" w:line="175" w:lineRule="exact"/>
        <w:rPr>
          <w:rFonts w:ascii="Courier New" w:cs="Courier New" w:eastAsia="Courier New" w:hAnsi="Courier New"/>
          <w:sz w:val="15"/>
          <w:szCs w:val="15"/>
          <w:color w:val="auto"/>
        </w:rPr>
      </w:pPr>
    </w:p>
    <w:p>
      <w:pPr>
        <w:ind w:right="3479" w:firstLine="435"/>
        <w:spacing w:after="0" w:line="239" w:lineRule="auto"/>
        <w:tabs>
          <w:tab w:leader="none" w:pos="799"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Amendments and Modification. This Agreement may not be modified, amended, altered or supplemented except upon the execution and delivery of a written agreement executed by the parties hereto.</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Specific Performance; Injunctive Relief. The parties hereto acknowledge that Parent shall be irreparably harmed and that there shall be no adequate remedy at law for a violation of any of the covenants or agreements of Stockholder set forth herein. Therefore, it is agreed that, in addition to any other remedies that may be available to Parent upon any such violation, Parent shall have the right to enforce such covenants and agreements by specific performance, injunctive relief or by any other means available to Parent at law or in equity</w:t>
      </w:r>
    </w:p>
    <w:p>
      <w:pPr>
        <w:spacing w:after="0" w:line="176"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 All notices and other communications pursuant to this Agreement shall be in writing and deemed to be sufficient if contained in a written instrument and shall be deemed given if delivered personally, telecopied, sent by nationally-recognized overnight courier or mailed by registered or certified mail (return receipt requested), postage prepaid, to the parties at the following address (or at such other address for a party as shall be specified by like notice):</w:t>
      </w:r>
    </w:p>
    <w:p>
      <w:pPr>
        <w:spacing w:after="0" w:line="34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B-3</w:t>
      </w:r>
    </w:p>
    <w:p>
      <w:pPr>
        <w:sectPr>
          <w:pgSz w:w="11900" w:h="16838" w:orient="portrait"/>
          <w:cols w:equalWidth="0" w:num="1">
            <w:col w:w="10219"/>
          </w:cols>
          <w:pgMar w:left="240" w:top="631" w:right="1440" w:bottom="1440" w:gutter="0" w:footer="0" w:header="0"/>
        </w:sectPr>
      </w:pPr>
    </w:p>
    <w:bookmarkStart w:id="129" w:name="page130"/>
    <w:bookmarkEnd w:id="129"/>
    <w:tbl>
      <w:tblPr>
        <w:tblLayout w:type="fixed"/>
        <w:tblInd w:w="445" w:type="dxa"/>
        <w:tblCellMar>
          <w:top w:w="0" w:type="dxa"/>
          <w:left w:w="0" w:type="dxa"/>
          <w:bottom w:w="0" w:type="dxa"/>
          <w:right w:w="0" w:type="dxa"/>
        </w:tblCellMar>
      </w:tblPr>
      <w:tr>
        <w:trPr>
          <w:trHeight w:val="170"/>
        </w:trPr>
        <w:tc>
          <w:tcPr>
            <w:tcW w:w="1600" w:type="dxa"/>
            <w:vAlign w:val="bottom"/>
          </w:tcPr>
          <w:p>
            <w:pPr>
              <w:spacing w:after="0"/>
              <w:rPr>
                <w:sz w:val="20"/>
                <w:szCs w:val="20"/>
                <w:color w:val="auto"/>
              </w:rPr>
            </w:pPr>
            <w:r>
              <w:rPr>
                <w:rFonts w:ascii="Courier New" w:cs="Courier New" w:eastAsia="Courier New" w:hAnsi="Courier New"/>
                <w:sz w:val="15"/>
                <w:szCs w:val="15"/>
                <w:color w:val="auto"/>
              </w:rPr>
              <w:t>If the Parent:</w:t>
            </w:r>
          </w:p>
        </w:tc>
        <w:tc>
          <w:tcPr>
            <w:tcW w:w="4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Gentner Communications Corporation</w:t>
            </w:r>
          </w:p>
        </w:tc>
      </w:tr>
      <w:tr>
        <w:trPr>
          <w:trHeight w:val="171"/>
        </w:trPr>
        <w:tc>
          <w:tcPr>
            <w:tcW w:w="1600" w:type="dxa"/>
            <w:vAlign w:val="bottom"/>
          </w:tcPr>
          <w:p>
            <w:pPr>
              <w:spacing w:after="0"/>
              <w:rPr>
                <w:sz w:val="14"/>
                <w:szCs w:val="1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1825 Research Way</w:t>
            </w:r>
          </w:p>
        </w:tc>
        <w:tc>
          <w:tcPr>
            <w:tcW w:w="2720" w:type="dxa"/>
            <w:vAlign w:val="bottom"/>
          </w:tcPr>
          <w:p>
            <w:pPr>
              <w:spacing w:after="0"/>
              <w:rPr>
                <w:sz w:val="14"/>
                <w:szCs w:val="14"/>
                <w:color w:val="auto"/>
              </w:rPr>
            </w:pPr>
          </w:p>
        </w:tc>
      </w:tr>
      <w:tr>
        <w:trPr>
          <w:trHeight w:val="171"/>
        </w:trPr>
        <w:tc>
          <w:tcPr>
            <w:tcW w:w="1600" w:type="dxa"/>
            <w:vAlign w:val="bottom"/>
          </w:tcPr>
          <w:p>
            <w:pPr>
              <w:spacing w:after="0"/>
              <w:rPr>
                <w:sz w:val="14"/>
                <w:szCs w:val="1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w w:val="99"/>
              </w:rPr>
              <w:t>Salt Lake City, UT</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84119</w:t>
            </w:r>
          </w:p>
        </w:tc>
      </w:tr>
      <w:tr>
        <w:trPr>
          <w:trHeight w:val="171"/>
        </w:trPr>
        <w:tc>
          <w:tcPr>
            <w:tcW w:w="1600" w:type="dxa"/>
            <w:vAlign w:val="bottom"/>
          </w:tcPr>
          <w:p>
            <w:pPr>
              <w:spacing w:after="0"/>
              <w:rPr>
                <w:sz w:val="14"/>
                <w:szCs w:val="1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w w:val="99"/>
              </w:rPr>
              <w:t>Attention: Frances</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w w:val="98"/>
              </w:rPr>
              <w:t>Flood and Randall J. Wichinski</w:t>
            </w:r>
          </w:p>
        </w:tc>
      </w:tr>
      <w:tr>
        <w:trPr>
          <w:trHeight w:val="171"/>
        </w:trPr>
        <w:tc>
          <w:tcPr>
            <w:tcW w:w="1600" w:type="dxa"/>
            <w:vAlign w:val="bottom"/>
          </w:tcPr>
          <w:p>
            <w:pPr>
              <w:spacing w:after="0"/>
              <w:rPr>
                <w:sz w:val="14"/>
                <w:szCs w:val="14"/>
                <w:color w:val="auto"/>
              </w:rPr>
            </w:pPr>
          </w:p>
        </w:tc>
        <w:tc>
          <w:tcPr>
            <w:tcW w:w="4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Telecopy No.: (801) 974-3742</w:t>
            </w:r>
          </w:p>
        </w:tc>
      </w:tr>
      <w:tr>
        <w:trPr>
          <w:trHeight w:val="341"/>
        </w:trPr>
        <w:tc>
          <w:tcPr>
            <w:tcW w:w="160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4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Jones Waldo Holbrook &amp; McDonough</w:t>
            </w:r>
          </w:p>
        </w:tc>
      </w:tr>
      <w:tr>
        <w:trPr>
          <w:trHeight w:val="171"/>
        </w:trPr>
        <w:tc>
          <w:tcPr>
            <w:tcW w:w="1600" w:type="dxa"/>
            <w:vAlign w:val="bottom"/>
          </w:tcPr>
          <w:p>
            <w:pPr>
              <w:spacing w:after="0"/>
              <w:rPr>
                <w:sz w:val="14"/>
                <w:szCs w:val="14"/>
                <w:color w:val="auto"/>
              </w:rPr>
            </w:pPr>
          </w:p>
        </w:tc>
        <w:tc>
          <w:tcPr>
            <w:tcW w:w="4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170 South Main Street, Suite 1500</w:t>
            </w:r>
          </w:p>
        </w:tc>
      </w:tr>
      <w:tr>
        <w:trPr>
          <w:trHeight w:val="171"/>
        </w:trPr>
        <w:tc>
          <w:tcPr>
            <w:tcW w:w="1600" w:type="dxa"/>
            <w:vAlign w:val="bottom"/>
          </w:tcPr>
          <w:p>
            <w:pPr>
              <w:spacing w:after="0"/>
              <w:rPr>
                <w:sz w:val="14"/>
                <w:szCs w:val="1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w w:val="99"/>
              </w:rPr>
              <w:t>Salt Lake City, UT</w:t>
            </w:r>
          </w:p>
        </w:tc>
        <w:tc>
          <w:tcPr>
            <w:tcW w:w="2720" w:type="dxa"/>
            <w:vAlign w:val="bottom"/>
          </w:tcPr>
          <w:p>
            <w:pPr>
              <w:ind w:left="140"/>
              <w:spacing w:after="0"/>
              <w:rPr>
                <w:sz w:val="20"/>
                <w:szCs w:val="20"/>
                <w:color w:val="auto"/>
              </w:rPr>
            </w:pPr>
            <w:r>
              <w:rPr>
                <w:rFonts w:ascii="Courier New" w:cs="Courier New" w:eastAsia="Courier New" w:hAnsi="Courier New"/>
                <w:sz w:val="15"/>
                <w:szCs w:val="15"/>
                <w:color w:val="auto"/>
              </w:rPr>
              <w:t>84101</w:t>
            </w:r>
          </w:p>
        </w:tc>
      </w:tr>
      <w:tr>
        <w:trPr>
          <w:trHeight w:val="171"/>
        </w:trPr>
        <w:tc>
          <w:tcPr>
            <w:tcW w:w="1600" w:type="dxa"/>
            <w:vAlign w:val="bottom"/>
          </w:tcPr>
          <w:p>
            <w:pPr>
              <w:spacing w:after="0"/>
              <w:rPr>
                <w:sz w:val="14"/>
                <w:szCs w:val="14"/>
                <w:color w:val="auto"/>
              </w:rPr>
            </w:pPr>
          </w:p>
        </w:tc>
        <w:tc>
          <w:tcPr>
            <w:tcW w:w="4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Attention: James A. Valeo, Esq.</w:t>
            </w:r>
          </w:p>
        </w:tc>
      </w:tr>
      <w:tr>
        <w:trPr>
          <w:trHeight w:val="171"/>
        </w:trPr>
        <w:tc>
          <w:tcPr>
            <w:tcW w:w="1600" w:type="dxa"/>
            <w:vAlign w:val="bottom"/>
          </w:tcPr>
          <w:p>
            <w:pPr>
              <w:spacing w:after="0"/>
              <w:rPr>
                <w:sz w:val="14"/>
                <w:szCs w:val="14"/>
                <w:color w:val="auto"/>
              </w:rPr>
            </w:pPr>
          </w:p>
        </w:tc>
        <w:tc>
          <w:tcPr>
            <w:tcW w:w="4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Telecopy No.: (801) 328-0537</w:t>
            </w:r>
          </w:p>
        </w:tc>
      </w:tr>
      <w:tr>
        <w:trPr>
          <w:trHeight w:val="341"/>
        </w:trPr>
        <w:tc>
          <w:tcPr>
            <w:tcW w:w="3500" w:type="dxa"/>
            <w:vAlign w:val="bottom"/>
            <w:gridSpan w:val="2"/>
          </w:tcPr>
          <w:p>
            <w:pPr>
              <w:spacing w:after="0"/>
              <w:rPr>
                <w:sz w:val="20"/>
                <w:szCs w:val="20"/>
                <w:color w:val="auto"/>
              </w:rPr>
            </w:pPr>
            <w:r>
              <w:rPr>
                <w:rFonts w:ascii="Courier New" w:cs="Courier New" w:eastAsia="Courier New" w:hAnsi="Courier New"/>
                <w:sz w:val="15"/>
                <w:szCs w:val="15"/>
                <w:color w:val="auto"/>
                <w:w w:val="99"/>
              </w:rPr>
              <w:t>If the Stockholders: To the address set</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forth on Annex I hereto</w:t>
            </w:r>
          </w:p>
        </w:tc>
      </w:tr>
      <w:tr>
        <w:trPr>
          <w:trHeight w:val="341"/>
        </w:trPr>
        <w:tc>
          <w:tcPr>
            <w:tcW w:w="1600" w:type="dxa"/>
            <w:vAlign w:val="bottom"/>
          </w:tcPr>
          <w:p>
            <w:pPr>
              <w:spacing w:after="0"/>
              <w:rPr>
                <w:sz w:val="20"/>
                <w:szCs w:val="20"/>
                <w:color w:val="auto"/>
              </w:rPr>
            </w:pPr>
            <w:r>
              <w:rPr>
                <w:rFonts w:ascii="Courier New" w:cs="Courier New" w:eastAsia="Courier New" w:hAnsi="Courier New"/>
                <w:sz w:val="15"/>
                <w:szCs w:val="15"/>
                <w:color w:val="auto"/>
              </w:rPr>
              <w:t>with a copy to:</w:t>
            </w:r>
          </w:p>
        </w:tc>
        <w:tc>
          <w:tcPr>
            <w:tcW w:w="4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Fredrickson &amp; Bryon, P.A.</w:t>
            </w:r>
          </w:p>
        </w:tc>
      </w:tr>
      <w:tr>
        <w:trPr>
          <w:trHeight w:val="171"/>
        </w:trPr>
        <w:tc>
          <w:tcPr>
            <w:tcW w:w="1600" w:type="dxa"/>
            <w:vAlign w:val="bottom"/>
          </w:tcPr>
          <w:p>
            <w:pPr>
              <w:spacing w:after="0"/>
              <w:rPr>
                <w:sz w:val="14"/>
                <w:szCs w:val="1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w w:val="99"/>
              </w:rPr>
              <w:t>1100 International</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Centre</w:t>
            </w:r>
          </w:p>
        </w:tc>
      </w:tr>
      <w:tr>
        <w:trPr>
          <w:trHeight w:val="171"/>
        </w:trPr>
        <w:tc>
          <w:tcPr>
            <w:tcW w:w="1600" w:type="dxa"/>
            <w:vAlign w:val="bottom"/>
          </w:tcPr>
          <w:p>
            <w:pPr>
              <w:spacing w:after="0"/>
              <w:rPr>
                <w:sz w:val="14"/>
                <w:szCs w:val="14"/>
                <w:color w:val="auto"/>
              </w:rPr>
            </w:pPr>
          </w:p>
        </w:tc>
        <w:tc>
          <w:tcPr>
            <w:tcW w:w="4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900 Second Avenue South</w:t>
            </w:r>
          </w:p>
        </w:tc>
      </w:tr>
      <w:tr>
        <w:trPr>
          <w:trHeight w:val="171"/>
        </w:trPr>
        <w:tc>
          <w:tcPr>
            <w:tcW w:w="1600" w:type="dxa"/>
            <w:vAlign w:val="bottom"/>
          </w:tcPr>
          <w:p>
            <w:pPr>
              <w:spacing w:after="0"/>
              <w:rPr>
                <w:sz w:val="14"/>
                <w:szCs w:val="14"/>
                <w:color w:val="auto"/>
              </w:rPr>
            </w:pPr>
          </w:p>
        </w:tc>
        <w:tc>
          <w:tcPr>
            <w:tcW w:w="4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Minneapolis, MN  55402</w:t>
            </w:r>
          </w:p>
        </w:tc>
      </w:tr>
      <w:tr>
        <w:trPr>
          <w:trHeight w:val="171"/>
        </w:trPr>
        <w:tc>
          <w:tcPr>
            <w:tcW w:w="1600" w:type="dxa"/>
            <w:vAlign w:val="bottom"/>
          </w:tcPr>
          <w:p>
            <w:pPr>
              <w:spacing w:after="0"/>
              <w:rPr>
                <w:sz w:val="14"/>
                <w:szCs w:val="14"/>
                <w:color w:val="auto"/>
              </w:rPr>
            </w:pPr>
          </w:p>
        </w:tc>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w w:val="99"/>
              </w:rPr>
              <w:t>Telecopy No: (612)</w:t>
            </w:r>
          </w:p>
        </w:tc>
        <w:tc>
          <w:tcPr>
            <w:tcW w:w="2720" w:type="dxa"/>
            <w:vAlign w:val="bottom"/>
          </w:tcPr>
          <w:p>
            <w:pPr>
              <w:ind w:left="40"/>
              <w:spacing w:after="0"/>
              <w:rPr>
                <w:sz w:val="20"/>
                <w:szCs w:val="20"/>
                <w:color w:val="auto"/>
              </w:rPr>
            </w:pPr>
            <w:r>
              <w:rPr>
                <w:rFonts w:ascii="Courier New" w:cs="Courier New" w:eastAsia="Courier New" w:hAnsi="Courier New"/>
                <w:sz w:val="15"/>
                <w:szCs w:val="15"/>
                <w:color w:val="auto"/>
              </w:rPr>
              <w:t>347-7077</w:t>
            </w:r>
          </w:p>
        </w:tc>
      </w:tr>
      <w:tr>
        <w:trPr>
          <w:trHeight w:val="171"/>
        </w:trPr>
        <w:tc>
          <w:tcPr>
            <w:tcW w:w="1600" w:type="dxa"/>
            <w:vAlign w:val="bottom"/>
          </w:tcPr>
          <w:p>
            <w:pPr>
              <w:spacing w:after="0"/>
              <w:rPr>
                <w:sz w:val="14"/>
                <w:szCs w:val="14"/>
                <w:color w:val="auto"/>
              </w:rPr>
            </w:pPr>
          </w:p>
        </w:tc>
        <w:tc>
          <w:tcPr>
            <w:tcW w:w="46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Attention: Robert Ribeiro, Esq.</w:t>
            </w: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both"/>
        <w:ind w:left="-435" w:right="3579" w:firstLine="435"/>
        <w:spacing w:after="0" w:line="239" w:lineRule="auto"/>
        <w:tabs>
          <w:tab w:leader="none" w:pos="36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Agreement shall be governed by the laws of the State of Delaware, without giving effect to the conflicts of law principles thereof.</w:t>
      </w:r>
    </w:p>
    <w:p>
      <w:pPr>
        <w:spacing w:after="0" w:line="175" w:lineRule="exact"/>
        <w:rPr>
          <w:rFonts w:ascii="Courier New" w:cs="Courier New" w:eastAsia="Courier New" w:hAnsi="Courier New"/>
          <w:sz w:val="15"/>
          <w:szCs w:val="15"/>
          <w:color w:val="auto"/>
        </w:rPr>
      </w:pPr>
    </w:p>
    <w:p>
      <w:pPr>
        <w:ind w:left="-435" w:right="3479" w:firstLine="435"/>
        <w:spacing w:after="0" w:line="239" w:lineRule="auto"/>
        <w:tabs>
          <w:tab w:leader="none" w:pos="36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Entire Agreement. This Agreement and the Proxy contain the entire understanding of the parties in respect of the subject matter hereof, and supersede all prior negotiations and understandings between the parties with respect to such subject matter.</w:t>
      </w:r>
    </w:p>
    <w:p>
      <w:pPr>
        <w:spacing w:after="0" w:line="176" w:lineRule="exact"/>
        <w:rPr>
          <w:rFonts w:ascii="Courier New" w:cs="Courier New" w:eastAsia="Courier New" w:hAnsi="Courier New"/>
          <w:sz w:val="15"/>
          <w:szCs w:val="15"/>
          <w:color w:val="auto"/>
        </w:rPr>
      </w:pPr>
    </w:p>
    <w:p>
      <w:pPr>
        <w:ind w:left="-435" w:right="3299" w:firstLine="435"/>
        <w:spacing w:after="0" w:line="238" w:lineRule="auto"/>
        <w:tabs>
          <w:tab w:leader="none" w:pos="36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 of Headings. The section headings are for convenience only and shall not affect the construction or interpretation of this Agreement.</w:t>
      </w:r>
    </w:p>
    <w:p>
      <w:pPr>
        <w:spacing w:after="0" w:line="174" w:lineRule="exact"/>
        <w:rPr>
          <w:rFonts w:ascii="Courier New" w:cs="Courier New" w:eastAsia="Courier New" w:hAnsi="Courier New"/>
          <w:sz w:val="15"/>
          <w:szCs w:val="15"/>
          <w:color w:val="auto"/>
        </w:rPr>
      </w:pPr>
    </w:p>
    <w:p>
      <w:pPr>
        <w:jc w:val="both"/>
        <w:ind w:left="-435" w:right="3299" w:firstLine="435"/>
        <w:spacing w:after="0" w:line="239" w:lineRule="auto"/>
        <w:tabs>
          <w:tab w:leader="none" w:pos="364" w:val="left"/>
        </w:tabs>
        <w:numPr>
          <w:ilvl w:val="0"/>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several counterparts, each of which shall be an original, but all of which together shall constitute one and the same agreement.</w:t>
      </w:r>
    </w:p>
    <w:p>
      <w:pPr>
        <w:spacing w:after="0" w:line="343" w:lineRule="exact"/>
        <w:rPr>
          <w:sz w:val="20"/>
          <w:szCs w:val="20"/>
          <w:color w:val="auto"/>
        </w:rPr>
      </w:pPr>
    </w:p>
    <w:p>
      <w:pPr>
        <w:ind w:left="2045"/>
        <w:spacing w:after="0"/>
        <w:rPr>
          <w:sz w:val="20"/>
          <w:szCs w:val="20"/>
          <w:color w:val="auto"/>
        </w:rPr>
      </w:pPr>
      <w:r>
        <w:rPr>
          <w:rFonts w:ascii="Courier New" w:cs="Courier New" w:eastAsia="Courier New" w:hAnsi="Courier New"/>
          <w:sz w:val="15"/>
          <w:szCs w:val="15"/>
          <w:color w:val="auto"/>
        </w:rPr>
        <w:t>[signature page follows]</w:t>
      </w:r>
    </w:p>
    <w:p>
      <w:pPr>
        <w:spacing w:after="0" w:line="342"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B-4</w:t>
      </w:r>
    </w:p>
    <w:p>
      <w:pPr>
        <w:sectPr>
          <w:pgSz w:w="11900" w:h="16838" w:orient="portrait"/>
          <w:cols w:equalWidth="0" w:num="1">
            <w:col w:w="9784"/>
          </w:cols>
          <w:pgMar w:left="675" w:top="628" w:right="1440" w:bottom="1440" w:gutter="0" w:footer="0" w:header="0"/>
        </w:sectPr>
      </w:pPr>
    </w:p>
    <w:bookmarkStart w:id="130" w:name="page131"/>
    <w:bookmarkEnd w:id="130"/>
    <w:p>
      <w:pPr>
        <w:ind w:right="3119" w:firstLine="444"/>
        <w:spacing w:after="0" w:line="239" w:lineRule="auto"/>
        <w:rPr>
          <w:sz w:val="20"/>
          <w:szCs w:val="20"/>
          <w:color w:val="auto"/>
        </w:rPr>
      </w:pPr>
      <w:r>
        <w:rPr>
          <w:rFonts w:ascii="Courier New" w:cs="Courier New" w:eastAsia="Courier New" w:hAnsi="Courier New"/>
          <w:sz w:val="15"/>
          <w:szCs w:val="15"/>
          <w:color w:val="auto"/>
        </w:rPr>
        <w:t>IN WITNESS WHEREOF, each of Parent, the Purchaser and the Stockholders have caused this Agreement to be duly executed and delivered as of the date first written above.</w:t>
      </w:r>
    </w:p>
    <w:p>
      <w:pPr>
        <w:spacing w:after="0" w:line="343"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CLEARONE COMMUNICATIONS, INC.</w:t>
      </w:r>
    </w:p>
    <w:p>
      <w:pPr>
        <w:spacing w:after="0" w:line="17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President and</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Chief Executive Officer</w:t>
      </w:r>
    </w:p>
    <w:p>
      <w:pPr>
        <w:spacing w:after="0" w:line="342"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TUNDRA ACQUISITION CORPORATION</w:t>
      </w:r>
    </w:p>
    <w:p>
      <w:pPr>
        <w:spacing w:after="0" w:line="17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By:</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Randall J. Wichinski,</w:t>
      </w:r>
    </w:p>
    <w:p>
      <w:pPr>
        <w:spacing w:after="0" w:line="1" w:lineRule="exact"/>
        <w:rPr>
          <w:sz w:val="20"/>
          <w:szCs w:val="20"/>
          <w:color w:val="auto"/>
        </w:rPr>
      </w:pPr>
    </w:p>
    <w:p>
      <w:pPr>
        <w:ind w:left="4420"/>
        <w:spacing w:after="0"/>
        <w:rPr>
          <w:sz w:val="20"/>
          <w:szCs w:val="20"/>
          <w:color w:val="auto"/>
        </w:rPr>
      </w:pPr>
      <w:r>
        <w:rPr>
          <w:rFonts w:ascii="Courier New" w:cs="Courier New" w:eastAsia="Courier New" w:hAnsi="Courier New"/>
          <w:sz w:val="15"/>
          <w:szCs w:val="15"/>
          <w:color w:val="auto"/>
        </w:rPr>
        <w:t>Vice President</w:t>
      </w:r>
    </w:p>
    <w:p>
      <w:pPr>
        <w:spacing w:after="0" w:line="342"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STOCKHOLDERS</w:t>
      </w:r>
    </w:p>
    <w:p>
      <w:pPr>
        <w:spacing w:after="0" w:line="200" w:lineRule="exact"/>
        <w:rPr>
          <w:sz w:val="20"/>
          <w:szCs w:val="20"/>
          <w:color w:val="auto"/>
        </w:rPr>
      </w:pPr>
    </w:p>
    <w:p>
      <w:pPr>
        <w:spacing w:after="0" w:line="313"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Robin Sheeley</w:t>
      </w:r>
    </w:p>
    <w:p>
      <w:pPr>
        <w:spacing w:after="0" w:line="200" w:lineRule="exact"/>
        <w:rPr>
          <w:sz w:val="20"/>
          <w:szCs w:val="20"/>
          <w:color w:val="auto"/>
        </w:rPr>
      </w:pPr>
    </w:p>
    <w:p>
      <w:pPr>
        <w:spacing w:after="0" w:line="313"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James Hansen</w:t>
      </w:r>
    </w:p>
    <w:p>
      <w:pPr>
        <w:spacing w:after="0" w:line="200" w:lineRule="exact"/>
        <w:rPr>
          <w:sz w:val="20"/>
          <w:szCs w:val="20"/>
          <w:color w:val="auto"/>
        </w:rPr>
      </w:pPr>
    </w:p>
    <w:p>
      <w:pPr>
        <w:spacing w:after="0" w:line="313"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Richard Craven</w:t>
      </w:r>
    </w:p>
    <w:p>
      <w:pPr>
        <w:spacing w:after="0" w:line="200" w:lineRule="exact"/>
        <w:rPr>
          <w:sz w:val="20"/>
          <w:szCs w:val="20"/>
          <w:color w:val="auto"/>
        </w:rPr>
      </w:pPr>
    </w:p>
    <w:p>
      <w:pPr>
        <w:spacing w:after="0" w:line="313"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Jill Larson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B-5</w:t>
      </w:r>
    </w:p>
    <w:p>
      <w:pPr>
        <w:sectPr>
          <w:pgSz w:w="11900" w:h="16838" w:orient="portrait"/>
          <w:cols w:equalWidth="0" w:num="1">
            <w:col w:w="10219"/>
          </w:cols>
          <w:pgMar w:left="240" w:top="972" w:right="1440" w:bottom="1440" w:gutter="0" w:footer="0" w:header="0"/>
        </w:sectPr>
      </w:pPr>
    </w:p>
    <w:bookmarkStart w:id="131" w:name="page132"/>
    <w:bookmarkEnd w:id="131"/>
    <w:p>
      <w:pPr>
        <w:ind w:left="3289"/>
        <w:spacing w:after="0"/>
        <w:rPr>
          <w:sz w:val="20"/>
          <w:szCs w:val="20"/>
          <w:color w:val="auto"/>
        </w:rPr>
      </w:pPr>
      <w:r>
        <w:rPr>
          <w:rFonts w:ascii="Courier New" w:cs="Courier New" w:eastAsia="Courier New" w:hAnsi="Courier New"/>
          <w:sz w:val="14"/>
          <w:szCs w:val="14"/>
          <w:color w:val="auto"/>
        </w:rPr>
        <w:t>ANNEX I</w:t>
      </w:r>
    </w:p>
    <w:p>
      <w:pPr>
        <w:spacing w:after="0" w:line="180" w:lineRule="exact"/>
        <w:rPr>
          <w:sz w:val="20"/>
          <w:szCs w:val="20"/>
          <w:color w:val="auto"/>
        </w:rPr>
      </w:pPr>
    </w:p>
    <w:p>
      <w:pPr>
        <w:ind w:left="3289"/>
        <w:spacing w:after="0"/>
        <w:rPr>
          <w:sz w:val="20"/>
          <w:szCs w:val="20"/>
          <w:color w:val="auto"/>
        </w:rPr>
      </w:pPr>
      <w:r>
        <w:rPr>
          <w:rFonts w:ascii="Courier New" w:cs="Courier New" w:eastAsia="Courier New" w:hAnsi="Courier New"/>
          <w:sz w:val="15"/>
          <w:szCs w:val="15"/>
          <w:color w:val="auto"/>
        </w:rPr>
        <w:t>SHARES</w:t>
      </w:r>
    </w:p>
    <w:p>
      <w:pPr>
        <w:sectPr>
          <w:pgSz w:w="11900" w:h="16838" w:orient="portrait"/>
          <w:cols w:equalWidth="0" w:num="1">
            <w:col w:w="10228"/>
          </w:cols>
          <w:pgMar w:left="231" w:top="97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Stockholder Name and 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spacing w:after="0" w:line="239" w:lineRule="auto"/>
        <w:rPr>
          <w:sz w:val="20"/>
          <w:szCs w:val="20"/>
          <w:color w:val="auto"/>
        </w:rPr>
      </w:pPr>
      <w:r>
        <w:rPr>
          <w:rFonts w:ascii="Courier New" w:cs="Courier New" w:eastAsia="Courier New" w:hAnsi="Courier New"/>
          <w:sz w:val="15"/>
          <w:szCs w:val="15"/>
          <w:color w:val="auto"/>
        </w:rPr>
        <w:t>Shares of Company Common Stock issuable upon the exercise of outstanding options, warrants or other rights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5" w:lineRule="exact"/>
        <w:rPr>
          <w:sz w:val="20"/>
          <w:szCs w:val="20"/>
          <w:color w:val="auto"/>
        </w:rPr>
      </w:pPr>
    </w:p>
    <w:p>
      <w:pPr>
        <w:jc w:val="both"/>
        <w:ind w:right="1699"/>
        <w:spacing w:after="0" w:line="271" w:lineRule="auto"/>
        <w:rPr>
          <w:sz w:val="20"/>
          <w:szCs w:val="20"/>
          <w:color w:val="auto"/>
        </w:rPr>
      </w:pPr>
      <w:r>
        <w:rPr>
          <w:rFonts w:ascii="Courier New" w:cs="Courier New" w:eastAsia="Courier New" w:hAnsi="Courier New"/>
          <w:sz w:val="14"/>
          <w:szCs w:val="14"/>
          <w:color w:val="auto"/>
        </w:rPr>
        <w:t>Shares of Company Common Stock beneficially owned</w:t>
      </w:r>
    </w:p>
    <w:p>
      <w:pPr>
        <w:spacing w:after="0" w:line="324" w:lineRule="exact"/>
        <w:rPr>
          <w:sz w:val="20"/>
          <w:szCs w:val="20"/>
          <w:color w:val="auto"/>
        </w:rPr>
      </w:pPr>
    </w:p>
    <w:p>
      <w:pPr>
        <w:sectPr>
          <w:pgSz w:w="11900" w:h="16838" w:orient="portrait"/>
          <w:cols w:equalWidth="0" w:num="3">
            <w:col w:w="2489" w:space="260"/>
            <w:col w:w="3380" w:space="260"/>
            <w:col w:w="3839"/>
          </w:cols>
          <w:pgMar w:left="231" w:top="972" w:right="1440" w:bottom="1440" w:gutter="0" w:footer="0" w:header="0"/>
          <w:type w:val="continuous"/>
        </w:sectPr>
      </w:pPr>
    </w:p>
    <w:p>
      <w:pPr>
        <w:ind w:left="9"/>
        <w:spacing w:after="0"/>
        <w:rPr>
          <w:sz w:val="20"/>
          <w:szCs w:val="20"/>
          <w:color w:val="auto"/>
        </w:rPr>
      </w:pPr>
      <w:r>
        <w:rPr>
          <w:rFonts w:ascii="Courier New" w:cs="Courier New" w:eastAsia="Courier New" w:hAnsi="Courier New"/>
          <w:sz w:val="14"/>
          <w:szCs w:val="14"/>
          <w:color w:val="auto"/>
        </w:rPr>
        <w:t>-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40" w:type="dxa"/>
            <w:vAlign w:val="bottom"/>
          </w:tcPr>
          <w:p>
            <w:pPr>
              <w:spacing w:after="0"/>
              <w:rPr>
                <w:sz w:val="20"/>
                <w:szCs w:val="20"/>
                <w:color w:val="auto"/>
              </w:rPr>
            </w:pPr>
            <w:r>
              <w:rPr>
                <w:rFonts w:ascii="Courier New" w:cs="Courier New" w:eastAsia="Courier New" w:hAnsi="Courier New"/>
                <w:sz w:val="15"/>
                <w:szCs w:val="15"/>
                <w:color w:val="auto"/>
              </w:rPr>
              <w:t>Robin Sheeley</w:t>
            </w:r>
          </w:p>
        </w:tc>
        <w:tc>
          <w:tcPr>
            <w:tcW w:w="2880" w:type="dxa"/>
            <w:vAlign w:val="bottom"/>
          </w:tcPr>
          <w:p>
            <w:pPr>
              <w:jc w:val="right"/>
              <w:ind w:right="1466"/>
              <w:spacing w:after="0"/>
              <w:rPr>
                <w:sz w:val="20"/>
                <w:szCs w:val="20"/>
                <w:color w:val="auto"/>
              </w:rPr>
            </w:pPr>
            <w:r>
              <w:rPr>
                <w:rFonts w:ascii="Courier New" w:cs="Courier New" w:eastAsia="Courier New" w:hAnsi="Courier New"/>
                <w:sz w:val="15"/>
                <w:szCs w:val="15"/>
                <w:color w:val="auto"/>
              </w:rPr>
              <w:t>35,000</w:t>
            </w:r>
          </w:p>
        </w:tc>
        <w:tc>
          <w:tcPr>
            <w:tcW w:w="2360" w:type="dxa"/>
            <w:vAlign w:val="bottom"/>
          </w:tcPr>
          <w:p>
            <w:pPr>
              <w:jc w:val="right"/>
              <w:spacing w:after="0"/>
              <w:rPr>
                <w:sz w:val="20"/>
                <w:szCs w:val="20"/>
                <w:color w:val="auto"/>
              </w:rPr>
            </w:pPr>
            <w:r>
              <w:rPr>
                <w:rFonts w:ascii="Courier New" w:cs="Courier New" w:eastAsia="Courier New" w:hAnsi="Courier New"/>
                <w:sz w:val="15"/>
                <w:szCs w:val="15"/>
                <w:color w:val="auto"/>
              </w:rPr>
              <w:t>1,209,828</w:t>
            </w:r>
          </w:p>
        </w:tc>
      </w:tr>
    </w:tbl>
    <w:p>
      <w:pPr>
        <w:spacing w:after="0" w:line="174"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rPr>
              <w:t>James Hansen</w:t>
            </w:r>
          </w:p>
        </w:tc>
        <w:tc>
          <w:tcPr>
            <w:tcW w:w="2900" w:type="dxa"/>
            <w:vAlign w:val="bottom"/>
          </w:tcPr>
          <w:p>
            <w:pPr>
              <w:ind w:left="760"/>
              <w:spacing w:after="0"/>
              <w:rPr>
                <w:sz w:val="20"/>
                <w:szCs w:val="20"/>
                <w:color w:val="auto"/>
              </w:rPr>
            </w:pPr>
            <w:r>
              <w:rPr>
                <w:rFonts w:ascii="Courier New" w:cs="Courier New" w:eastAsia="Courier New" w:hAnsi="Courier New"/>
                <w:sz w:val="15"/>
                <w:szCs w:val="15"/>
                <w:color w:val="auto"/>
              </w:rPr>
              <w:t>130,000</w:t>
            </w:r>
          </w:p>
        </w:tc>
        <w:tc>
          <w:tcPr>
            <w:tcW w:w="4260" w:type="dxa"/>
            <w:vAlign w:val="bottom"/>
          </w:tcPr>
          <w:p>
            <w:pPr>
              <w:ind w:left="1500"/>
              <w:spacing w:after="0"/>
              <w:rPr>
                <w:sz w:val="20"/>
                <w:szCs w:val="20"/>
                <w:color w:val="auto"/>
              </w:rPr>
            </w:pPr>
            <w:r>
              <w:rPr>
                <w:rFonts w:ascii="Courier New" w:cs="Courier New" w:eastAsia="Courier New" w:hAnsi="Courier New"/>
                <w:sz w:val="15"/>
                <w:szCs w:val="15"/>
                <w:color w:val="auto"/>
              </w:rPr>
              <w:t>554,634</w:t>
            </w:r>
          </w:p>
        </w:tc>
      </w:tr>
      <w:tr>
        <w:trPr>
          <w:trHeight w:val="34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rPr>
              <w:t>Richard Craven</w:t>
            </w:r>
          </w:p>
        </w:tc>
        <w:tc>
          <w:tcPr>
            <w:tcW w:w="2900" w:type="dxa"/>
            <w:vAlign w:val="bottom"/>
          </w:tcPr>
          <w:p>
            <w:pPr>
              <w:ind w:left="760"/>
              <w:spacing w:after="0"/>
              <w:rPr>
                <w:sz w:val="20"/>
                <w:szCs w:val="20"/>
                <w:color w:val="auto"/>
              </w:rPr>
            </w:pPr>
            <w:r>
              <w:rPr>
                <w:rFonts w:ascii="Courier New" w:cs="Courier New" w:eastAsia="Courier New" w:hAnsi="Courier New"/>
                <w:sz w:val="15"/>
                <w:szCs w:val="15"/>
                <w:color w:val="auto"/>
              </w:rPr>
              <w:t>28,000</w:t>
            </w:r>
          </w:p>
        </w:tc>
        <w:tc>
          <w:tcPr>
            <w:tcW w:w="4260" w:type="dxa"/>
            <w:vAlign w:val="bottom"/>
          </w:tcPr>
          <w:p>
            <w:pPr>
              <w:ind w:left="1500"/>
              <w:spacing w:after="0"/>
              <w:rPr>
                <w:sz w:val="20"/>
                <w:szCs w:val="20"/>
                <w:color w:val="auto"/>
              </w:rPr>
            </w:pPr>
            <w:r>
              <w:rPr>
                <w:rFonts w:ascii="Courier New" w:cs="Courier New" w:eastAsia="Courier New" w:hAnsi="Courier New"/>
                <w:sz w:val="15"/>
                <w:szCs w:val="15"/>
                <w:color w:val="auto"/>
              </w:rPr>
              <w:t>625,448</w:t>
            </w:r>
          </w:p>
        </w:tc>
      </w:tr>
      <w:tr>
        <w:trPr>
          <w:trHeight w:val="34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02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w:t>
            </w:r>
          </w:p>
        </w:tc>
      </w:tr>
      <w:tr>
        <w:trPr>
          <w:trHeight w:val="171"/>
        </w:trPr>
        <w:tc>
          <w:tcPr>
            <w:tcW w:w="1980" w:type="dxa"/>
            <w:vAlign w:val="bottom"/>
            <w:gridSpan w:val="2"/>
          </w:tcPr>
          <w:p>
            <w:pPr>
              <w:spacing w:after="0"/>
              <w:rPr>
                <w:sz w:val="20"/>
                <w:szCs w:val="20"/>
                <w:color w:val="auto"/>
              </w:rPr>
            </w:pPr>
            <w:r>
              <w:rPr>
                <w:rFonts w:ascii="Courier New" w:cs="Courier New" w:eastAsia="Courier New" w:hAnsi="Courier New"/>
                <w:sz w:val="15"/>
                <w:szCs w:val="15"/>
                <w:color w:val="auto"/>
              </w:rPr>
              <w:t>Jill Larson</w:t>
            </w:r>
          </w:p>
        </w:tc>
        <w:tc>
          <w:tcPr>
            <w:tcW w:w="2900" w:type="dxa"/>
            <w:vAlign w:val="bottom"/>
          </w:tcPr>
          <w:p>
            <w:pPr>
              <w:ind w:left="760"/>
              <w:spacing w:after="0"/>
              <w:rPr>
                <w:sz w:val="20"/>
                <w:szCs w:val="20"/>
                <w:color w:val="auto"/>
              </w:rPr>
            </w:pPr>
            <w:r>
              <w:rPr>
                <w:rFonts w:ascii="Courier New" w:cs="Courier New" w:eastAsia="Courier New" w:hAnsi="Courier New"/>
                <w:sz w:val="15"/>
                <w:szCs w:val="15"/>
                <w:color w:val="auto"/>
              </w:rPr>
              <w:t>105,000</w:t>
            </w:r>
          </w:p>
        </w:tc>
        <w:tc>
          <w:tcPr>
            <w:tcW w:w="4260" w:type="dxa"/>
            <w:vAlign w:val="bottom"/>
          </w:tcPr>
          <w:p>
            <w:pPr>
              <w:ind w:left="1500"/>
              <w:spacing w:after="0"/>
              <w:rPr>
                <w:sz w:val="20"/>
                <w:szCs w:val="20"/>
                <w:color w:val="auto"/>
              </w:rPr>
            </w:pPr>
            <w:r>
              <w:rPr>
                <w:rFonts w:ascii="Courier New" w:cs="Courier New" w:eastAsia="Courier New" w:hAnsi="Courier New"/>
                <w:sz w:val="15"/>
                <w:szCs w:val="15"/>
                <w:color w:val="auto"/>
              </w:rPr>
              <w:t>3,890</w:t>
            </w:r>
          </w:p>
        </w:tc>
      </w:tr>
    </w:tbl>
    <w:p>
      <w:pPr>
        <w:spacing w:after="0" w:line="174" w:lineRule="exact"/>
        <w:rPr>
          <w:sz w:val="20"/>
          <w:szCs w:val="20"/>
          <w:color w:val="auto"/>
        </w:rPr>
      </w:pPr>
    </w:p>
    <w:p>
      <w:pPr>
        <w:ind w:left="169" w:hanging="169"/>
        <w:spacing w:after="0"/>
        <w:tabs>
          <w:tab w:leader="none" w:pos="169" w:val="left"/>
        </w:tabs>
        <w:numPr>
          <w:ilvl w:val="0"/>
          <w:numId w:val="1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00" w:lineRule="exact"/>
        <w:rPr>
          <w:rFonts w:ascii="Courier New" w:cs="Courier New" w:eastAsia="Courier New" w:hAnsi="Courier New"/>
          <w:sz w:val="14"/>
          <w:szCs w:val="14"/>
          <w:color w:val="auto"/>
        </w:rPr>
      </w:pPr>
    </w:p>
    <w:p>
      <w:pPr>
        <w:spacing w:after="0" w:line="262" w:lineRule="exact"/>
        <w:rPr>
          <w:rFonts w:ascii="Courier New" w:cs="Courier New" w:eastAsia="Courier New" w:hAnsi="Courier New"/>
          <w:sz w:val="14"/>
          <w:szCs w:val="14"/>
          <w:color w:val="auto"/>
        </w:rPr>
      </w:pPr>
    </w:p>
    <w:p>
      <w:pPr>
        <w:ind w:left="33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B-6</w:t>
      </w:r>
    </w:p>
    <w:p>
      <w:pPr>
        <w:sectPr>
          <w:pgSz w:w="11900" w:h="16838" w:orient="portrait"/>
          <w:cols w:equalWidth="0" w:num="1">
            <w:col w:w="10228"/>
          </w:cols>
          <w:pgMar w:left="231" w:top="972" w:right="1440" w:bottom="1440" w:gutter="0" w:footer="0" w:header="0"/>
          <w:type w:val="continuous"/>
        </w:sectPr>
      </w:pPr>
    </w:p>
    <w:bookmarkStart w:id="132" w:name="page133"/>
    <w:bookmarkEnd w:id="132"/>
    <w:p>
      <w:pPr>
        <w:jc w:val="center"/>
        <w:ind w:right="3039"/>
        <w:spacing w:after="0"/>
        <w:rPr>
          <w:sz w:val="20"/>
          <w:szCs w:val="20"/>
          <w:color w:val="auto"/>
        </w:rPr>
      </w:pPr>
      <w:r>
        <w:rPr>
          <w:rFonts w:ascii="Courier New" w:cs="Courier New" w:eastAsia="Courier New" w:hAnsi="Courier New"/>
          <w:sz w:val="15"/>
          <w:szCs w:val="15"/>
          <w:color w:val="auto"/>
        </w:rPr>
        <w:t>EXHIBIT A</w:t>
      </w:r>
    </w:p>
    <w:p>
      <w:pPr>
        <w:spacing w:after="0" w:line="171" w:lineRule="exact"/>
        <w:rPr>
          <w:sz w:val="20"/>
          <w:szCs w:val="20"/>
          <w:color w:val="auto"/>
        </w:rPr>
      </w:pPr>
    </w:p>
    <w:p>
      <w:pPr>
        <w:ind w:left="2840"/>
        <w:spacing w:after="0"/>
        <w:rPr>
          <w:sz w:val="20"/>
          <w:szCs w:val="20"/>
          <w:color w:val="auto"/>
        </w:rPr>
      </w:pPr>
      <w:r>
        <w:rPr>
          <w:rFonts w:ascii="Courier New" w:cs="Courier New" w:eastAsia="Courier New" w:hAnsi="Courier New"/>
          <w:sz w:val="15"/>
          <w:szCs w:val="15"/>
          <w:color w:val="auto"/>
        </w:rPr>
        <w:t>IRREVOCABLE PROXY</w:t>
      </w:r>
    </w:p>
    <w:p>
      <w:pPr>
        <w:spacing w:after="0" w:line="174" w:lineRule="exact"/>
        <w:rPr>
          <w:sz w:val="20"/>
          <w:szCs w:val="20"/>
          <w:color w:val="auto"/>
        </w:rPr>
      </w:pPr>
    </w:p>
    <w:p>
      <w:pPr>
        <w:ind w:right="3119" w:firstLine="444"/>
        <w:spacing w:after="0" w:line="259" w:lineRule="auto"/>
        <w:rPr>
          <w:sz w:val="20"/>
          <w:szCs w:val="20"/>
          <w:color w:val="auto"/>
        </w:rPr>
      </w:pPr>
      <w:r>
        <w:rPr>
          <w:rFonts w:ascii="Courier New" w:cs="Courier New" w:eastAsia="Courier New" w:hAnsi="Courier New"/>
          <w:sz w:val="14"/>
          <w:szCs w:val="14"/>
          <w:color w:val="auto"/>
        </w:rPr>
        <w:t>The undersigned stockholder of E.mergent, Inc., a Delaware corporation (the "Company"), hereby irrevocably (to the fullest extent permitted by law), solely in his capacity as a stockholder, appoints the directors on the Board of Directors of ClearOne Communications, Inc. (formerly, Gentner Communications Corporation), a Utah corporation ("Parent"), and each of them, as the sole and exclusive attorneys and proxies of the undersigned, with full power of substitution and resubstitution, to vote and exercise all voting and related rights (to the full extent that the undersigned is entitled to do so) with respect to all of the shares of capital stock of the Company that now are or hereafter may be beneficially owned by the undersigned, and any and all other shares or securities of the Company issued or issuable in respect thereof on or after the date hereof (collectively, the "Shares") in accordance with the terms of this Proxy. The Shares beneficially owned by the undersigned stockholder of the Company as of the date of this Proxy are listed on the final page of this Proxy. Upon the execution of this Proxy by the undersigned, any and all prior proxies given by the undersigned with respect to any Shares are hereby revoked and the undersigned hereby agrees not to grant any subsequent proxies with respect to the Shares until after the Expiration Date (as defined below).</w:t>
      </w:r>
    </w:p>
    <w:p>
      <w:pPr>
        <w:spacing w:after="0" w:line="333"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This Proxy is irrevocable (to the fullest extent permitted by law), is coupled with an interest and is granted pursuant to that certain Voting Agreement of even date herewith by and between Parent and the undersigned stockholder, and is granted in consideration of Parent entering into that certain Agreement and Plan of Merger (the "Merger Agreement"), by and among Parent, Tundra Acquisition Corporation, a Delaware corporation and a wholly-owned subsidiary of Parent ("Purchaser"), and the Company, which provides for the merger of the Company with and into the Purchaser in accordance with its terms (the "Merger"). As used herein, the term "Expiration Date" shall mean the earlier to occur of (i) such date and time as the Merger Agreement shall have been terminated in accordance with its terms, or (ii) such date and time as the Merger shall become effective in accordance with the terms and conditions set forth in the Merger Agreement. Upon the Expiration Date, this proxy shall be of no further force or effect.</w:t>
      </w:r>
    </w:p>
    <w:p>
      <w:pPr>
        <w:spacing w:after="0" w:line="181" w:lineRule="exact"/>
        <w:rPr>
          <w:sz w:val="20"/>
          <w:szCs w:val="20"/>
          <w:color w:val="auto"/>
        </w:rPr>
      </w:pPr>
    </w:p>
    <w:p>
      <w:pPr>
        <w:ind w:right="3119" w:firstLine="444"/>
        <w:spacing w:after="0"/>
        <w:rPr>
          <w:sz w:val="20"/>
          <w:szCs w:val="20"/>
          <w:color w:val="auto"/>
        </w:rPr>
      </w:pPr>
      <w:r>
        <w:rPr>
          <w:rFonts w:ascii="Courier New" w:cs="Courier New" w:eastAsia="Courier New" w:hAnsi="Courier New"/>
          <w:sz w:val="15"/>
          <w:szCs w:val="15"/>
          <w:color w:val="auto"/>
        </w:rPr>
        <w:t>The attorneys and proxies named above, and each of them, are hereby authorized and empowered by the undersigned, at any time prior to the Expiration Date, to act as the undersigned's attorney and proxy to vote the Shares, and to exercise all voting, consent and similar rights of the undersigned with respect to the Shares (including, without limitation, the power to execute and deliver written consents) at every annual, special, adjourned or postponed meeting of stockholders of the Company and in every written consent in lieu of such meeting:</w:t>
      </w:r>
    </w:p>
    <w:p>
      <w:pPr>
        <w:spacing w:after="0" w:line="177" w:lineRule="exact"/>
        <w:rPr>
          <w:sz w:val="20"/>
          <w:szCs w:val="20"/>
          <w:color w:val="auto"/>
        </w:rPr>
      </w:pPr>
    </w:p>
    <w:p>
      <w:pPr>
        <w:ind w:left="1320" w:right="3219" w:hanging="442"/>
        <w:spacing w:after="0" w:line="239" w:lineRule="auto"/>
        <w:tabs>
          <w:tab w:leader="none" w:pos="132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favor of approval of the Merger and the adoption and approval of the Merger Agreement, and in favor of each of the other actions contemplated by the Merger Agreement and any action required in furtherance thereof;</w:t>
      </w:r>
    </w:p>
    <w:p>
      <w:pPr>
        <w:spacing w:after="0" w:line="176" w:lineRule="exact"/>
        <w:rPr>
          <w:rFonts w:ascii="Courier New" w:cs="Courier New" w:eastAsia="Courier New" w:hAnsi="Courier New"/>
          <w:sz w:val="15"/>
          <w:szCs w:val="15"/>
          <w:color w:val="auto"/>
        </w:rPr>
      </w:pPr>
    </w:p>
    <w:p>
      <w:pPr>
        <w:ind w:left="1320" w:right="3119" w:hanging="442"/>
        <w:spacing w:after="0" w:line="239" w:lineRule="auto"/>
        <w:tabs>
          <w:tab w:leader="none" w:pos="1320"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against approval of any proposal made in opposition to, or in competition with, consummation of the Merger and the transactions contemplated by the Merger Agreement; and</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B-7</w:t>
      </w:r>
    </w:p>
    <w:p>
      <w:pPr>
        <w:sectPr>
          <w:pgSz w:w="11900" w:h="16838" w:orient="portrait"/>
          <w:cols w:equalWidth="0" w:num="1">
            <w:col w:w="10219"/>
          </w:cols>
          <w:pgMar w:left="240" w:top="1311" w:right="1440" w:bottom="1440" w:gutter="0" w:footer="0" w:header="0"/>
        </w:sectPr>
      </w:pPr>
    </w:p>
    <w:bookmarkStart w:id="133" w:name="page134"/>
    <w:bookmarkEnd w:id="133"/>
    <w:p>
      <w:pPr>
        <w:ind w:left="1320" w:right="3299" w:hanging="442"/>
        <w:spacing w:after="0" w:line="258" w:lineRule="auto"/>
        <w:tabs>
          <w:tab w:leader="none" w:pos="1409" w:val="left"/>
        </w:tabs>
        <w:numPr>
          <w:ilvl w:val="0"/>
          <w:numId w:val="1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against any of the following actions (other than those actions that relate to the Merger and the transactions contemplated by the Merger Agreement): (A) any merger, consolidation, business combination, sale of assets, reorganization or recapitalization of the Company or any subsidiary of the Company with any party,</w:t>
      </w:r>
    </w:p>
    <w:p>
      <w:pPr>
        <w:ind w:left="1320" w:right="3119" w:firstLine="2"/>
        <w:spacing w:after="0"/>
        <w:tabs>
          <w:tab w:leader="none" w:pos="1675" w:val="left"/>
        </w:tabs>
        <w:numPr>
          <w:ilvl w:val="1"/>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sale, lease or transfer of any significant part of the assets of the Company or any subsidiary of the Company, (C) any reorganization, recapitalization, dissolution, liquidation or winding up of the Company or any subsidiary of the Company, (D) any material change in the capitalization of the Company or any subsidiary of the Company, or the corporate structure of the Company or any subsidiary of the Company, or (E) any other action that is intended, or could reasonably be expected to, impede, interfere with, delay, postpone, discourage or adversely affect the Merger or any of the other transactions contemplated by the Merger Agreement; and (iv) in favor of waiving any notice that may have been or may be required relating to any reorganization of the Company or any subsidiary of the Company, any reclassification or recapitalization of the capital stock of the Company or any subsidiary of the Company, or any sale of assets, change of control, or acquisition of the Company or any subsidiary of the Company by any other person, or any consolidation or merger of the Company or any subsidiary of the Company with or into any other person.</w:t>
      </w:r>
    </w:p>
    <w:p>
      <w:pPr>
        <w:spacing w:after="0" w:line="185" w:lineRule="exact"/>
        <w:rPr>
          <w:sz w:val="20"/>
          <w:szCs w:val="20"/>
          <w:color w:val="auto"/>
        </w:rPr>
      </w:pPr>
    </w:p>
    <w:p>
      <w:pPr>
        <w:ind w:right="3219" w:firstLine="444"/>
        <w:spacing w:after="0" w:line="239" w:lineRule="auto"/>
        <w:rPr>
          <w:sz w:val="20"/>
          <w:szCs w:val="20"/>
          <w:color w:val="auto"/>
        </w:rPr>
      </w:pPr>
      <w:r>
        <w:rPr>
          <w:rFonts w:ascii="Courier New" w:cs="Courier New" w:eastAsia="Courier New" w:hAnsi="Courier New"/>
          <w:sz w:val="15"/>
          <w:szCs w:val="15"/>
          <w:color w:val="auto"/>
        </w:rPr>
        <w:t>The attorneys and proxies named above may not exercise this Proxy on any other matter except as provided above. The undersigned stockholder may vote the Shares on all other matters.</w:t>
      </w:r>
    </w:p>
    <w:p>
      <w:pPr>
        <w:spacing w:after="0" w:line="175" w:lineRule="exact"/>
        <w:rPr>
          <w:sz w:val="20"/>
          <w:szCs w:val="20"/>
          <w:color w:val="auto"/>
        </w:rPr>
      </w:pPr>
    </w:p>
    <w:p>
      <w:pPr>
        <w:ind w:right="3659" w:firstLine="444"/>
        <w:spacing w:after="0" w:line="238" w:lineRule="auto"/>
        <w:rPr>
          <w:sz w:val="20"/>
          <w:szCs w:val="20"/>
          <w:color w:val="auto"/>
        </w:rPr>
      </w:pPr>
      <w:r>
        <w:rPr>
          <w:rFonts w:ascii="Courier New" w:cs="Courier New" w:eastAsia="Courier New" w:hAnsi="Courier New"/>
          <w:sz w:val="15"/>
          <w:szCs w:val="15"/>
          <w:color w:val="auto"/>
        </w:rPr>
        <w:t>Any obligation of the undersigned hereunder shall be binding upon the successors and assigns of the undersigned.</w:t>
      </w:r>
    </w:p>
    <w:p>
      <w:pPr>
        <w:spacing w:after="0" w:line="175" w:lineRule="exact"/>
        <w:rPr>
          <w:sz w:val="20"/>
          <w:szCs w:val="20"/>
          <w:color w:val="auto"/>
        </w:rPr>
      </w:pPr>
    </w:p>
    <w:p>
      <w:pPr>
        <w:ind w:right="3119" w:firstLine="444"/>
        <w:spacing w:after="0" w:line="239" w:lineRule="auto"/>
        <w:rPr>
          <w:sz w:val="20"/>
          <w:szCs w:val="20"/>
          <w:color w:val="auto"/>
        </w:rPr>
      </w:pPr>
      <w:r>
        <w:rPr>
          <w:rFonts w:ascii="Courier New" w:cs="Courier New" w:eastAsia="Courier New" w:hAnsi="Courier New"/>
          <w:sz w:val="15"/>
          <w:szCs w:val="15"/>
          <w:color w:val="auto"/>
        </w:rPr>
        <w:t>This Proxy is irrevocable (to the fullest extent permitted by law). This Proxy shall terminate, and be of no further force and effect, automatically upon the Expiration Date.</w:t>
      </w:r>
    </w:p>
    <w:p>
      <w:pPr>
        <w:spacing w:after="0" w:line="172"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Dated: January [</w:t>
      </w:r>
      <w:r>
        <w:rPr>
          <w:sz w:val="20"/>
          <w:szCs w:val="20"/>
          <w:color w:val="auto"/>
        </w:rPr>
        <w:tab/>
      </w:r>
      <w:r>
        <w:rPr>
          <w:rFonts w:ascii="Courier New" w:cs="Courier New" w:eastAsia="Courier New" w:hAnsi="Courier New"/>
          <w:sz w:val="14"/>
          <w:szCs w:val="14"/>
          <w:color w:val="auto"/>
        </w:rPr>
        <w:t>], 2002</w:t>
      </w:r>
    </w:p>
    <w:p>
      <w:pPr>
        <w:sectPr>
          <w:pgSz w:w="11900" w:h="16838" w:orient="portrait"/>
          <w:cols w:equalWidth="0" w:num="1">
            <w:col w:w="10219"/>
          </w:cols>
          <w:pgMar w:left="240" w:top="631" w:right="1440" w:bottom="1440" w:gutter="0" w:footer="0" w:header="0"/>
        </w:sectPr>
      </w:pPr>
    </w:p>
    <w:p>
      <w:pPr>
        <w:spacing w:after="0" w:line="174"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Signature of</w:t>
      </w:r>
    </w:p>
    <w:p>
      <w:pPr>
        <w:spacing w:after="0" w:line="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Stockholder: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w:t>
      </w:r>
    </w:p>
    <w:p>
      <w:pPr>
        <w:spacing w:after="0" w:line="353" w:lineRule="exact"/>
        <w:rPr>
          <w:sz w:val="20"/>
          <w:szCs w:val="20"/>
          <w:color w:val="auto"/>
        </w:rPr>
      </w:pPr>
    </w:p>
    <w:p>
      <w:pPr>
        <w:sectPr>
          <w:pgSz w:w="11900" w:h="16838" w:orient="portrait"/>
          <w:cols w:equalWidth="0" w:num="2">
            <w:col w:w="3980" w:space="720"/>
            <w:col w:w="5519"/>
          </w:cols>
          <w:pgMar w:left="240" w:top="631"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4"/>
          <w:szCs w:val="14"/>
          <w:color w:val="auto"/>
        </w:rPr>
        <w:t>Print Name of</w:t>
      </w:r>
    </w:p>
    <w:p>
      <w:pPr>
        <w:spacing w:after="0" w:line="9"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Stockholder:</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___________________________</w:t>
      </w:r>
    </w:p>
    <w:p>
      <w:pPr>
        <w:spacing w:after="0" w:line="179" w:lineRule="exact"/>
        <w:rPr>
          <w:sz w:val="20"/>
          <w:szCs w:val="20"/>
          <w:color w:val="auto"/>
        </w:rPr>
      </w:pPr>
    </w:p>
    <w:p>
      <w:pPr>
        <w:sectPr>
          <w:pgSz w:w="11900" w:h="16838" w:orient="portrait"/>
          <w:cols w:equalWidth="0" w:num="2">
            <w:col w:w="3980" w:space="720"/>
            <w:col w:w="5519"/>
          </w:cols>
          <w:pgMar w:left="240" w:top="631"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5"/>
          <w:szCs w:val="15"/>
          <w:color w:val="auto"/>
        </w:rPr>
        <w:t>Shares of Company</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Common Stock</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beneficially owned:</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__________________</w:t>
      </w:r>
    </w:p>
    <w:p>
      <w:pPr>
        <w:spacing w:after="0" w:line="180" w:lineRule="exact"/>
        <w:rPr>
          <w:sz w:val="20"/>
          <w:szCs w:val="20"/>
          <w:color w:val="auto"/>
        </w:rPr>
      </w:pPr>
    </w:p>
    <w:p>
      <w:pPr>
        <w:sectPr>
          <w:pgSz w:w="11900" w:h="16838" w:orient="portrait"/>
          <w:cols w:equalWidth="0" w:num="2">
            <w:col w:w="4080" w:space="620"/>
            <w:col w:w="5519"/>
          </w:cols>
          <w:pgMar w:left="240" w:top="631" w:right="1440" w:bottom="1440" w:gutter="0" w:footer="0" w:header="0"/>
          <w:type w:val="continuous"/>
        </w:sectPr>
      </w:pPr>
    </w:p>
    <w:p>
      <w:pPr>
        <w:ind w:left="2380"/>
        <w:spacing w:after="0"/>
        <w:rPr>
          <w:sz w:val="20"/>
          <w:szCs w:val="20"/>
          <w:color w:val="auto"/>
        </w:rPr>
      </w:pPr>
      <w:r>
        <w:rPr>
          <w:rFonts w:ascii="Courier New" w:cs="Courier New" w:eastAsia="Courier New" w:hAnsi="Courier New"/>
          <w:sz w:val="15"/>
          <w:szCs w:val="15"/>
          <w:color w:val="auto"/>
        </w:rPr>
        <w:t>Shares of Company Common</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Stock issuable</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upon the exercise of</w:t>
      </w:r>
    </w:p>
    <w:p>
      <w:pPr>
        <w:spacing w:after="0" w:line="1"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outstanding options,</w:t>
      </w:r>
    </w:p>
    <w:p>
      <w:pPr>
        <w:spacing w:after="0" w:line="3" w:lineRule="exact"/>
        <w:rPr>
          <w:sz w:val="20"/>
          <w:szCs w:val="20"/>
          <w:color w:val="auto"/>
        </w:rPr>
      </w:pPr>
    </w:p>
    <w:p>
      <w:pPr>
        <w:ind w:left="2380"/>
        <w:spacing w:after="0"/>
        <w:rPr>
          <w:sz w:val="20"/>
          <w:szCs w:val="20"/>
          <w:color w:val="auto"/>
        </w:rPr>
      </w:pPr>
      <w:r>
        <w:rPr>
          <w:rFonts w:ascii="Courier New" w:cs="Courier New" w:eastAsia="Courier New" w:hAnsi="Courier New"/>
          <w:sz w:val="14"/>
          <w:szCs w:val="14"/>
          <w:color w:val="auto"/>
        </w:rPr>
        <w:t>warrants or other rights: 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B-8</w:t>
      </w:r>
    </w:p>
    <w:p>
      <w:pPr>
        <w:sectPr>
          <w:pgSz w:w="11900" w:h="16838" w:orient="portrait"/>
          <w:cols w:equalWidth="0" w:num="1">
            <w:col w:w="10219"/>
          </w:cols>
          <w:pgMar w:left="240" w:top="631" w:right="1440" w:bottom="1440" w:gutter="0" w:footer="0" w:header="0"/>
          <w:type w:val="continuous"/>
        </w:sectPr>
      </w:pPr>
    </w:p>
    <w:bookmarkStart w:id="134" w:name="page135"/>
    <w:bookmarkEnd w:id="134"/>
    <w:p>
      <w:pPr>
        <w:ind w:left="3180"/>
        <w:spacing w:after="0"/>
        <w:rPr>
          <w:sz w:val="20"/>
          <w:szCs w:val="20"/>
          <w:color w:val="auto"/>
        </w:rPr>
      </w:pPr>
      <w:r>
        <w:rPr>
          <w:rFonts w:ascii="Courier New" w:cs="Courier New" w:eastAsia="Courier New" w:hAnsi="Courier New"/>
          <w:sz w:val="15"/>
          <w:szCs w:val="15"/>
          <w:color w:val="auto"/>
        </w:rPr>
        <w:t>ANNEX C</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 January 2002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Confidential</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 Corporation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5960 Golden Hills Drive</w:t>
      </w:r>
    </w:p>
    <w:p>
      <w:pPr>
        <w:spacing w:after="0" w:line="1"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Minneapolis, MN</w:t>
      </w:r>
      <w:r>
        <w:rPr>
          <w:sz w:val="20"/>
          <w:szCs w:val="20"/>
          <w:color w:val="auto"/>
        </w:rPr>
        <w:tab/>
      </w:r>
      <w:r>
        <w:rPr>
          <w:rFonts w:ascii="Courier New" w:cs="Courier New" w:eastAsia="Courier New" w:hAnsi="Courier New"/>
          <w:sz w:val="14"/>
          <w:szCs w:val="14"/>
          <w:color w:val="auto"/>
        </w:rPr>
        <w:t>55416</w:t>
      </w:r>
    </w:p>
    <w:p>
      <w:pPr>
        <w:spacing w:after="0" w:line="17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Re:</w:t>
      </w:r>
      <w:r>
        <w:rPr>
          <w:sz w:val="20"/>
          <w:szCs w:val="20"/>
          <w:color w:val="auto"/>
        </w:rPr>
        <w:tab/>
      </w:r>
      <w:r>
        <w:rPr>
          <w:rFonts w:ascii="Courier New" w:cs="Courier New" w:eastAsia="Courier New" w:hAnsi="Courier New"/>
          <w:sz w:val="15"/>
          <w:szCs w:val="15"/>
          <w:color w:val="auto"/>
        </w:rPr>
        <w:t>Fairness Opinion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Members of the Board of Directors:</w:t>
      </w:r>
    </w:p>
    <w:p>
      <w:pPr>
        <w:spacing w:after="0" w:line="174" w:lineRule="exact"/>
        <w:rPr>
          <w:sz w:val="20"/>
          <w:szCs w:val="20"/>
          <w:color w:val="auto"/>
        </w:rPr>
      </w:pPr>
    </w:p>
    <w:p>
      <w:pPr>
        <w:ind w:right="3219"/>
        <w:spacing w:after="0"/>
        <w:rPr>
          <w:sz w:val="20"/>
          <w:szCs w:val="20"/>
          <w:color w:val="auto"/>
        </w:rPr>
      </w:pPr>
      <w:r>
        <w:rPr>
          <w:rFonts w:ascii="Courier New" w:cs="Courier New" w:eastAsia="Courier New" w:hAnsi="Courier New"/>
          <w:sz w:val="15"/>
          <w:szCs w:val="15"/>
          <w:color w:val="auto"/>
        </w:rPr>
        <w:t>You have requested our opinion as to the fairness, from a financial point of view, to the holders of common stock of E.mergent Corporation, a Delaware corporation ("E.mergent" or the "Company"), of the consideration to be received by such shareholders for their common stock pursuant to the terms of a proposed Merger Agreement (the "Merger Agreement") to be executed on or about the date hereof by and among the Company, ClearOne Communications Corporation (formerly Gentner Communications Corporation) ("ClearOne"), and Tundra Acquisition Corporation, a wholly owned subsidiary of ClearOne ("Merger Sub"). All capitalized and undefined terms used herein have the meanings given to them in the Merger Agreement.</w:t>
      </w:r>
    </w:p>
    <w:p>
      <w:pPr>
        <w:spacing w:after="0" w:line="178"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The Merger Agreement provides for, among other things, the merger of the Company with and into Merger Sub (the "Merger"), as a result of which each share of E.mergent common stock ("Company Common Stock") outstanding on the Closing Date will be converted into the right to receive an amount of cash and shares of common stock of ClearOne ("ClearOne Common Stock") equal to the amounts resulting from dividing each of $7,300,000 cash and 873,000 shares of ClearOne Common Stock by the number of shares of Company Common Stock outstanding on the Closing Date (subject to adjustment, as more fully described in the Merger Agreement) (as so adjusted, the "Consideration"). As a result of the Merger, the Company shall be merged with and into the Merger Sub, with the Merger Sub surviving and remaining a wholly owned subsidiary of ClearOne. We understand that the Merger is intended to qualify as a tax-free reorganization within the meaning of Sections 368(a)(1)(A) and 368(a)(2)(D) of the Internal Revenue Code</w:t>
      </w:r>
    </w:p>
    <w:p>
      <w:pPr>
        <w:spacing w:after="0" w:line="332"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C-1</w:t>
      </w:r>
    </w:p>
    <w:p>
      <w:pPr>
        <w:sectPr>
          <w:pgSz w:w="11900" w:h="16838" w:orient="portrait"/>
          <w:cols w:equalWidth="0" w:num="1">
            <w:col w:w="10219"/>
          </w:cols>
          <w:pgMar w:left="240" w:top="457" w:right="1440" w:bottom="1440" w:gutter="0" w:footer="0" w:header="0"/>
        </w:sectPr>
      </w:pPr>
    </w:p>
    <w:bookmarkStart w:id="135" w:name="page136"/>
    <w:bookmarkEnd w:id="135"/>
    <w:p>
      <w:pPr>
        <w:ind w:left="9" w:right="3299"/>
        <w:spacing w:after="0" w:line="238" w:lineRule="auto"/>
        <w:rPr>
          <w:sz w:val="20"/>
          <w:szCs w:val="20"/>
          <w:color w:val="auto"/>
        </w:rPr>
      </w:pPr>
      <w:r>
        <w:rPr>
          <w:rFonts w:ascii="Courier New" w:cs="Courier New" w:eastAsia="Courier New" w:hAnsi="Courier New"/>
          <w:sz w:val="15"/>
          <w:szCs w:val="15"/>
          <w:color w:val="auto"/>
        </w:rPr>
        <w:t>of 1986, as amended. The terms and conditions of the Merger are set forth more fully in the Merger Agreement.</w:t>
      </w:r>
    </w:p>
    <w:p>
      <w:pPr>
        <w:spacing w:after="0" w:line="175"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As a customary part of its investment banking business, Goldsmith, Agio, Helms Securities, Inc. is regularly engaged in the valuation of businesses and their securities in connection with mergers and acquisitions, private placements, and valuations for corporate and other purposes. In return for our services in connection with providing this opinion, the Company will pay us a fee, which fee is not contingent upon the consummation of the Merger, and indemnify us against certain liabilities. We also are acting as the exclusive financial advisor to the Company in connection with the Merger, for which we will receive certain other fees, a significant portion of which is contingent upon the consummation of the Merger.</w:t>
      </w:r>
    </w:p>
    <w:p>
      <w:pPr>
        <w:spacing w:after="0" w:line="178" w:lineRule="exact"/>
        <w:rPr>
          <w:sz w:val="20"/>
          <w:szCs w:val="20"/>
          <w:color w:val="auto"/>
        </w:rPr>
      </w:pPr>
    </w:p>
    <w:p>
      <w:pPr>
        <w:ind w:left="9" w:right="3219"/>
        <w:spacing w:after="0" w:line="258" w:lineRule="auto"/>
        <w:rPr>
          <w:sz w:val="20"/>
          <w:szCs w:val="20"/>
          <w:color w:val="auto"/>
        </w:rPr>
      </w:pPr>
      <w:r>
        <w:rPr>
          <w:rFonts w:ascii="Courier New" w:cs="Courier New" w:eastAsia="Courier New" w:hAnsi="Courier New"/>
          <w:sz w:val="14"/>
          <w:szCs w:val="14"/>
          <w:color w:val="auto"/>
        </w:rPr>
        <w:t>In arriving at our opinion, we have undertaken such reviews, analyses and inquiries as we deemed necessary and appropriate under the circumstances. Among other things, we have (i) reviewed the latest draft of the Merger Agreement, dated January 17, 2002; (ii) reviewed certain financial and other information that is publicly available relating to the Company and ClearOne; (iii) reviewed certain internal financial and operating data of the Company that has been made available to us by the Company; (iv) discussed with senior management of the Company the past and present financial condition, operating results, business outlook and prospects of the Company; (v) discussed with senior management of ClearOne the present financial condition, operating results, and near term business outlook of ClearOne; (vi) reviewed the Company's and ClearOne's historical common stock price trends; (vii) analyzed the stock price premiums paid in recent mergers and acquisitions of publicly traded companies with transaction values ranging from $10 to $50 million, and compared those premiums to the premium implied by the consideration in the Merger; (viii) performed a discounted cash flow analysis of the Company's projected financial performance;</w:t>
      </w:r>
    </w:p>
    <w:p>
      <w:pPr>
        <w:spacing w:after="0" w:line="3" w:lineRule="exact"/>
        <w:rPr>
          <w:sz w:val="20"/>
          <w:szCs w:val="20"/>
          <w:color w:val="auto"/>
        </w:rPr>
      </w:pPr>
    </w:p>
    <w:p>
      <w:pPr>
        <w:ind w:left="9" w:right="3479" w:hanging="9"/>
        <w:spacing w:after="0" w:line="239" w:lineRule="auto"/>
        <w:tabs>
          <w:tab w:leader="none" w:pos="453"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reviewed the valuations of publicly traded companies that we deemed generally comparable to the Company; and (x) reviewed the financial terms of certain transactions we deemed generally similar to the Merger that recently have been effected.</w:t>
      </w:r>
    </w:p>
    <w:p>
      <w:pPr>
        <w:spacing w:after="0" w:line="176" w:lineRule="exact"/>
        <w:rPr>
          <w:sz w:val="20"/>
          <w:szCs w:val="20"/>
          <w:color w:val="auto"/>
        </w:rPr>
      </w:pPr>
    </w:p>
    <w:p>
      <w:pPr>
        <w:ind w:left="9" w:right="3119"/>
        <w:spacing w:after="0" w:line="260" w:lineRule="auto"/>
        <w:rPr>
          <w:sz w:val="20"/>
          <w:szCs w:val="20"/>
          <w:color w:val="auto"/>
        </w:rPr>
      </w:pPr>
      <w:r>
        <w:rPr>
          <w:rFonts w:ascii="Courier New" w:cs="Courier New" w:eastAsia="Courier New" w:hAnsi="Courier New"/>
          <w:sz w:val="14"/>
          <w:szCs w:val="14"/>
          <w:color w:val="auto"/>
        </w:rPr>
        <w:t>We have relied upon and assume, without independent verification, the accuracy and completeness of the financial statements and other information furnished by, or publicly available relating to, the Company and ClearOne, or otherwise made available to us. We have also relied upon the representations and warranties of the Company and other parties thereto contained in the Merger Agreement and have assumed, without independent verification, that they are true and correct. We were not engaged to, and did not attempt to, or assume responsibility to, verify independently such information. We have further relied upon assurances by the</w:t>
      </w:r>
    </w:p>
    <w:p>
      <w:pPr>
        <w:spacing w:after="0" w:line="329"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C-2</w:t>
      </w:r>
    </w:p>
    <w:p>
      <w:pPr>
        <w:sectPr>
          <w:pgSz w:w="11900" w:h="16838" w:orient="portrait"/>
          <w:cols w:equalWidth="0" w:num="1">
            <w:col w:w="10228"/>
          </w:cols>
          <w:pgMar w:left="231" w:top="801" w:right="1440" w:bottom="1440" w:gutter="0" w:footer="0" w:header="0"/>
        </w:sectPr>
      </w:pPr>
    </w:p>
    <w:bookmarkStart w:id="136" w:name="page137"/>
    <w:bookmarkEnd w:id="136"/>
    <w:p>
      <w:pPr>
        <w:ind w:right="3119"/>
        <w:spacing w:after="0" w:line="258" w:lineRule="auto"/>
        <w:rPr>
          <w:sz w:val="20"/>
          <w:szCs w:val="20"/>
          <w:color w:val="auto"/>
        </w:rPr>
      </w:pPr>
      <w:r>
        <w:rPr>
          <w:rFonts w:ascii="Courier New" w:cs="Courier New" w:eastAsia="Courier New" w:hAnsi="Courier New"/>
          <w:sz w:val="14"/>
          <w:szCs w:val="14"/>
          <w:color w:val="auto"/>
        </w:rPr>
        <w:t>Company that the information provided to us has a reasonable basis, and with respect to projections and other business outlook information, reflects the best currently available estimates and judgments of the future financial performance of the Company, and that the Company is not aware of any information or fact that would make the information provided to us incomplete or misleading. We have also assumed that the Company and ClearOne each will perform all of the covenants and agreements to be performed by it under the Merger Agreement, that the conditions to the Merger set forth in the Merger Agreement would be satisfied and that the Merger would be consummated on a timely basis in the manner contemplated by the Merger Agreement. We have assumed that the executed version of the Merger Agreement will not differ in any material respects from the last draft we reviewed, and that the terms of the consideration to be paid to the holders of the Company Common Stock will be identical to those set forth in the last draft that we reviewed. We have also assumed that, once consummated, the Merger will qualify as a tax-free reorganization for federal income tax purposes. In arriving at our opinion, we have not performed any appraisals or valuations of specific assets or liabilities of the Company, nor have we been furnished with any such appraisals. Our opinion is necessarily based upon the information available to us and the facts and circumstances as they exist and are subject to evaluation on the date hereof, including the financial, economic, market and other conditions as in effect on the date hereof; events and conditions occurring or existing after the date hereof could materially affect the assumptions used in preparing this opinion.</w:t>
      </w:r>
    </w:p>
    <w:p>
      <w:pPr>
        <w:spacing w:after="0" w:line="345"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Our opinion is rendered for the benefit and use of the Board of Directors of the Company in connection with the Board's consideration of the Merger and does not constitute a recommendation to any holder of Company Common Stock as to how to vote such holder's shares of Company Common Stock in connection with the Merger. We do not opine on, nor does our opinion consider, the tax consequences of the Merger to any holder of Company Common Stock. We have not been asked to, nor do we, express any opinion as to the relative merits of the Merger as compared to any alternative business strategies that might exist for the Company, the effect of any other transaction in which the Company might engage, or the form of the Merger Agreement or the terms contained therein. Furthermore, we express no opinion as to the prices at which either Company Common Stock or ClearOne Common Stock may trade following the date of this opinion. This opinion may not be published or otherwise used or referred to publicly without our written consent; provided, however, that this opinion may be included in its entirety in any filing with the Securities and Exchange Commission with respect to the Merger.</w:t>
      </w:r>
    </w:p>
    <w:p>
      <w:pPr>
        <w:spacing w:after="0" w:line="33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C-3</w:t>
      </w:r>
    </w:p>
    <w:p>
      <w:pPr>
        <w:sectPr>
          <w:pgSz w:w="11900" w:h="16838" w:orient="portrait"/>
          <w:cols w:equalWidth="0" w:num="1">
            <w:col w:w="10219"/>
          </w:cols>
          <w:pgMar w:left="240" w:top="801" w:right="1440" w:bottom="1440" w:gutter="0" w:footer="0" w:header="0"/>
        </w:sectPr>
      </w:pPr>
    </w:p>
    <w:bookmarkStart w:id="137" w:name="page138"/>
    <w:bookmarkEnd w:id="137"/>
    <w:p>
      <w:pPr>
        <w:ind w:right="3219"/>
        <w:spacing w:after="0" w:line="239" w:lineRule="auto"/>
        <w:rPr>
          <w:sz w:val="20"/>
          <w:szCs w:val="20"/>
          <w:color w:val="auto"/>
        </w:rPr>
      </w:pPr>
      <w:r>
        <w:rPr>
          <w:rFonts w:ascii="Courier New" w:cs="Courier New" w:eastAsia="Courier New" w:hAnsi="Courier New"/>
          <w:sz w:val="15"/>
          <w:szCs w:val="15"/>
          <w:color w:val="auto"/>
        </w:rPr>
        <w:t>Based upon and subject to the foregoing, it is our opinion that, as of the date hereof, the Consideration to be received by the holders of Company Common Stock in the proposed Merger is fair, from a financial point of view, to such shareholders.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Sincerely,</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Goldsmith, Agio, Helms Securities,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C-4</w:t>
      </w:r>
    </w:p>
    <w:p>
      <w:pPr>
        <w:sectPr>
          <w:pgSz w:w="11900" w:h="16838" w:orient="portrait"/>
          <w:cols w:equalWidth="0" w:num="1">
            <w:col w:w="10219"/>
          </w:cols>
          <w:pgMar w:left="240" w:top="801" w:right="1440" w:bottom="1440" w:gutter="0" w:footer="0" w:header="0"/>
        </w:sectPr>
      </w:pPr>
    </w:p>
    <w:bookmarkStart w:id="138" w:name="page139"/>
    <w:bookmarkEnd w:id="138"/>
    <w:p>
      <w:pPr>
        <w:jc w:val="center"/>
        <w:ind w:right="3219"/>
        <w:spacing w:after="0"/>
        <w:rPr>
          <w:sz w:val="20"/>
          <w:szCs w:val="20"/>
          <w:color w:val="auto"/>
        </w:rPr>
      </w:pPr>
      <w:r>
        <w:rPr>
          <w:rFonts w:ascii="Courier New" w:cs="Courier New" w:eastAsia="Courier New" w:hAnsi="Courier New"/>
          <w:sz w:val="15"/>
          <w:szCs w:val="15"/>
          <w:color w:val="auto"/>
        </w:rPr>
        <w:t>ANNEX D</w:t>
      </w:r>
    </w:p>
    <w:p>
      <w:pPr>
        <w:spacing w:after="0" w:line="171"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SECTION 262 OF THE GENERAL CORPORATION LAW OF THE STATE OF DELAWARE</w:t>
      </w:r>
    </w:p>
    <w:p>
      <w:pPr>
        <w:spacing w:after="0" w:line="171"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262.</w:t>
      </w:r>
      <w:r>
        <w:rPr>
          <w:sz w:val="20"/>
          <w:szCs w:val="20"/>
          <w:color w:val="auto"/>
        </w:rPr>
        <w:tab/>
      </w:r>
      <w:r>
        <w:rPr>
          <w:rFonts w:ascii="Courier New" w:cs="Courier New" w:eastAsia="Courier New" w:hAnsi="Courier New"/>
          <w:sz w:val="14"/>
          <w:szCs w:val="14"/>
          <w:color w:val="auto"/>
        </w:rPr>
        <w:t>Appraisal Rights.</w:t>
      </w:r>
    </w:p>
    <w:p>
      <w:pPr>
        <w:spacing w:after="0" w:line="174" w:lineRule="exact"/>
        <w:rPr>
          <w:sz w:val="20"/>
          <w:szCs w:val="20"/>
          <w:color w:val="auto"/>
        </w:rPr>
      </w:pPr>
    </w:p>
    <w:p>
      <w:pPr>
        <w:ind w:right="3119" w:firstLine="435"/>
        <w:spacing w:after="0"/>
        <w:tabs>
          <w:tab w:leader="none" w:pos="799"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stockholder of a corporation of this State who holds shares of stock on the date of the making of a demand pursuant to subsection (d) of this section with respect to such shares, who continuously holds such shares through the effective date of the merger or consolidation, who has otherwise complied with subsection (d) of this section and who has neither voted in favor of the merger or consolidation nor consented thereto in writing pursuant to ss.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stock corporation and also a member of record of a nonstock corporation; the words "stock" and "share" mean and include what is ordinarily meant by those words and also membership or membership interest of a member of a nonstock corporation; and the words "depository receipt" mean a receipt or other instrument issued by a depository representing an interest in one (1) or more shares, or fractions thereof, solely of stock of a corporation, which stock is deposited with the depository.</w:t>
      </w:r>
    </w:p>
    <w:p>
      <w:pPr>
        <w:spacing w:after="0" w:line="183"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available for the shares of any class or series of stock of a constituent corporation in a merger or consolidation to be effected pursuant to ss. 251 (other than a merger effected pursuant to ss. 251(g) of this title), ss. 252, ss. 254, ss. 257, ss. 258, ss. 263 or ss. 264 of this title:</w:t>
      </w:r>
    </w:p>
    <w:p>
      <w:pPr>
        <w:spacing w:after="0" w:line="174" w:lineRule="exact"/>
        <w:rPr>
          <w:rFonts w:ascii="Courier New" w:cs="Courier New" w:eastAsia="Courier New" w:hAnsi="Courier New"/>
          <w:sz w:val="15"/>
          <w:szCs w:val="15"/>
          <w:color w:val="auto"/>
        </w:rPr>
      </w:pPr>
    </w:p>
    <w:p>
      <w:pPr>
        <w:ind w:left="440" w:right="3119" w:firstLine="438"/>
        <w:spacing w:after="0" w:line="259" w:lineRule="auto"/>
        <w:tabs>
          <w:tab w:leader="none" w:pos="1239" w:val="left"/>
        </w:tabs>
        <w:numPr>
          <w:ilvl w:val="1"/>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Provided, however, that no appraisal rights under this section shall be available for the shares of any class of series of stock, which stock, or depository receipts in respect thereof, at the record date fixed to determine the stockholders entitled to receive notice of and to vote at the meeting of stockholders to act upon the agreement of merger or consolidation, were either (i) listed on a national securities exchange or designated as a national market system security on an interdealer quotation system by the National Association of Securities Dealers, Inc.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subsection (f) of ss. 251 of this title.</w:t>
      </w:r>
    </w:p>
    <w:p>
      <w:pPr>
        <w:spacing w:after="0" w:line="335" w:lineRule="exact"/>
        <w:rPr>
          <w:rFonts w:ascii="Courier New" w:cs="Courier New" w:eastAsia="Courier New" w:hAnsi="Courier New"/>
          <w:sz w:val="14"/>
          <w:szCs w:val="14"/>
          <w:color w:val="auto"/>
        </w:rPr>
      </w:pPr>
    </w:p>
    <w:p>
      <w:pPr>
        <w:ind w:left="440" w:right="3119" w:firstLine="438"/>
        <w:spacing w:after="0"/>
        <w:tabs>
          <w:tab w:leader="none" w:pos="1239" w:val="left"/>
        </w:tabs>
        <w:numPr>
          <w:ilvl w:val="1"/>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paragraph (1) of this subsection, appraisal rights under this section shall be available for the shares of any class or series of stock of a constituent corporation if the holders thereof are required by the terms of an agreement of merger or consolidation pursuant to ss.ss. 251, 252, 254, 257, 258, 263 and 264 of this title to accept for such stock anything except:</w:t>
      </w:r>
    </w:p>
    <w:p>
      <w:pPr>
        <w:spacing w:after="0" w:line="175" w:lineRule="exact"/>
        <w:rPr>
          <w:rFonts w:ascii="Courier New" w:cs="Courier New" w:eastAsia="Courier New" w:hAnsi="Courier New"/>
          <w:sz w:val="15"/>
          <w:szCs w:val="15"/>
          <w:color w:val="auto"/>
        </w:rPr>
      </w:pPr>
    </w:p>
    <w:p>
      <w:pPr>
        <w:ind w:left="880" w:right="3119" w:firstLine="442"/>
        <w:spacing w:after="0" w:line="239" w:lineRule="auto"/>
        <w:tabs>
          <w:tab w:leader="none" w:pos="1590" w:val="left"/>
        </w:tabs>
        <w:numPr>
          <w:ilvl w:val="2"/>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of the corporation surviving or resulting from such merger or consolidation, or depository receipts in respect thereof;</w:t>
      </w:r>
    </w:p>
    <w:p>
      <w:pPr>
        <w:spacing w:after="0" w:line="175" w:lineRule="exact"/>
        <w:rPr>
          <w:rFonts w:ascii="Courier New" w:cs="Courier New" w:eastAsia="Courier New" w:hAnsi="Courier New"/>
          <w:sz w:val="15"/>
          <w:szCs w:val="15"/>
          <w:color w:val="auto"/>
        </w:rPr>
      </w:pPr>
    </w:p>
    <w:p>
      <w:pPr>
        <w:ind w:left="880" w:right="3119" w:firstLine="442"/>
        <w:spacing w:after="0"/>
        <w:tabs>
          <w:tab w:leader="none" w:pos="1590" w:val="left"/>
        </w:tabs>
        <w:numPr>
          <w:ilvl w:val="2"/>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of stock of any other corporation, or depository receipts in respect thereof, which shares of stock (or depository receipts in respect thereof) or depository receipts at the effective date of the merger or consolidation will be either listed on a national securities exchange or designated as a national market system security on an interdealer quotation system by the National Association of Securities Dealers, Inc. or held of record by more than 2,000 holders;</w:t>
      </w:r>
    </w:p>
    <w:p>
      <w:pPr>
        <w:spacing w:after="0" w:line="176" w:lineRule="exact"/>
        <w:rPr>
          <w:rFonts w:ascii="Courier New" w:cs="Courier New" w:eastAsia="Courier New" w:hAnsi="Courier New"/>
          <w:sz w:val="15"/>
          <w:szCs w:val="15"/>
          <w:color w:val="auto"/>
        </w:rPr>
      </w:pPr>
    </w:p>
    <w:p>
      <w:pPr>
        <w:ind w:left="880" w:right="3399" w:firstLine="442"/>
        <w:spacing w:after="0" w:line="239" w:lineRule="auto"/>
        <w:tabs>
          <w:tab w:leader="none" w:pos="1590" w:val="left"/>
        </w:tabs>
        <w:numPr>
          <w:ilvl w:val="2"/>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in lieu of fractional shares or fractional depository receipts described in the foregoing subparagraphs a. and b. of this paragraph; or</w:t>
      </w:r>
    </w:p>
    <w:p>
      <w:pPr>
        <w:spacing w:after="0" w:line="175" w:lineRule="exact"/>
        <w:rPr>
          <w:rFonts w:ascii="Courier New" w:cs="Courier New" w:eastAsia="Courier New" w:hAnsi="Courier New"/>
          <w:sz w:val="15"/>
          <w:szCs w:val="15"/>
          <w:color w:val="auto"/>
        </w:rPr>
      </w:pPr>
    </w:p>
    <w:p>
      <w:pPr>
        <w:ind w:left="880" w:right="3299" w:firstLine="442"/>
        <w:spacing w:after="0" w:line="239" w:lineRule="auto"/>
        <w:tabs>
          <w:tab w:leader="none" w:pos="1590" w:val="left"/>
        </w:tabs>
        <w:numPr>
          <w:ilvl w:val="2"/>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combination of the shares of stock, depository receipts and cash in lieu of fractional shares or fractional depository receipts described in the foregoing subparagraphs a, b and c of this paragraph.</w:t>
      </w:r>
    </w:p>
    <w:p>
      <w:pPr>
        <w:spacing w:after="0" w:line="176" w:lineRule="exact"/>
        <w:rPr>
          <w:rFonts w:ascii="Courier New" w:cs="Courier New" w:eastAsia="Courier New" w:hAnsi="Courier New"/>
          <w:sz w:val="15"/>
          <w:szCs w:val="15"/>
          <w:color w:val="auto"/>
        </w:rPr>
      </w:pPr>
    </w:p>
    <w:p>
      <w:pPr>
        <w:ind w:left="440" w:right="3119" w:firstLine="438"/>
        <w:spacing w:after="0" w:line="262" w:lineRule="auto"/>
        <w:tabs>
          <w:tab w:leader="none" w:pos="1239" w:val="left"/>
        </w:tabs>
        <w:numPr>
          <w:ilvl w:val="1"/>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all of the stock of a subsidiary Delaware corporation party to a merger effected under ss. 253 of this title is not owned by the parent corporation immediately prior to the merger, appraisal rights shall be available for the shares of the subsidiary Delaware corporation.</w:t>
      </w:r>
    </w:p>
    <w:p>
      <w:pPr>
        <w:spacing w:after="0" w:line="329"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D-1</w:t>
      </w:r>
    </w:p>
    <w:p>
      <w:pPr>
        <w:sectPr>
          <w:pgSz w:w="11900" w:h="16838" w:orient="portrait"/>
          <w:cols w:equalWidth="0" w:num="1">
            <w:col w:w="10219"/>
          </w:cols>
          <w:pgMar w:left="240" w:top="457" w:right="1440" w:bottom="1440" w:gutter="0" w:footer="0" w:header="0"/>
        </w:sectPr>
      </w:pPr>
    </w:p>
    <w:bookmarkStart w:id="139" w:name="page140"/>
    <w:bookmarkEnd w:id="139"/>
    <w:p>
      <w:pPr>
        <w:ind w:left="9" w:right="3119" w:firstLine="435"/>
        <w:spacing w:after="0" w:line="258" w:lineRule="auto"/>
        <w:tabs>
          <w:tab w:leader="none" w:pos="808" w:val="left"/>
        </w:tabs>
        <w:numPr>
          <w:ilvl w:val="1"/>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or the sale of all or substantially all of the assets of the corporation. If the certificate of incorporation contains such a provision, the procedures of this section, including those set forth in subsections (d) and</w:t>
      </w:r>
    </w:p>
    <w:p>
      <w:pPr>
        <w:ind w:left="349" w:hanging="349"/>
        <w:spacing w:after="0"/>
        <w:tabs>
          <w:tab w:leader="none" w:pos="349"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this section, shall apply as nearly as is practicable.</w:t>
      </w:r>
    </w:p>
    <w:p>
      <w:pPr>
        <w:spacing w:after="0" w:line="171" w:lineRule="exact"/>
        <w:rPr>
          <w:rFonts w:ascii="Courier New" w:cs="Courier New" w:eastAsia="Courier New" w:hAnsi="Courier New"/>
          <w:sz w:val="15"/>
          <w:szCs w:val="15"/>
          <w:color w:val="auto"/>
        </w:rPr>
      </w:pPr>
    </w:p>
    <w:p>
      <w:pPr>
        <w:ind w:left="789" w:hanging="345"/>
        <w:spacing w:after="0"/>
        <w:tabs>
          <w:tab w:leader="none" w:pos="789" w:val="left"/>
        </w:tabs>
        <w:numPr>
          <w:ilvl w:val="1"/>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Appraisal rights shall be perfected as follows:</w:t>
      </w:r>
    </w:p>
    <w:p>
      <w:pPr>
        <w:spacing w:after="0" w:line="174" w:lineRule="exact"/>
        <w:rPr>
          <w:rFonts w:ascii="Courier New" w:cs="Courier New" w:eastAsia="Courier New" w:hAnsi="Courier New"/>
          <w:sz w:val="15"/>
          <w:szCs w:val="15"/>
          <w:color w:val="auto"/>
        </w:rPr>
      </w:pPr>
    </w:p>
    <w:p>
      <w:pPr>
        <w:ind w:left="449" w:right="3119" w:firstLine="438"/>
        <w:spacing w:after="0"/>
        <w:tabs>
          <w:tab w:leader="none" w:pos="1248" w:val="left"/>
        </w:tabs>
        <w:numPr>
          <w:ilvl w:val="2"/>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proposed merger or consolidation for which appraisal rights are provided under this section is to be submitted for approval at a meeting of stockholders, the corporation, not less than 20 days prior to the meeting, shall notify each of its stockholders who was such on the record date for such meeting with respect to shares for which appraisal rights are available pursuant to subsection (b) or (c) hereof that appraisal rights are available for any or all of the shares of the constituent corporations, and shall include in such notice a copy of this section. Each stockholder electing to demand the appraisal of such stockholder's shares shall deliver to the corporation, before the taking of the vote on the merger or consolidation, a written demand for appraisal of such stockholder's shares. Such demand will be sufficient if it reasonably informs the corporation of the identity of the stockholder and that the stockholder intends thereby to demand the appraisal of such stockholder's shares. A proxy or vote against the merger or consolidation shall not constitute such a demand. A stockholder electing to take such action must do so by a separate written demand as herein provided. Within 10 days after the effective date of such merger or consolidation, the surviving or resulting corporation shall notify each stockholder of each constituent corporation who has complied with this subsection and has not voted in favor of or consented to the merger or consolidation of the date that the merger or consolidation has become effective; or</w:t>
      </w:r>
    </w:p>
    <w:p>
      <w:pPr>
        <w:spacing w:after="0" w:line="187" w:lineRule="exact"/>
        <w:rPr>
          <w:rFonts w:ascii="Courier New" w:cs="Courier New" w:eastAsia="Courier New" w:hAnsi="Courier New"/>
          <w:sz w:val="15"/>
          <w:szCs w:val="15"/>
          <w:color w:val="auto"/>
        </w:rPr>
      </w:pPr>
    </w:p>
    <w:p>
      <w:pPr>
        <w:ind w:left="449" w:right="3219" w:firstLine="438"/>
        <w:spacing w:after="0" w:line="258" w:lineRule="auto"/>
        <w:tabs>
          <w:tab w:leader="none" w:pos="1248" w:val="left"/>
        </w:tabs>
        <w:numPr>
          <w:ilvl w:val="2"/>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merger or consolidation was approved pursuant toss. 228 or ss. 253 of this title, each constituent corporation, either before the effective date of the merger or consolidation or within ten days thereafter, shall notify each of the holders of any class or series of stock of such constituent corporation who are entitled to appraisal rights of the approval of the merger or consolidation and that appraisal rights are available for any or all shares of such class of series of stock of such constituent corporation, and shall include in such notice a copy of this section; provided that, if the notice is given on or after the effective date of the merger or consolidation, such notice shall be given by the surviving or resulting corporation to all such holders of any class or series of stock of a constituent corporation that are entitled to appraisal rights. Such notice may, and, if given on or after the effective date of the merger or consolidation, shall, also notify such stockholders of the effective date of the merger or consolidation. Any stockholder entitled to appraisal rights may, within 20 days after the date of mailing of such notice, demand in writing from the surviving or resulting corporation the appraisal of such holder's shares. Such demand will be sufficient if it reasonably informs the corporation of the identity of the stockholder and that the stockholder intends thereby to demand the appraisal of such holder's shares. If such notice did not notify stockholders of the effective date of the merger or consolidation, either</w:t>
      </w:r>
    </w:p>
    <w:p>
      <w:pPr>
        <w:spacing w:after="0" w:line="3" w:lineRule="exact"/>
        <w:rPr>
          <w:rFonts w:ascii="Courier New" w:cs="Courier New" w:eastAsia="Courier New" w:hAnsi="Courier New"/>
          <w:sz w:val="14"/>
          <w:szCs w:val="14"/>
          <w:color w:val="auto"/>
        </w:rPr>
      </w:pPr>
    </w:p>
    <w:p>
      <w:pPr>
        <w:ind w:left="449" w:right="3119" w:hanging="5"/>
        <w:spacing w:after="0"/>
        <w:tabs>
          <w:tab w:leader="none" w:pos="804" w:val="left"/>
        </w:tabs>
        <w:numPr>
          <w:ilvl w:val="1"/>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constituent corporation shall send a second notice before the effective date of the merger or consolidation notifying each of the holders of any class or series of stock of such constituent corporation that are entitled to appraisal rights of the effective date of the merger or consolidation or (ii) the surviving or resulting corporation shall send such a second notice to all such holders on or within 10 days after such effective date; provided, however, that if such second notice is sent more than 20 days following the sending of the first notice, such second notice need only be sent to each stockholder who is entitled to appraisal rights and who has demanded appraisal of such holder's shares in accordance with this subsection. An affidavit of the secretary or assistant secretary or of the transfer agent of the corporation that is required to give either notice that such notice has been given shall, in the absence of fraud, be prima facie evidence of the facts stated therein. For purposes of determining the stockholders entitled to receive either notice, each constituent corporation may fix, in advance, a record date that shall be not more than 10 days prior to the date the notice is given, provided that if the notice is given on or after the effective date of the merger or consolidation, the record date shall be such effective date. If no record date is fixed and the notice is given prior to the effective date, the record date shall be the close of business on the day next preceding the day on which the notice is given.</w:t>
      </w:r>
    </w:p>
    <w:p>
      <w:pPr>
        <w:spacing w:after="0" w:line="355"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D-2</w:t>
      </w:r>
    </w:p>
    <w:p>
      <w:pPr>
        <w:sectPr>
          <w:pgSz w:w="11900" w:h="16838" w:orient="portrait"/>
          <w:cols w:equalWidth="0" w:num="1">
            <w:col w:w="10228"/>
          </w:cols>
          <w:pgMar w:left="231" w:top="631" w:right="1440" w:bottom="1440" w:gutter="0" w:footer="0" w:header="0"/>
        </w:sectPr>
      </w:pPr>
    </w:p>
    <w:bookmarkStart w:id="140" w:name="page141"/>
    <w:bookmarkEnd w:id="140"/>
    <w:p>
      <w:pPr>
        <w:ind w:right="3119" w:firstLine="435"/>
        <w:spacing w:after="0"/>
        <w:tabs>
          <w:tab w:leader="none" w:pos="79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120 days after the effective date of the merger or consolidation, the surviving or resulting corporation or any stockholder who has complied with subsections (a) and (d) hereof and who is otherwise entitled to appraisal rights, may file a petition in the Court of Chancery demanding a determination of the value of the stock of all such stockholders. Notwithstanding the foregoing, at any time within 60 days after the effective date of the merger or consolidation, any stockholder shall have the right to withdraw such stockholder's demand for appraisal and to accept the terms offered upon the merger or consolidation. Within 120 days after the effective date of the merger or consolidation, any stockholder who has complied with the requirements of subsections (a) and (d) hereof, upon written request, shall be entitled to receive from the corporation surviving the merger or resulting from the consolidation a statement setting forth the aggregate number of shares not voted in favor of the merger or consolidation and with respect to which demands for appraisal have been received and the aggregate number of holders of such shares. Such written statement shall be mailed to the stockholder within 10 days after such stockholder's written request for such a statement is received by the surviving or resulting corporation or within 10 days after expiration of the period for delivery of demands for appraisal under subsection (d) hereof, whichever is later.</w:t>
      </w:r>
    </w:p>
    <w:p>
      <w:pPr>
        <w:spacing w:after="0" w:line="18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filing of any such petition by a stockholder, service of a copy thereof shall be made upon the surviving or resulting corporation, which shall within 20 days after such service file in the office of the Register in Chancery in which the petition was filed a duly verified list containing the names and addresses of all stockholders who have demanded payment for their shares and with whom agreements as to the value of their shares have not been reached by the surviving or resulting corporation. If the petition shall be filed by the surviving or resulting corporation, the petition shall be accompanied by such a duly verified list. The Register in Chancery, if so ordered by the Court, shall give notice of the time and place fixed for the hearing of such petition by registered or certified mail to the surviving or resulting corporation and to the stockholders shown on the list at the addresses therein stated. Such notice shall also be given by 1 or more publications at least 1 week before the day of the hearing in a newspaper of general circulation published in the City of Wilmington, Delaware or such publication as the Court deems advisable. The forms of the notices by mail and by publication shall be approved by the Court, and the costs thereof shall be borne by the surviving or resulting corporation.</w:t>
      </w:r>
    </w:p>
    <w:p>
      <w:pPr>
        <w:spacing w:after="0" w:line="181" w:lineRule="exact"/>
        <w:rPr>
          <w:rFonts w:ascii="Courier New" w:cs="Courier New" w:eastAsia="Courier New" w:hAnsi="Courier New"/>
          <w:sz w:val="15"/>
          <w:szCs w:val="15"/>
          <w:color w:val="auto"/>
        </w:rPr>
      </w:pPr>
    </w:p>
    <w:p>
      <w:pPr>
        <w:ind w:left="780" w:hanging="345"/>
        <w:spacing w:after="0"/>
        <w:tabs>
          <w:tab w:leader="none" w:pos="78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the hearing on such petition, the Court shall determine the</w:t>
      </w:r>
    </w:p>
    <w:p>
      <w:pPr>
        <w:spacing w:after="0" w:line="3" w:lineRule="exact"/>
        <w:rPr>
          <w:rFonts w:ascii="Courier New" w:cs="Courier New" w:eastAsia="Courier New" w:hAnsi="Courier New"/>
          <w:sz w:val="15"/>
          <w:szCs w:val="15"/>
          <w:color w:val="auto"/>
        </w:rPr>
      </w:pPr>
    </w:p>
    <w:p>
      <w:pPr>
        <w:ind w:right="311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who have complied with this section and who have become entitled to appraisal rights. The Court may require the stockholders who have demanded an appraisal for their shares and who hold stock represented by certificates to submit their certificates of stock to the Register in Chancery for notation thereon of the pendency of the appraisal proceedings; and if any stockholder fails to comply with such direction, the Court may dismiss the proceedings as to such stockholder.</w:t>
      </w:r>
    </w:p>
    <w:p>
      <w:pPr>
        <w:spacing w:after="0" w:line="175" w:lineRule="exact"/>
        <w:rPr>
          <w:rFonts w:ascii="Courier New" w:cs="Courier New" w:eastAsia="Courier New" w:hAnsi="Courier New"/>
          <w:sz w:val="15"/>
          <w:szCs w:val="15"/>
          <w:color w:val="auto"/>
        </w:rPr>
      </w:pPr>
    </w:p>
    <w:p>
      <w:pPr>
        <w:ind w:right="3119" w:firstLine="435"/>
        <w:spacing w:after="0"/>
        <w:tabs>
          <w:tab w:leader="none" w:pos="79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determining the stockholders entitled to an appraisal, the Court shall appraise the shares, determining their fair value exclusive of any element of value arising from the accomplishment or expectation of the merger or consolidation, together with a fair rate of interest, if any, to be paid upon the amount determined to be the fair value. In determining such fair value, the Court shall take into account all relevant factors. In determining the fair rate of interest, the Court may consider all relevant factors, including the rate of interest which the surviving or resulting corporation would have had to pay to borrow money during the pendency of the proceeding. Upon application by the surviving or resulting corporation or by any stockholder entitled to participate in the appraisal proceeding, the Court may, in its discretion, permit discovery or other pretrial proceedings and may proceed to trial upon the appraisal prior to the final determination of the stockholder entitled to an appraisal. Any stockholder whose name appears on the list filed by the surviving or resulting corporation pursuant to subsection (f) of this section and who has submitted such stockholder's certificates of stock to the Register in Chancery, if such is required, may participate fully in all proceedings until it is finally determined that such stockholder is not entitled to appraisal rights under this section.</w:t>
      </w:r>
    </w:p>
    <w:p>
      <w:pPr>
        <w:spacing w:after="0" w:line="184" w:lineRule="exact"/>
        <w:rPr>
          <w:rFonts w:ascii="Courier New" w:cs="Courier New" w:eastAsia="Courier New" w:hAnsi="Courier New"/>
          <w:sz w:val="15"/>
          <w:szCs w:val="15"/>
          <w:color w:val="auto"/>
        </w:rPr>
      </w:pPr>
    </w:p>
    <w:p>
      <w:pPr>
        <w:ind w:right="3119" w:firstLine="435"/>
        <w:spacing w:after="0" w:line="259" w:lineRule="auto"/>
        <w:tabs>
          <w:tab w:leader="none" w:pos="799"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Court shall direct the payment of the fair value of the shares, together with interest, if any, by the surviving or resulting corporation to the stockholders entitled thereto. Interest may be simple or compound, as the Court may direct. Payment shall be so made to each such stockholder, in the case of holders of uncertificated stock forthwith, and the case of holders of shares represented by certificates upon the surrender to the corporation of the certificates representing such stock. The Court's decree may be enforced as other decrees in the Court of Chancery may be enforced, whether such surviving or resulting corporation be a corporation of this State or of any state.</w:t>
      </w:r>
    </w:p>
    <w:p>
      <w:pPr>
        <w:spacing w:after="0" w:line="334"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D-3</w:t>
      </w:r>
    </w:p>
    <w:p>
      <w:pPr>
        <w:sectPr>
          <w:pgSz w:w="11900" w:h="16838" w:orient="portrait"/>
          <w:cols w:equalWidth="0" w:num="1">
            <w:col w:w="10219"/>
          </w:cols>
          <w:pgMar w:left="240" w:top="631" w:right="1440" w:bottom="1440" w:gutter="0" w:footer="0" w:header="0"/>
        </w:sectPr>
      </w:pPr>
    </w:p>
    <w:bookmarkStart w:id="141" w:name="page142"/>
    <w:bookmarkEnd w:id="141"/>
    <w:p>
      <w:pPr>
        <w:ind w:left="-435" w:right="3399" w:firstLine="435"/>
        <w:spacing w:after="0"/>
        <w:tabs>
          <w:tab w:leader="none" w:pos="364"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costs of the proceeding may be determined by the Court and taxed upon the parties as the Court deems equitable in the circumstances. Upon application of a stockholder, the Court may order all or a portion of the expenses incurred by any stockholder in connection with the appraisal proceeding, including, without limitation, reasonable attorney's fees and the fees and expenses of experts, to be charged pro rata against the value of all the shares entitled to an appraisal.</w:t>
      </w:r>
    </w:p>
    <w:p>
      <w:pPr>
        <w:spacing w:after="0" w:line="175" w:lineRule="exact"/>
        <w:rPr>
          <w:rFonts w:ascii="Courier New" w:cs="Courier New" w:eastAsia="Courier New" w:hAnsi="Courier New"/>
          <w:sz w:val="15"/>
          <w:szCs w:val="15"/>
          <w:color w:val="auto"/>
        </w:rPr>
      </w:pPr>
    </w:p>
    <w:p>
      <w:pPr>
        <w:ind w:left="-435" w:right="3119" w:firstLine="435"/>
        <w:spacing w:after="0"/>
        <w:tabs>
          <w:tab w:leader="none" w:pos="364"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and after the effective date of the merger or consolidation, no stockholder who has demanded appraisal rights as provided in subsection (d) of this section shall be entitled to vote such stock for any purpose or to receive payment of dividends or other distributions on the stock (except dividends or other distributions payable to stockholders of record at a date which is prior to the effective date of the merger or consolidation); provided, however, that if no petition for an appraisal shall be filed within the time provided in subsection (e) of this section, or if such stockholder shall deliver to the surviving or resulting corporation a written withdrawal of such stockholder's demand for an appraisal and an acceptance of the merger or consolidation, either within 60 days after the effective date of the merger or consolidation as provided in subsection (e) of this section or thereafter with the written approval of the corporation, then the right of such stockholder to an appraisal shall cease. Notwithstanding the foregoing, no appraisal proceeding in the Court of Chancery shall be dismissed as to any stockholder without the approval of the Court, and such approval may be conditioned upon such terms as the Court deems just.</w:t>
      </w:r>
    </w:p>
    <w:p>
      <w:pPr>
        <w:spacing w:after="0" w:line="183" w:lineRule="exact"/>
        <w:rPr>
          <w:rFonts w:ascii="Courier New" w:cs="Courier New" w:eastAsia="Courier New" w:hAnsi="Courier New"/>
          <w:sz w:val="15"/>
          <w:szCs w:val="15"/>
          <w:color w:val="auto"/>
        </w:rPr>
      </w:pPr>
    </w:p>
    <w:p>
      <w:pPr>
        <w:ind w:left="5" w:right="3119" w:firstLine="438"/>
        <w:spacing w:after="0" w:line="239" w:lineRule="auto"/>
        <w:tabs>
          <w:tab w:leader="none" w:pos="804"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of the surviving or resulting corporation to which the shares of such objecting stockholders would have been converted had they asserted to the merger or consolidation shall have the status of authorized and unissued shares of the surviving or resulting corporation.</w:t>
      </w:r>
    </w:p>
    <w:p>
      <w:pPr>
        <w:spacing w:after="0" w:line="200" w:lineRule="exact"/>
        <w:rPr>
          <w:sz w:val="20"/>
          <w:szCs w:val="20"/>
          <w:color w:val="auto"/>
        </w:rPr>
      </w:pPr>
    </w:p>
    <w:p>
      <w:pPr>
        <w:spacing w:after="0" w:line="315" w:lineRule="exact"/>
        <w:rPr>
          <w:sz w:val="20"/>
          <w:szCs w:val="20"/>
          <w:color w:val="auto"/>
        </w:rPr>
      </w:pPr>
    </w:p>
    <w:p>
      <w:pPr>
        <w:ind w:left="2925"/>
        <w:spacing w:after="0"/>
        <w:rPr>
          <w:sz w:val="20"/>
          <w:szCs w:val="20"/>
          <w:color w:val="auto"/>
        </w:rPr>
      </w:pPr>
      <w:r>
        <w:rPr>
          <w:rFonts w:ascii="Courier New" w:cs="Courier New" w:eastAsia="Courier New" w:hAnsi="Courier New"/>
          <w:sz w:val="15"/>
          <w:szCs w:val="15"/>
          <w:color w:val="auto"/>
        </w:rPr>
        <w:t>D-4</w:t>
      </w:r>
    </w:p>
    <w:p>
      <w:pPr>
        <w:sectPr>
          <w:pgSz w:w="11900" w:h="16838" w:orient="portrait"/>
          <w:cols w:equalWidth="0" w:num="1">
            <w:col w:w="9784"/>
          </w:cols>
          <w:pgMar w:left="675" w:top="631" w:right="1440" w:bottom="1440" w:gutter="0" w:footer="0" w:header="0"/>
        </w:sectPr>
      </w:pPr>
    </w:p>
    <w:bookmarkStart w:id="142" w:name="page143"/>
    <w:bookmarkEnd w:id="142"/>
    <w:p>
      <w:pPr>
        <w:spacing w:after="0"/>
        <w:rPr>
          <w:sz w:val="20"/>
          <w:szCs w:val="20"/>
          <w:color w:val="auto"/>
        </w:rPr>
      </w:pPr>
      <w:r>
        <w:rPr>
          <w:rFonts w:ascii="Courier New" w:cs="Courier New" w:eastAsia="Courier New" w:hAnsi="Courier New"/>
          <w:sz w:val="15"/>
          <w:szCs w:val="15"/>
          <w:color w:val="auto"/>
        </w:rPr>
        <w:t>PART II</w:t>
      </w:r>
    </w:p>
    <w:p>
      <w:pPr>
        <w:spacing w:after="0" w:line="171"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20.</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ClearOne's Articles of Incorporation provide for the mandatory indemnification of ClearOne's directors to the fullest extent permitted by the Utah Revised Business Corporation Act ("URBCA"). The liability of directors and officers of ClearOne is limited such that a director or officer is not liable to ClearOne or its stockholders for any action taken or any failure to take any action, as an officer or director, as the case may be, unless: (i) the director or officer has breached or failed to perform the duties of the office in compliance with Section 841 of the URBCA; and (ii) the breach or failure to perform constitutes gross negligence, willful misconduct, or intentional infliction of harm on ClearOne or its stockholders. If a director of ClearOne votes for or assents to an distribution prohibited under the URBCA or ClearOne's Articles of Incorporation, the director is personally liable to ClearOne for the prohibited amount of the distribution.</w:t>
      </w:r>
    </w:p>
    <w:p>
      <w:pPr>
        <w:spacing w:after="0" w:line="180" w:lineRule="exact"/>
        <w:rPr>
          <w:sz w:val="20"/>
          <w:szCs w:val="20"/>
          <w:color w:val="auto"/>
        </w:rPr>
      </w:pPr>
    </w:p>
    <w:p>
      <w:pPr>
        <w:ind w:right="3219" w:firstLine="710"/>
        <w:spacing w:after="0" w:line="259" w:lineRule="auto"/>
        <w:rPr>
          <w:sz w:val="20"/>
          <w:szCs w:val="20"/>
          <w:color w:val="auto"/>
        </w:rPr>
      </w:pPr>
      <w:r>
        <w:rPr>
          <w:rFonts w:ascii="Courier New" w:cs="Courier New" w:eastAsia="Courier New" w:hAnsi="Courier New"/>
          <w:sz w:val="14"/>
          <w:szCs w:val="14"/>
          <w:color w:val="auto"/>
        </w:rPr>
        <w:t>ClearOne will, pursuant to Section 902 of the URBCA, indemnify an individual, made party to a proceeding because he was a director, against liability incurred in the proceeding if: (i) the director's conduct was in good faith; (ii) the director reasonably believed that his conduct was in, or not opposed to, ClearOne's best interests; and (iii) in the case of any criminal proceeding, he had no reasonable cause to believe his conduct was unlawful; provided that, the company may not indemnify the same director if (a) indemnification is sought in connection with a proceeding by or in the right of ClearOne in which the director was adjudged liable to ClearOne or (b) indemnification is sought in connection with any other proceeding charging that the director derived an impersonal personal benefit, whether or not including action in his official capacity, in which proceeding he was adjudged liable on the basis that he derived an improper personal benefit. Indemnification in connection with a proceeding by or in the right of ClearOne is limited to reasonable expenses incurred in connection with the proceeding.</w:t>
      </w:r>
    </w:p>
    <w:p>
      <w:pPr>
        <w:spacing w:after="0" w:line="33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In accordance with Section 903 of the URBCA ClearOne must indemnify a director, who is successful on the merits or otherwise, in defense of any proceeding, or in the defense of any claim, issue or matter in the proceeding, to which he was a party because he is or was a director of ClearOne, as the case may be, against reasonable expenses incurred by him in connection with the proceeding or claim with respect to which he has been successful.</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In accordance with Section 904 of the URBCA, ClearOne will pay or reimburse the reasonable expenses incurred by a party to a proceeding in advance of the final disposition of the proceeding, provided that, (i) the director furnishes the corporation a written affirmation of his good faith belief that he has met the applicable standard of conduct described in Section 902 of the URBCA; (ii) the director furnishes to ClearOne a written undertaking, executed personally or on his behalf, to repay the advance if it is ultimately determined that he did not meet such standard of conduct; and (iii) a determination is made that the facts then known to those making the determination would not preclude indemnification under the URBCA.</w:t>
      </w:r>
    </w:p>
    <w:p>
      <w:pPr>
        <w:spacing w:after="0" w:line="178"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Section 16-10a-905 permits a director or officer who is or was a party to a proceeding to apply for indemnification to the court conducting the proceeding or another court of competent jurisdiction. A court may order indemnification if it is required under Section 903 of the URBCA, or in other circumstances if deem fair and reasonable to do so.</w:t>
      </w:r>
    </w:p>
    <w:p>
      <w:pPr>
        <w:spacing w:after="0" w:line="174" w:lineRule="exact"/>
        <w:rPr>
          <w:sz w:val="20"/>
          <w:szCs w:val="20"/>
          <w:color w:val="auto"/>
        </w:rPr>
      </w:pPr>
    </w:p>
    <w:p>
      <w:pPr>
        <w:ind w:right="3299" w:firstLine="710"/>
        <w:spacing w:after="0" w:line="239" w:lineRule="auto"/>
        <w:rPr>
          <w:sz w:val="20"/>
          <w:szCs w:val="20"/>
          <w:color w:val="auto"/>
        </w:rPr>
      </w:pPr>
      <w:r>
        <w:rPr>
          <w:rFonts w:ascii="Courier New" w:cs="Courier New" w:eastAsia="Courier New" w:hAnsi="Courier New"/>
          <w:sz w:val="15"/>
          <w:szCs w:val="15"/>
          <w:color w:val="auto"/>
        </w:rPr>
        <w:t>ClearOne may indemnify and advance expenses to an officer, employee, fiduciary or agent of ClearOne to the extent consistent with public policy, as determined by the board of directors.</w:t>
      </w:r>
    </w:p>
    <w:p>
      <w:pPr>
        <w:spacing w:after="0" w:line="175"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ClearOne maintains a directors' and officers' liability insurance policy which, subject to the limitations and exclusions stated therein, covers the officers and directors of ClearOne for certain actions or inactions that they may take or omit to take in their capacities as officers and directors of ClearOne.</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Insofar as indemnification for liabilities arising under the Securities Act, as amended, may be permitted to officers and directors under any of the foregoing provisions, ClearOne has been informed that in the opinion of the Securities and Exchange Commission such indemnification is against public policy as expressed in the Securities Act of 1933, as amended, and is therefore unenforceable.</w:t>
      </w:r>
    </w:p>
    <w:p>
      <w:pPr>
        <w:spacing w:after="0" w:line="343"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628" w:right="1440" w:bottom="1440" w:gutter="0" w:footer="0" w:header="0"/>
        </w:sectPr>
      </w:pPr>
    </w:p>
    <w:bookmarkStart w:id="143" w:name="page144"/>
    <w:bookmarkEnd w:id="143"/>
    <w:p>
      <w:pPr>
        <w:spacing w:after="0" w:line="31" w:lineRule="exact"/>
        <w:rPr>
          <w:sz w:val="20"/>
          <w:szCs w:val="20"/>
          <w:color w:val="auto"/>
        </w:rPr>
      </w:pPr>
    </w:p>
    <w:p>
      <w:pPr>
        <w:ind w:left="9"/>
        <w:spacing w:after="0"/>
        <w:tabs>
          <w:tab w:leader="none" w:pos="869" w:val="left"/>
        </w:tabs>
        <w:rPr>
          <w:sz w:val="20"/>
          <w:szCs w:val="20"/>
          <w:color w:val="auto"/>
        </w:rPr>
      </w:pPr>
      <w:r>
        <w:rPr>
          <w:rFonts w:ascii="Courier New" w:cs="Courier New" w:eastAsia="Courier New" w:hAnsi="Courier New"/>
          <w:sz w:val="15"/>
          <w:szCs w:val="15"/>
          <w:color w:val="auto"/>
        </w:rPr>
        <w:t>ITEM 21.</w:t>
      </w:r>
      <w:r>
        <w:rPr>
          <w:sz w:val="20"/>
          <w:szCs w:val="20"/>
          <w:color w:val="auto"/>
        </w:rPr>
        <w:tab/>
      </w:r>
      <w:r>
        <w:rPr>
          <w:rFonts w:ascii="Courier New" w:cs="Courier New" w:eastAsia="Courier New" w:hAnsi="Courier New"/>
          <w:sz w:val="14"/>
          <w:szCs w:val="14"/>
          <w:color w:val="auto"/>
        </w:rPr>
        <w:t>EXHIBITS AND FINANCIAL STATEMENT SCHEDULES</w:t>
      </w:r>
    </w:p>
    <w:p>
      <w:pPr>
        <w:spacing w:after="0" w:line="34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ind w:left="2309"/>
        <w:spacing w:after="0"/>
        <w:tabs>
          <w:tab w:leader="none" w:pos="5489" w:val="left"/>
        </w:tabs>
        <w:rPr>
          <w:sz w:val="20"/>
          <w:szCs w:val="20"/>
          <w:color w:val="auto"/>
        </w:rPr>
      </w:pPr>
      <w:r>
        <w:rPr>
          <w:rFonts w:ascii="Courier New" w:cs="Courier New" w:eastAsia="Courier New" w:hAnsi="Courier New"/>
          <w:sz w:val="15"/>
          <w:szCs w:val="15"/>
          <w:color w:val="auto"/>
        </w:rPr>
        <w:t>Exhibit Description</w:t>
      </w:r>
      <w:r>
        <w:rPr>
          <w:sz w:val="20"/>
          <w:szCs w:val="20"/>
          <w:color w:val="auto"/>
        </w:rPr>
        <w:tab/>
      </w:r>
      <w:r>
        <w:rPr>
          <w:rFonts w:ascii="Courier New" w:cs="Courier New" w:eastAsia="Courier New" w:hAnsi="Courier New"/>
          <w:sz w:val="14"/>
          <w:szCs w:val="14"/>
          <w:color w:val="auto"/>
        </w:rPr>
        <w:t>Incorporated By Reference</w:t>
      </w:r>
    </w:p>
    <w:p>
      <w:pPr>
        <w:spacing w:after="0" w:line="1" w:lineRule="exact"/>
        <w:rPr>
          <w:sz w:val="20"/>
          <w:szCs w:val="20"/>
          <w:color w:val="auto"/>
        </w:rPr>
      </w:pPr>
    </w:p>
    <w:p>
      <w:pPr>
        <w:ind w:left="7549"/>
        <w:spacing w:after="0"/>
        <w:rPr>
          <w:sz w:val="20"/>
          <w:szCs w:val="20"/>
          <w:color w:val="auto"/>
        </w:rPr>
      </w:pPr>
      <w:r>
        <w:rPr>
          <w:rFonts w:ascii="Courier New" w:cs="Courier New" w:eastAsia="Courier New" w:hAnsi="Courier New"/>
          <w:sz w:val="15"/>
          <w:szCs w:val="15"/>
          <w:color w:val="auto"/>
        </w:rPr>
        <w:t>Filed</w:t>
      </w:r>
    </w:p>
    <w:p>
      <w:pPr>
        <w:spacing w:after="0" w:line="1" w:lineRule="exact"/>
        <w:rPr>
          <w:sz w:val="20"/>
          <w:szCs w:val="20"/>
          <w:color w:val="auto"/>
        </w:rPr>
      </w:pPr>
    </w:p>
    <w:p>
      <w:pPr>
        <w:ind w:left="5509"/>
        <w:spacing w:after="0"/>
        <w:tabs>
          <w:tab w:leader="none" w:pos="6809" w:val="left"/>
          <w:tab w:leader="none" w:pos="7429" w:val="left"/>
        </w:tabs>
        <w:rPr>
          <w:sz w:val="20"/>
          <w:szCs w:val="20"/>
          <w:color w:val="auto"/>
        </w:rPr>
      </w:pPr>
      <w:r>
        <w:rPr>
          <w:rFonts w:ascii="Courier New" w:cs="Courier New" w:eastAsia="Courier New" w:hAnsi="Courier New"/>
          <w:sz w:val="15"/>
          <w:szCs w:val="15"/>
          <w:color w:val="auto"/>
        </w:rPr>
        <w:t>Form</w:t>
      </w:r>
      <w:r>
        <w:rPr>
          <w:sz w:val="20"/>
          <w:szCs w:val="20"/>
          <w:color w:val="auto"/>
        </w:rPr>
        <w:tab/>
      </w:r>
      <w:r>
        <w:rPr>
          <w:rFonts w:ascii="Courier New" w:cs="Courier New" w:eastAsia="Courier New" w:hAnsi="Courier New"/>
          <w:sz w:val="15"/>
          <w:szCs w:val="15"/>
          <w:color w:val="auto"/>
        </w:rPr>
        <w:t>Date</w:t>
        <w:tab/>
        <w:t>Herewith</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2.1</w:t>
            </w:r>
          </w:p>
        </w:tc>
        <w:tc>
          <w:tcPr>
            <w:tcW w:w="1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Share Purchase</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99"/>
              </w:rPr>
              <w:t>Agreement relating</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Ivron</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8-K</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10/3/01</w:t>
            </w:r>
          </w:p>
        </w:tc>
      </w:tr>
      <w:tr>
        <w:trPr>
          <w:trHeight w:val="171"/>
        </w:trPr>
        <w:tc>
          <w:tcPr>
            <w:tcW w:w="620" w:type="dxa"/>
            <w:vAlign w:val="bottom"/>
          </w:tcPr>
          <w:p>
            <w:pPr>
              <w:spacing w:after="0"/>
              <w:rPr>
                <w:sz w:val="14"/>
                <w:szCs w:val="14"/>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5"/>
                <w:szCs w:val="15"/>
                <w:color w:val="auto"/>
              </w:rPr>
              <w:t>Systems</w:t>
            </w: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Ltd. by and among Michael</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Peirce,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Alex</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5"/>
                <w:szCs w:val="15"/>
                <w:color w:val="auto"/>
              </w:rPr>
              <w:t>Peirce,</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Mentor</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99"/>
              </w:rPr>
              <w:t>Capital Ltd., Dave</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Nelson,</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David</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345" w:lineRule="exact"/>
        <w:rPr>
          <w:sz w:val="20"/>
          <w:szCs w:val="20"/>
          <w:color w:val="auto"/>
        </w:rPr>
      </w:pPr>
    </w:p>
    <w:p>
      <w:pPr>
        <w:ind w:left="169" w:hanging="169"/>
        <w:spacing w:after="0"/>
        <w:tabs>
          <w:tab w:leader="none" w:pos="169"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2" w:lineRule="exact"/>
        <w:rPr>
          <w:rFonts w:ascii="Courier New" w:cs="Courier New" w:eastAsia="Courier New" w:hAnsi="Courier New"/>
          <w:sz w:val="14"/>
          <w:szCs w:val="14"/>
          <w:color w:val="auto"/>
        </w:rPr>
      </w:pPr>
    </w:p>
    <w:p>
      <w:pPr>
        <w:ind w:left="969" w:right="5179" w:hanging="976"/>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2.2Agreement and Plan of Merger, by and among the registrant, E.mergent, Inc., and Tundra Acquisition Corporation (1)</w:t>
      </w:r>
    </w:p>
    <w:p>
      <w:pPr>
        <w:spacing w:after="0" w:line="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2" w:lineRule="exact"/>
        <w:rPr>
          <w:rFonts w:ascii="Courier New" w:cs="Courier New" w:eastAsia="Courier New" w:hAnsi="Courier New"/>
          <w:sz w:val="14"/>
          <w:szCs w:val="14"/>
          <w:color w:val="auto"/>
        </w:rPr>
      </w:pPr>
    </w:p>
    <w:p>
      <w:pPr>
        <w:ind w:left="969" w:right="4999" w:hanging="976"/>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2.3Amendment No. 1 to Agreement and Plan of Merger, dated as of March 29, 2002, by and among the registrant, E.mergent, Inc., and Tundra Acquisition (2)</w:t>
      </w:r>
    </w:p>
    <w:p>
      <w:pPr>
        <w:spacing w:after="0" w:line="5"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2.4</w:t>
            </w:r>
          </w:p>
        </w:tc>
        <w:tc>
          <w:tcPr>
            <w:tcW w:w="452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First Amendment to Share Purchase Agreement</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8-K</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4/8/02</w:t>
            </w:r>
          </w:p>
        </w:tc>
      </w:tr>
      <w:tr>
        <w:trPr>
          <w:trHeight w:val="171"/>
        </w:trPr>
        <w:tc>
          <w:tcPr>
            <w:tcW w:w="620" w:type="dxa"/>
            <w:vAlign w:val="bottom"/>
          </w:tcPr>
          <w:p>
            <w:pPr>
              <w:spacing w:after="0"/>
              <w:rPr>
                <w:sz w:val="14"/>
                <w:szCs w:val="14"/>
                <w:color w:val="auto"/>
              </w:rPr>
            </w:pPr>
          </w:p>
        </w:tc>
        <w:tc>
          <w:tcPr>
            <w:tcW w:w="840" w:type="dxa"/>
            <w:vAlign w:val="bottom"/>
          </w:tcPr>
          <w:p>
            <w:pPr>
              <w:ind w:left="340"/>
              <w:spacing w:after="0"/>
              <w:rPr>
                <w:sz w:val="20"/>
                <w:szCs w:val="20"/>
                <w:color w:val="auto"/>
              </w:rPr>
            </w:pPr>
            <w:r>
              <w:rPr>
                <w:rFonts w:ascii="Courier New" w:cs="Courier New" w:eastAsia="Courier New" w:hAnsi="Courier New"/>
                <w:sz w:val="15"/>
                <w:szCs w:val="15"/>
                <w:color w:val="auto"/>
              </w:rPr>
              <w:t>among</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ClearOne</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Communications Inc., and the</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452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former shareholders of Ivron Systems, Ltd.,</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840" w:type="dxa"/>
            <w:vAlign w:val="bottom"/>
          </w:tcPr>
          <w:p>
            <w:pPr>
              <w:ind w:left="340"/>
              <w:spacing w:after="0"/>
              <w:rPr>
                <w:sz w:val="20"/>
                <w:szCs w:val="20"/>
                <w:color w:val="auto"/>
              </w:rPr>
            </w:pPr>
            <w:r>
              <w:rPr>
                <w:rFonts w:ascii="Courier New" w:cs="Courier New" w:eastAsia="Courier New" w:hAnsi="Courier New"/>
                <w:sz w:val="15"/>
                <w:szCs w:val="15"/>
                <w:color w:val="auto"/>
              </w:rPr>
              <w:t>dated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April 8,</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3.1</w:t>
            </w:r>
          </w:p>
        </w:tc>
        <w:tc>
          <w:tcPr>
            <w:tcW w:w="2960" w:type="dxa"/>
            <w:vAlign w:val="bottom"/>
          </w:tcPr>
          <w:p>
            <w:pPr>
              <w:ind w:left="340"/>
              <w:spacing w:after="0"/>
              <w:rPr>
                <w:sz w:val="20"/>
                <w:szCs w:val="20"/>
                <w:color w:val="auto"/>
              </w:rPr>
            </w:pPr>
            <w:r>
              <w:rPr>
                <w:rFonts w:ascii="Courier New" w:cs="Courier New" w:eastAsia="Courier New" w:hAnsi="Courier New"/>
                <w:sz w:val="15"/>
                <w:szCs w:val="15"/>
                <w:color w:val="auto"/>
                <w:w w:val="99"/>
              </w:rPr>
              <w:t>Articles of Incorporation and</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all amendments</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10-KSB</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06/30/89</w:t>
            </w:r>
          </w:p>
        </w:tc>
      </w:tr>
      <w:tr>
        <w:trPr>
          <w:trHeight w:val="171"/>
        </w:trPr>
        <w:tc>
          <w:tcPr>
            <w:tcW w:w="620" w:type="dxa"/>
            <w:vAlign w:val="bottom"/>
          </w:tcPr>
          <w:p>
            <w:pPr>
              <w:spacing w:after="0"/>
              <w:rPr>
                <w:sz w:val="14"/>
                <w:szCs w:val="14"/>
                <w:color w:val="auto"/>
              </w:rPr>
            </w:pPr>
          </w:p>
        </w:tc>
        <w:tc>
          <w:tcPr>
            <w:tcW w:w="2960" w:type="dxa"/>
            <w:vAlign w:val="bottom"/>
          </w:tcPr>
          <w:p>
            <w:pPr>
              <w:ind w:left="340"/>
              <w:spacing w:after="0"/>
              <w:rPr>
                <w:sz w:val="20"/>
                <w:szCs w:val="20"/>
                <w:color w:val="auto"/>
              </w:rPr>
            </w:pPr>
            <w:r>
              <w:rPr>
                <w:rFonts w:ascii="Courier New" w:cs="Courier New" w:eastAsia="Courier New" w:hAnsi="Courier New"/>
                <w:sz w:val="15"/>
                <w:szCs w:val="15"/>
                <w:color w:val="auto"/>
                <w:w w:val="99"/>
              </w:rPr>
              <w:t>thereto through March 1, 1988</w:t>
            </w: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ind w:left="9"/>
        <w:spacing w:after="0"/>
        <w:tabs>
          <w:tab w:leader="none" w:pos="949" w:val="left"/>
          <w:tab w:leader="none" w:pos="5489" w:val="left"/>
          <w:tab w:leader="none" w:pos="6809"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Amendment to Articles of Incorporation, dated</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5"/>
          <w:szCs w:val="15"/>
          <w:color w:val="auto"/>
        </w:rPr>
        <w:t>06/30/91</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July 1, 1991.</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ind w:left="9"/>
        <w:spacing w:after="0"/>
        <w:tabs>
          <w:tab w:leader="none" w:pos="949" w:val="left"/>
          <w:tab w:leader="none" w:pos="5489" w:val="left"/>
          <w:tab w:leader="none" w:pos="6809"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Amended bylaws</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5"/>
          <w:szCs w:val="15"/>
          <w:color w:val="auto"/>
        </w:rPr>
        <w:t>06/30/93</w:t>
      </w:r>
    </w:p>
    <w:p>
      <w:pPr>
        <w:spacing w:after="0" w:line="3" w:lineRule="exact"/>
        <w:rPr>
          <w:sz w:val="20"/>
          <w:szCs w:val="20"/>
          <w:color w:val="auto"/>
        </w:rPr>
      </w:pPr>
    </w:p>
    <w:p>
      <w:pPr>
        <w:ind w:left="169" w:hanging="169"/>
        <w:spacing w:after="0"/>
        <w:tabs>
          <w:tab w:leader="none" w:pos="169"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2" w:lineRule="exact"/>
        <w:rPr>
          <w:rFonts w:ascii="Courier New" w:cs="Courier New" w:eastAsia="Courier New" w:hAnsi="Courier New"/>
          <w:sz w:val="14"/>
          <w:szCs w:val="14"/>
          <w:color w:val="auto"/>
        </w:rPr>
      </w:pPr>
    </w:p>
    <w:p>
      <w:pPr>
        <w:ind w:left="969" w:right="5179" w:hanging="976"/>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5.1Opinion of Jones, Waldo, Holbrook &amp; McDonough, P.C.(5)</w:t>
      </w:r>
    </w:p>
    <w:p>
      <w:pPr>
        <w:spacing w:after="0" w:line="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8.1</w:t>
            </w:r>
          </w:p>
        </w:tc>
        <w:tc>
          <w:tcPr>
            <w:tcW w:w="1640" w:type="dxa"/>
            <w:vAlign w:val="bottom"/>
          </w:tcPr>
          <w:p>
            <w:pPr>
              <w:ind w:left="340"/>
              <w:spacing w:after="0"/>
              <w:rPr>
                <w:sz w:val="20"/>
                <w:szCs w:val="20"/>
                <w:color w:val="auto"/>
              </w:rPr>
            </w:pPr>
            <w:r>
              <w:rPr>
                <w:rFonts w:ascii="Courier New" w:cs="Courier New" w:eastAsia="Courier New" w:hAnsi="Courier New"/>
                <w:sz w:val="15"/>
                <w:szCs w:val="15"/>
                <w:color w:val="auto"/>
              </w:rPr>
              <w:t>Tax Opinion of</w:t>
            </w:r>
          </w:p>
        </w:tc>
        <w:tc>
          <w:tcPr>
            <w:tcW w:w="3940" w:type="dxa"/>
            <w:vAlign w:val="bottom"/>
          </w:tcPr>
          <w:p>
            <w:pPr>
              <w:ind w:left="40"/>
              <w:spacing w:after="0"/>
              <w:rPr>
                <w:sz w:val="20"/>
                <w:szCs w:val="20"/>
                <w:color w:val="auto"/>
              </w:rPr>
            </w:pPr>
            <w:r>
              <w:rPr>
                <w:rFonts w:ascii="Courier New" w:cs="Courier New" w:eastAsia="Courier New" w:hAnsi="Courier New"/>
                <w:sz w:val="15"/>
                <w:szCs w:val="15"/>
                <w:color w:val="auto"/>
              </w:rPr>
              <w:t>Jones, Waldo, Holbrook &amp;</w:t>
            </w:r>
          </w:p>
        </w:tc>
        <w:tc>
          <w:tcPr>
            <w:tcW w:w="1860" w:type="dxa"/>
            <w:vAlign w:val="bottom"/>
          </w:tcPr>
          <w:p>
            <w:pPr>
              <w:ind w:left="1780"/>
              <w:spacing w:after="0"/>
              <w:rPr>
                <w:sz w:val="20"/>
                <w:szCs w:val="20"/>
                <w:color w:val="auto"/>
              </w:rPr>
            </w:pPr>
            <w:r>
              <w:rPr>
                <w:rFonts w:ascii="Courier New" w:cs="Courier New" w:eastAsia="Courier New" w:hAnsi="Courier New"/>
                <w:sz w:val="14"/>
                <w:szCs w:val="14"/>
                <w:color w:val="auto"/>
                <w:w w:val="70"/>
              </w:rPr>
              <w:t>X</w:t>
            </w:r>
          </w:p>
        </w:tc>
      </w:tr>
      <w:tr>
        <w:trPr>
          <w:trHeight w:val="171"/>
        </w:trPr>
        <w:tc>
          <w:tcPr>
            <w:tcW w:w="620" w:type="dxa"/>
            <w:vAlign w:val="bottom"/>
          </w:tcPr>
          <w:p>
            <w:pPr>
              <w:spacing w:after="0"/>
              <w:rPr>
                <w:sz w:val="14"/>
                <w:szCs w:val="14"/>
                <w:color w:val="auto"/>
              </w:rPr>
            </w:pPr>
          </w:p>
        </w:tc>
        <w:tc>
          <w:tcPr>
            <w:tcW w:w="1640" w:type="dxa"/>
            <w:vAlign w:val="bottom"/>
          </w:tcPr>
          <w:p>
            <w:pPr>
              <w:ind w:left="340"/>
              <w:spacing w:after="0"/>
              <w:rPr>
                <w:sz w:val="20"/>
                <w:szCs w:val="20"/>
                <w:color w:val="auto"/>
              </w:rPr>
            </w:pPr>
            <w:r>
              <w:rPr>
                <w:rFonts w:ascii="Courier New" w:cs="Courier New" w:eastAsia="Courier New" w:hAnsi="Courier New"/>
                <w:sz w:val="15"/>
                <w:szCs w:val="15"/>
                <w:color w:val="auto"/>
              </w:rPr>
              <w:t>McDonough, P.C</w:t>
            </w:r>
          </w:p>
        </w:tc>
        <w:tc>
          <w:tcPr>
            <w:tcW w:w="3940" w:type="dxa"/>
            <w:vAlign w:val="bottom"/>
          </w:tcPr>
          <w:p>
            <w:pPr>
              <w:spacing w:after="0"/>
              <w:rPr>
                <w:sz w:val="14"/>
                <w:szCs w:val="14"/>
                <w:color w:val="auto"/>
              </w:rPr>
            </w:pPr>
          </w:p>
        </w:tc>
        <w:tc>
          <w:tcPr>
            <w:tcW w:w="1860" w:type="dxa"/>
            <w:vAlign w:val="bottom"/>
          </w:tcPr>
          <w:p>
            <w:pPr>
              <w:spacing w:after="0"/>
              <w:rPr>
                <w:sz w:val="14"/>
                <w:szCs w:val="14"/>
                <w:color w:val="auto"/>
              </w:rPr>
            </w:pP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ind w:left="9"/>
        <w:spacing w:after="0"/>
        <w:tabs>
          <w:tab w:leader="none" w:pos="949" w:val="left"/>
          <w:tab w:leader="none" w:pos="7969"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Tax Opinion of Fredrikson &amp; Byron, P.A.</w:t>
      </w:r>
      <w:r>
        <w:rPr>
          <w:sz w:val="20"/>
          <w:szCs w:val="20"/>
          <w:color w:val="auto"/>
        </w:rPr>
        <w:tab/>
      </w:r>
      <w:r>
        <w:rPr>
          <w:rFonts w:ascii="Courier New" w:cs="Courier New" w:eastAsia="Courier New" w:hAnsi="Courier New"/>
          <w:sz w:val="13"/>
          <w:szCs w:val="13"/>
          <w:color w:val="auto"/>
        </w:rPr>
        <w:t>X</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10.1</w:t>
            </w:r>
          </w:p>
        </w:tc>
        <w:tc>
          <w:tcPr>
            <w:tcW w:w="274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VRC-1000 Purchase Agreement</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rPr>
              <w:t>between Gentner</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10-KSB</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06/30/89</w:t>
            </w:r>
          </w:p>
        </w:tc>
      </w:tr>
      <w:tr>
        <w:trPr>
          <w:trHeight w:val="171"/>
        </w:trPr>
        <w:tc>
          <w:tcPr>
            <w:tcW w:w="660" w:type="dxa"/>
            <w:vAlign w:val="bottom"/>
          </w:tcPr>
          <w:p>
            <w:pPr>
              <w:spacing w:after="0"/>
              <w:rPr>
                <w:sz w:val="14"/>
                <w:szCs w:val="14"/>
                <w:color w:val="auto"/>
              </w:rPr>
            </w:pPr>
          </w:p>
        </w:tc>
        <w:tc>
          <w:tcPr>
            <w:tcW w:w="462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Engineering Company, Inc. (a former subsidiary</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2400" w:type="dxa"/>
            <w:vAlign w:val="bottom"/>
          </w:tcPr>
          <w:p>
            <w:pPr>
              <w:ind w:left="300"/>
              <w:spacing w:after="0"/>
              <w:rPr>
                <w:sz w:val="20"/>
                <w:szCs w:val="20"/>
                <w:color w:val="auto"/>
              </w:rPr>
            </w:pPr>
            <w:r>
              <w:rPr>
                <w:rFonts w:ascii="Courier New" w:cs="Courier New" w:eastAsia="Courier New" w:hAnsi="Courier New"/>
                <w:sz w:val="15"/>
                <w:szCs w:val="15"/>
                <w:color w:val="auto"/>
              </w:rPr>
              <w:t>of the registrant which</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was</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rPr>
              <w:t>merged into the</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2400" w:type="dxa"/>
            <w:vAlign w:val="bottom"/>
          </w:tcPr>
          <w:p>
            <w:pPr>
              <w:ind w:left="300"/>
              <w:spacing w:after="0"/>
              <w:rPr>
                <w:sz w:val="20"/>
                <w:szCs w:val="20"/>
                <w:color w:val="auto"/>
              </w:rPr>
            </w:pPr>
            <w:r>
              <w:rPr>
                <w:rFonts w:ascii="Courier New" w:cs="Courier New" w:eastAsia="Courier New" w:hAnsi="Courier New"/>
                <w:sz w:val="15"/>
                <w:szCs w:val="15"/>
                <w:color w:val="auto"/>
              </w:rPr>
              <w:t>registrant) and Gentner</w:t>
            </w:r>
          </w:p>
        </w:tc>
        <w:tc>
          <w:tcPr>
            <w:tcW w:w="2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Research Ltd., dated</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2400" w:type="dxa"/>
            <w:vAlign w:val="bottom"/>
          </w:tcPr>
          <w:p>
            <w:pPr>
              <w:ind w:left="300"/>
              <w:spacing w:after="0"/>
              <w:rPr>
                <w:sz w:val="20"/>
                <w:szCs w:val="20"/>
                <w:color w:val="auto"/>
              </w:rPr>
            </w:pPr>
            <w:r>
              <w:rPr>
                <w:rFonts w:ascii="Courier New" w:cs="Courier New" w:eastAsia="Courier New" w:hAnsi="Courier New"/>
                <w:sz w:val="15"/>
                <w:szCs w:val="15"/>
                <w:color w:val="auto"/>
              </w:rPr>
              <w:t>January 1, 1987</w:t>
            </w: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10.2</w:t>
            </w:r>
          </w:p>
        </w:tc>
        <w:tc>
          <w:tcPr>
            <w:tcW w:w="980" w:type="dxa"/>
            <w:vAlign w:val="bottom"/>
          </w:tcPr>
          <w:p>
            <w:pPr>
              <w:ind w:left="300"/>
              <w:spacing w:after="0"/>
              <w:rPr>
                <w:sz w:val="20"/>
                <w:szCs w:val="20"/>
                <w:color w:val="auto"/>
              </w:rPr>
            </w:pPr>
            <w:r>
              <w:rPr>
                <w:rFonts w:ascii="Courier New" w:cs="Courier New" w:eastAsia="Courier New" w:hAnsi="Courier New"/>
                <w:sz w:val="15"/>
                <w:szCs w:val="15"/>
                <w:color w:val="auto"/>
              </w:rPr>
              <w:t>Digital</w:t>
            </w: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Hybrid Purchase Agreement between</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10-KSB</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06/30/91</w:t>
            </w:r>
          </w:p>
        </w:tc>
      </w:tr>
      <w:tr>
        <w:trPr>
          <w:trHeight w:val="171"/>
        </w:trPr>
        <w:tc>
          <w:tcPr>
            <w:tcW w:w="660" w:type="dxa"/>
            <w:vAlign w:val="bottom"/>
          </w:tcPr>
          <w:p>
            <w:pPr>
              <w:spacing w:after="0"/>
              <w:rPr>
                <w:sz w:val="14"/>
                <w:szCs w:val="14"/>
                <w:color w:val="auto"/>
              </w:rPr>
            </w:pPr>
          </w:p>
        </w:tc>
        <w:tc>
          <w:tcPr>
            <w:tcW w:w="980" w:type="dxa"/>
            <w:vAlign w:val="bottom"/>
          </w:tcPr>
          <w:p>
            <w:pPr>
              <w:ind w:left="300"/>
              <w:spacing w:after="0"/>
              <w:rPr>
                <w:sz w:val="20"/>
                <w:szCs w:val="20"/>
                <w:color w:val="auto"/>
              </w:rPr>
            </w:pPr>
            <w:r>
              <w:rPr>
                <w:rFonts w:ascii="Courier New" w:cs="Courier New" w:eastAsia="Courier New" w:hAnsi="Courier New"/>
                <w:sz w:val="15"/>
                <w:szCs w:val="15"/>
                <w:color w:val="auto"/>
              </w:rPr>
              <w:t>Gentner</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w w:val="99"/>
              </w:rPr>
              <w:t>Engineering, Inc. and</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Gentner Research,</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292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Ltd., dated September 8, 1988</w:t>
            </w:r>
          </w:p>
        </w:tc>
        <w:tc>
          <w:tcPr>
            <w:tcW w:w="1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ind w:left="9"/>
        <w:spacing w:after="0"/>
        <w:tabs>
          <w:tab w:leader="none" w:pos="949" w:val="left"/>
          <w:tab w:leader="none" w:pos="5489" w:val="left"/>
          <w:tab w:leader="none" w:pos="6809"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1990 Incentive Plan, as amended August 7, 1996</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5"/>
          <w:szCs w:val="15"/>
          <w:color w:val="auto"/>
        </w:rPr>
        <w:t>06/30/96</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ind w:left="9"/>
        <w:spacing w:after="0"/>
        <w:tabs>
          <w:tab w:leader="none" w:pos="949" w:val="left"/>
          <w:tab w:leader="none" w:pos="5489" w:val="left"/>
          <w:tab w:leader="none" w:pos="6809"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1997 Employee Stock Purchase Plan</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5"/>
          <w:szCs w:val="15"/>
          <w:color w:val="auto"/>
        </w:rPr>
        <w:t>06/30/97</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10.5</w:t>
            </w:r>
          </w:p>
        </w:tc>
        <w:tc>
          <w:tcPr>
            <w:tcW w:w="5760" w:type="dxa"/>
            <w:vAlign w:val="bottom"/>
          </w:tcPr>
          <w:p>
            <w:pPr>
              <w:ind w:left="300"/>
              <w:spacing w:after="0"/>
              <w:rPr>
                <w:sz w:val="20"/>
                <w:szCs w:val="20"/>
                <w:color w:val="auto"/>
              </w:rPr>
            </w:pPr>
            <w:r>
              <w:rPr>
                <w:rFonts w:ascii="Courier New" w:cs="Courier New" w:eastAsia="Courier New" w:hAnsi="Courier New"/>
                <w:sz w:val="15"/>
                <w:szCs w:val="15"/>
                <w:color w:val="auto"/>
              </w:rPr>
              <w:t>Lease between the Registrant and Valley American   10-KSB</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06/30/97</w:t>
            </w:r>
          </w:p>
        </w:tc>
      </w:tr>
      <w:tr>
        <w:trPr>
          <w:trHeight w:val="171"/>
        </w:trPr>
        <w:tc>
          <w:tcPr>
            <w:tcW w:w="660" w:type="dxa"/>
            <w:vAlign w:val="bottom"/>
          </w:tcPr>
          <w:p>
            <w:pPr>
              <w:spacing w:after="0"/>
              <w:rPr>
                <w:sz w:val="14"/>
                <w:szCs w:val="14"/>
                <w:color w:val="auto"/>
              </w:rPr>
            </w:pPr>
          </w:p>
        </w:tc>
        <w:tc>
          <w:tcPr>
            <w:tcW w:w="5760" w:type="dxa"/>
            <w:vAlign w:val="bottom"/>
          </w:tcPr>
          <w:p>
            <w:pPr>
              <w:ind w:left="300"/>
              <w:spacing w:after="0"/>
              <w:rPr>
                <w:sz w:val="20"/>
                <w:szCs w:val="20"/>
                <w:color w:val="auto"/>
              </w:rPr>
            </w:pPr>
            <w:r>
              <w:rPr>
                <w:rFonts w:ascii="Courier New" w:cs="Courier New" w:eastAsia="Courier New" w:hAnsi="Courier New"/>
                <w:sz w:val="15"/>
                <w:szCs w:val="15"/>
                <w:color w:val="auto"/>
              </w:rPr>
              <w:t>Investment Company</w:t>
            </w:r>
          </w:p>
        </w:tc>
        <w:tc>
          <w:tcPr>
            <w:tcW w:w="1120" w:type="dxa"/>
            <w:vAlign w:val="bottom"/>
          </w:tcPr>
          <w:p>
            <w:pPr>
              <w:spacing w:after="0"/>
              <w:rPr>
                <w:sz w:val="14"/>
                <w:szCs w:val="14"/>
                <w:color w:val="auto"/>
              </w:rPr>
            </w:pP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ind w:left="9"/>
        <w:spacing w:after="0"/>
        <w:tabs>
          <w:tab w:leader="none" w:pos="949" w:val="left"/>
          <w:tab w:leader="none" w:pos="5489" w:val="left"/>
          <w:tab w:leader="none" w:pos="6809"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1998 Stock Option Plan and Form of Grant</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5"/>
          <w:szCs w:val="15"/>
          <w:color w:val="auto"/>
        </w:rPr>
        <w:t>06/30/98</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10.7</w:t>
            </w:r>
          </w:p>
        </w:tc>
        <w:tc>
          <w:tcPr>
            <w:tcW w:w="3200" w:type="dxa"/>
            <w:vAlign w:val="bottom"/>
            <w:gridSpan w:val="3"/>
          </w:tcPr>
          <w:p>
            <w:pPr>
              <w:ind w:left="300"/>
              <w:spacing w:after="0"/>
              <w:rPr>
                <w:sz w:val="20"/>
                <w:szCs w:val="20"/>
                <w:color w:val="auto"/>
              </w:rPr>
            </w:pPr>
            <w:r>
              <w:rPr>
                <w:rFonts w:ascii="Courier New" w:cs="Courier New" w:eastAsia="Courier New" w:hAnsi="Courier New"/>
                <w:sz w:val="15"/>
                <w:szCs w:val="15"/>
                <w:color w:val="auto"/>
                <w:w w:val="99"/>
              </w:rPr>
              <w:t>Promissory Note, Loan Agreement,</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and Commercial</w:t>
            </w:r>
          </w:p>
        </w:tc>
        <w:tc>
          <w:tcPr>
            <w:tcW w:w="1060" w:type="dxa"/>
            <w:vAlign w:val="bottom"/>
          </w:tcPr>
          <w:p>
            <w:pPr>
              <w:ind w:left="140"/>
              <w:spacing w:after="0"/>
              <w:rPr>
                <w:sz w:val="20"/>
                <w:szCs w:val="20"/>
                <w:color w:val="auto"/>
              </w:rPr>
            </w:pPr>
            <w:r>
              <w:rPr>
                <w:rFonts w:ascii="Courier New" w:cs="Courier New" w:eastAsia="Courier New" w:hAnsi="Courier New"/>
                <w:sz w:val="15"/>
                <w:szCs w:val="15"/>
                <w:color w:val="auto"/>
              </w:rPr>
              <w:t>10-QSB</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12/31/98</w:t>
            </w:r>
          </w:p>
        </w:tc>
      </w:tr>
      <w:tr>
        <w:trPr>
          <w:trHeight w:val="171"/>
        </w:trPr>
        <w:tc>
          <w:tcPr>
            <w:tcW w:w="660" w:type="dxa"/>
            <w:vAlign w:val="bottom"/>
          </w:tcPr>
          <w:p>
            <w:pPr>
              <w:spacing w:after="0"/>
              <w:rPr>
                <w:sz w:val="14"/>
                <w:szCs w:val="14"/>
                <w:color w:val="auto"/>
              </w:rPr>
            </w:pPr>
          </w:p>
        </w:tc>
        <w:tc>
          <w:tcPr>
            <w:tcW w:w="2660" w:type="dxa"/>
            <w:vAlign w:val="bottom"/>
          </w:tcPr>
          <w:p>
            <w:pPr>
              <w:ind w:left="300"/>
              <w:spacing w:after="0"/>
              <w:rPr>
                <w:sz w:val="20"/>
                <w:szCs w:val="20"/>
                <w:color w:val="auto"/>
              </w:rPr>
            </w:pPr>
            <w:r>
              <w:rPr>
                <w:rFonts w:ascii="Courier New" w:cs="Courier New" w:eastAsia="Courier New" w:hAnsi="Courier New"/>
                <w:sz w:val="15"/>
                <w:szCs w:val="15"/>
                <w:color w:val="auto"/>
                <w:w w:val="99"/>
              </w:rPr>
              <w:t>Security Agreement between</w:t>
            </w:r>
          </w:p>
        </w:tc>
        <w:tc>
          <w:tcPr>
            <w:tcW w:w="204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Registrant and</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2660" w:type="dxa"/>
            <w:vAlign w:val="bottom"/>
          </w:tcPr>
          <w:p>
            <w:pPr>
              <w:ind w:left="300"/>
              <w:spacing w:after="0"/>
              <w:rPr>
                <w:sz w:val="20"/>
                <w:szCs w:val="20"/>
                <w:color w:val="auto"/>
              </w:rPr>
            </w:pPr>
            <w:r>
              <w:rPr>
                <w:rFonts w:ascii="Courier New" w:cs="Courier New" w:eastAsia="Courier New" w:hAnsi="Courier New"/>
                <w:sz w:val="15"/>
                <w:szCs w:val="15"/>
                <w:color w:val="auto"/>
                <w:w w:val="99"/>
              </w:rPr>
              <w:t>Bank One, Utah, N.A. dated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500" w:type="dxa"/>
            <w:vAlign w:val="bottom"/>
          </w:tcPr>
          <w:p>
            <w:pPr>
              <w:ind w:left="40"/>
              <w:spacing w:after="0"/>
              <w:rPr>
                <w:sz w:val="20"/>
                <w:szCs w:val="20"/>
                <w:color w:val="auto"/>
              </w:rPr>
            </w:pPr>
            <w:r>
              <w:rPr>
                <w:rFonts w:ascii="Courier New" w:cs="Courier New" w:eastAsia="Courier New" w:hAnsi="Courier New"/>
                <w:sz w:val="15"/>
                <w:szCs w:val="15"/>
                <w:color w:val="auto"/>
              </w:rPr>
              <w:t>January 5, 1999</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2660" w:type="dxa"/>
            <w:vAlign w:val="bottom"/>
          </w:tcPr>
          <w:p>
            <w:pPr>
              <w:ind w:left="300"/>
              <w:spacing w:after="0"/>
              <w:rPr>
                <w:sz w:val="20"/>
                <w:szCs w:val="20"/>
                <w:color w:val="auto"/>
              </w:rPr>
            </w:pPr>
            <w:r>
              <w:rPr>
                <w:rFonts w:ascii="Courier New" w:cs="Courier New" w:eastAsia="Courier New" w:hAnsi="Courier New"/>
                <w:sz w:val="15"/>
                <w:szCs w:val="15"/>
                <w:color w:val="auto"/>
                <w:w w:val="99"/>
              </w:rPr>
              <w:t>(original aggregate amount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7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$5,000,000)</w:t>
            </w: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12" w:lineRule="exact"/>
        <w:rPr>
          <w:sz w:val="20"/>
          <w:szCs w:val="20"/>
          <w:color w:val="auto"/>
        </w:rPr>
      </w:pPr>
    </w:p>
    <w:p>
      <w:pPr>
        <w:jc w:val="both"/>
        <w:ind w:left="969" w:right="2679" w:hanging="975"/>
        <w:spacing w:after="0" w:line="238" w:lineRule="auto"/>
        <w:tabs>
          <w:tab w:leader="none" w:pos="949" w:val="left"/>
        </w:tabs>
        <w:rPr>
          <w:sz w:val="20"/>
          <w:szCs w:val="20"/>
          <w:color w:val="auto"/>
        </w:rPr>
      </w:pPr>
      <w:r>
        <w:rPr>
          <w:rFonts w:ascii="Courier New" w:cs="Courier New" w:eastAsia="Courier New" w:hAnsi="Courier New"/>
          <w:sz w:val="15"/>
          <w:szCs w:val="15"/>
          <w:color w:val="auto"/>
        </w:rPr>
        <w:t>10.8</w:t>
      </w:r>
      <w:r>
        <w:rPr>
          <w:sz w:val="20"/>
          <w:szCs w:val="20"/>
          <w:color w:val="auto"/>
        </w:rPr>
        <w:tab/>
      </w:r>
      <w:r>
        <w:rPr>
          <w:rFonts w:ascii="Courier New" w:cs="Courier New" w:eastAsia="Courier New" w:hAnsi="Courier New"/>
          <w:sz w:val="15"/>
          <w:szCs w:val="15"/>
          <w:color w:val="auto"/>
        </w:rPr>
        <w:t>Third Addendum to Lease between the Registrant 10-QSB 12/31/00 and Valley American Investment Company dated as</w:t>
      </w:r>
    </w:p>
    <w:p>
      <w:pPr>
        <w:spacing w:after="0" w:line="2"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of September 18, 2000</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10.9</w:t>
            </w:r>
          </w:p>
        </w:tc>
        <w:tc>
          <w:tcPr>
            <w:tcW w:w="23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Modification Agreement</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Promissory</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Note, Loan</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10-QSB</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12/31/00</w:t>
            </w:r>
          </w:p>
        </w:tc>
      </w:tr>
      <w:tr>
        <w:trPr>
          <w:trHeight w:val="171"/>
        </w:trPr>
        <w:tc>
          <w:tcPr>
            <w:tcW w:w="660" w:type="dxa"/>
            <w:vAlign w:val="bottom"/>
          </w:tcPr>
          <w:p>
            <w:pPr>
              <w:spacing w:after="0"/>
              <w:rPr>
                <w:sz w:val="14"/>
                <w:szCs w:val="14"/>
                <w:color w:val="auto"/>
              </w:rPr>
            </w:pPr>
          </w:p>
        </w:tc>
        <w:tc>
          <w:tcPr>
            <w:tcW w:w="258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Agreement, and Commercial</w:t>
            </w:r>
          </w:p>
        </w:tc>
        <w:tc>
          <w:tcPr>
            <w:tcW w:w="2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Security Agreement</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1320" w:type="dxa"/>
            <w:vAlign w:val="bottom"/>
          </w:tcPr>
          <w:p>
            <w:pPr>
              <w:ind w:left="300"/>
              <w:spacing w:after="0"/>
              <w:rPr>
                <w:sz w:val="20"/>
                <w:szCs w:val="20"/>
                <w:color w:val="auto"/>
              </w:rPr>
            </w:pPr>
            <w:r>
              <w:rPr>
                <w:rFonts w:ascii="Courier New" w:cs="Courier New" w:eastAsia="Courier New" w:hAnsi="Courier New"/>
                <w:sz w:val="15"/>
                <w:szCs w:val="15"/>
                <w:color w:val="auto"/>
              </w:rPr>
              <w:t>between the</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Registrant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and Bank One,</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Utah, N.A.</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1320" w:type="dxa"/>
            <w:vAlign w:val="bottom"/>
          </w:tcPr>
          <w:p>
            <w:pPr>
              <w:ind w:left="300"/>
              <w:spacing w:after="0"/>
              <w:rPr>
                <w:sz w:val="20"/>
                <w:szCs w:val="20"/>
                <w:color w:val="auto"/>
              </w:rPr>
            </w:pPr>
            <w:r>
              <w:rPr>
                <w:rFonts w:ascii="Courier New" w:cs="Courier New" w:eastAsia="Courier New" w:hAnsi="Courier New"/>
                <w:sz w:val="15"/>
                <w:szCs w:val="15"/>
                <w:color w:val="auto"/>
              </w:rPr>
              <w:t>dated as of</w:t>
            </w:r>
          </w:p>
        </w:tc>
        <w:tc>
          <w:tcPr>
            <w:tcW w:w="334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December 22, 2000 (original</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aggregate amount of $5,000,000)</w:t>
      </w:r>
    </w:p>
    <w:p>
      <w:pPr>
        <w:spacing w:after="0" w:line="3" w:lineRule="exact"/>
        <w:rPr>
          <w:sz w:val="20"/>
          <w:szCs w:val="20"/>
          <w:color w:val="auto"/>
        </w:rPr>
      </w:pPr>
    </w:p>
    <w:p>
      <w:pPr>
        <w:ind w:left="169" w:hanging="169"/>
        <w:spacing w:after="0"/>
        <w:tabs>
          <w:tab w:leader="none" w:pos="169"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21.1</w:t>
      </w:r>
      <w:r>
        <w:rPr>
          <w:rFonts w:ascii="Courier New" w:cs="Courier New" w:eastAsia="Courier New" w:hAnsi="Courier New"/>
          <w:sz w:val="14"/>
          <w:szCs w:val="14"/>
          <w:color w:val="auto"/>
        </w:rPr>
        <w:t>Subsidiaries of the Registrant (5)</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23.1</w:t>
            </w:r>
          </w:p>
        </w:tc>
        <w:tc>
          <w:tcPr>
            <w:tcW w:w="1780" w:type="dxa"/>
            <w:vAlign w:val="bottom"/>
            <w:gridSpan w:val="4"/>
          </w:tcPr>
          <w:p>
            <w:pPr>
              <w:ind w:left="300"/>
              <w:spacing w:after="0"/>
              <w:rPr>
                <w:sz w:val="20"/>
                <w:szCs w:val="20"/>
                <w:color w:val="auto"/>
              </w:rPr>
            </w:pPr>
            <w:r>
              <w:rPr>
                <w:rFonts w:ascii="Courier New" w:cs="Courier New" w:eastAsia="Courier New" w:hAnsi="Courier New"/>
                <w:sz w:val="15"/>
                <w:szCs w:val="15"/>
                <w:color w:val="auto"/>
              </w:rPr>
              <w:t>Consent of Ernst</w:t>
            </w:r>
          </w:p>
        </w:tc>
        <w:tc>
          <w:tcPr>
            <w:tcW w:w="3680" w:type="dxa"/>
            <w:vAlign w:val="bottom"/>
          </w:tcPr>
          <w:p>
            <w:pPr>
              <w:ind w:left="40"/>
              <w:spacing w:after="0"/>
              <w:rPr>
                <w:sz w:val="20"/>
                <w:szCs w:val="20"/>
                <w:color w:val="auto"/>
              </w:rPr>
            </w:pPr>
            <w:r>
              <w:rPr>
                <w:rFonts w:ascii="Courier New" w:cs="Courier New" w:eastAsia="Courier New" w:hAnsi="Courier New"/>
                <w:sz w:val="15"/>
                <w:szCs w:val="15"/>
                <w:color w:val="auto"/>
              </w:rPr>
              <w:t>&amp; Young LLP</w:t>
            </w:r>
          </w:p>
        </w:tc>
        <w:tc>
          <w:tcPr>
            <w:tcW w:w="2300" w:type="dxa"/>
            <w:vAlign w:val="bottom"/>
          </w:tcPr>
          <w:p>
            <w:pPr>
              <w:ind w:left="1760"/>
              <w:spacing w:after="0"/>
              <w:rPr>
                <w:sz w:val="20"/>
                <w:szCs w:val="20"/>
                <w:color w:val="auto"/>
              </w:rPr>
            </w:pPr>
            <w:r>
              <w:rPr>
                <w:rFonts w:ascii="Courier New" w:cs="Courier New" w:eastAsia="Courier New" w:hAnsi="Courier New"/>
                <w:sz w:val="15"/>
                <w:szCs w:val="15"/>
                <w:color w:val="auto"/>
              </w:rPr>
              <w:t>X</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171"/>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23.2</w:t>
            </w:r>
          </w:p>
        </w:tc>
        <w:tc>
          <w:tcPr>
            <w:tcW w:w="9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Consent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KPMG,</w:t>
            </w:r>
          </w:p>
        </w:tc>
        <w:tc>
          <w:tcPr>
            <w:tcW w:w="3680" w:type="dxa"/>
            <w:vAlign w:val="bottom"/>
          </w:tcPr>
          <w:p>
            <w:pPr>
              <w:ind w:left="40"/>
              <w:spacing w:after="0"/>
              <w:rPr>
                <w:sz w:val="20"/>
                <w:szCs w:val="20"/>
                <w:color w:val="auto"/>
              </w:rPr>
            </w:pPr>
            <w:r>
              <w:rPr>
                <w:rFonts w:ascii="Courier New" w:cs="Courier New" w:eastAsia="Courier New" w:hAnsi="Courier New"/>
                <w:sz w:val="15"/>
                <w:szCs w:val="15"/>
                <w:color w:val="auto"/>
              </w:rPr>
              <w:t>Chartered Accountants</w:t>
            </w:r>
          </w:p>
        </w:tc>
        <w:tc>
          <w:tcPr>
            <w:tcW w:w="2300" w:type="dxa"/>
            <w:vAlign w:val="bottom"/>
          </w:tcPr>
          <w:p>
            <w:pPr>
              <w:ind w:left="1760"/>
              <w:spacing w:after="0"/>
              <w:rPr>
                <w:sz w:val="20"/>
                <w:szCs w:val="20"/>
                <w:color w:val="auto"/>
              </w:rPr>
            </w:pPr>
            <w:r>
              <w:rPr>
                <w:rFonts w:ascii="Courier New" w:cs="Courier New" w:eastAsia="Courier New" w:hAnsi="Courier New"/>
                <w:sz w:val="15"/>
                <w:szCs w:val="15"/>
                <w:color w:val="auto"/>
              </w:rPr>
              <w:t>X</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171"/>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23.3</w:t>
            </w:r>
          </w:p>
        </w:tc>
        <w:tc>
          <w:tcPr>
            <w:tcW w:w="9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Consent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Deloitte &amp; Touche LLP</w:t>
            </w:r>
          </w:p>
        </w:tc>
        <w:tc>
          <w:tcPr>
            <w:tcW w:w="2300" w:type="dxa"/>
            <w:vAlign w:val="bottom"/>
          </w:tcPr>
          <w:p>
            <w:pPr>
              <w:ind w:left="1760"/>
              <w:spacing w:after="0"/>
              <w:rPr>
                <w:sz w:val="20"/>
                <w:szCs w:val="20"/>
                <w:color w:val="auto"/>
              </w:rPr>
            </w:pPr>
            <w:r>
              <w:rPr>
                <w:rFonts w:ascii="Courier New" w:cs="Courier New" w:eastAsia="Courier New" w:hAnsi="Courier New"/>
                <w:sz w:val="15"/>
                <w:szCs w:val="15"/>
                <w:color w:val="auto"/>
              </w:rPr>
              <w:t>X</w:t>
            </w:r>
          </w:p>
        </w:tc>
      </w:tr>
    </w:tbl>
    <w:p>
      <w:pPr>
        <w:spacing w:after="0" w:line="3" w:lineRule="exact"/>
        <w:rPr>
          <w:sz w:val="20"/>
          <w:szCs w:val="20"/>
          <w:color w:val="auto"/>
        </w:rPr>
      </w:pPr>
    </w:p>
    <w:p>
      <w:pPr>
        <w:ind w:left="169" w:hanging="169"/>
        <w:spacing w:after="0"/>
        <w:tabs>
          <w:tab w:leader="none" w:pos="169"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23.4</w:t>
      </w:r>
      <w:r>
        <w:rPr>
          <w:rFonts w:ascii="Courier New" w:cs="Courier New" w:eastAsia="Courier New" w:hAnsi="Courier New"/>
          <w:sz w:val="14"/>
          <w:szCs w:val="14"/>
          <w:color w:val="auto"/>
        </w:rPr>
        <w:t>Consent of Jones, Waldo, Holbrook &amp; McDonough (5)</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23.5</w:t>
      </w:r>
      <w:r>
        <w:rPr>
          <w:rFonts w:ascii="Courier New" w:cs="Courier New" w:eastAsia="Courier New" w:hAnsi="Courier New"/>
          <w:sz w:val="14"/>
          <w:szCs w:val="14"/>
          <w:color w:val="auto"/>
        </w:rPr>
        <w:t>Consent of Fredrickson &amp; Byron, P.A. (5)</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2" w:lineRule="exact"/>
        <w:rPr>
          <w:rFonts w:ascii="Courier New" w:cs="Courier New" w:eastAsia="Courier New" w:hAnsi="Courier New"/>
          <w:sz w:val="14"/>
          <w:szCs w:val="14"/>
          <w:color w:val="auto"/>
        </w:rPr>
      </w:pPr>
    </w:p>
    <w:p>
      <w:pPr>
        <w:ind w:left="969" w:right="5259" w:hanging="976"/>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23.6Consent of Goldsmith, Agio, Helms Securities, Inc. (4)</w:t>
      </w:r>
    </w:p>
    <w:p>
      <w:pPr>
        <w:sectPr>
          <w:pgSz w:w="11900" w:h="16869" w:orient="portrait"/>
          <w:cols w:equalWidth="0" w:num="1">
            <w:col w:w="10228"/>
          </w:cols>
          <w:pgMar w:left="231" w:top="799" w:right="1440" w:bottom="0" w:gutter="0" w:footer="0" w:header="0"/>
        </w:sectPr>
      </w:pPr>
    </w:p>
    <w:bookmarkStart w:id="144" w:name="page145"/>
    <w:bookmarkEnd w:id="144"/>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ind w:left="9"/>
        <w:spacing w:after="0"/>
        <w:tabs>
          <w:tab w:leader="none" w:pos="949" w:val="left"/>
          <w:tab w:leader="none" w:pos="7869" w:val="left"/>
        </w:tabs>
        <w:rPr>
          <w:sz w:val="20"/>
          <w:szCs w:val="20"/>
          <w:color w:val="auto"/>
        </w:rPr>
      </w:pPr>
      <w:r>
        <w:rPr>
          <w:rFonts w:ascii="Courier New" w:cs="Courier New" w:eastAsia="Courier New" w:hAnsi="Courier New"/>
          <w:sz w:val="15"/>
          <w:szCs w:val="15"/>
          <w:color w:val="auto"/>
        </w:rPr>
        <w:t>23.7</w:t>
      </w:r>
      <w:r>
        <w:rPr>
          <w:sz w:val="20"/>
          <w:szCs w:val="20"/>
          <w:color w:val="auto"/>
        </w:rPr>
        <w:tab/>
      </w:r>
      <w:r>
        <w:rPr>
          <w:rFonts w:ascii="Courier New" w:cs="Courier New" w:eastAsia="Courier New" w:hAnsi="Courier New"/>
          <w:sz w:val="15"/>
          <w:szCs w:val="15"/>
          <w:color w:val="auto"/>
        </w:rPr>
        <w:t>Consent of LECG, LLC</w:t>
      </w:r>
      <w:r>
        <w:rPr>
          <w:sz w:val="20"/>
          <w:szCs w:val="20"/>
          <w:color w:val="auto"/>
        </w:rPr>
        <w:tab/>
      </w:r>
      <w:r>
        <w:rPr>
          <w:rFonts w:ascii="Courier New" w:cs="Courier New" w:eastAsia="Courier New" w:hAnsi="Courier New"/>
          <w:sz w:val="15"/>
          <w:szCs w:val="15"/>
          <w:color w:val="auto"/>
        </w:rPr>
        <w:t>X</w:t>
      </w:r>
    </w:p>
    <w:p>
      <w:pPr>
        <w:spacing w:after="0" w:line="3" w:lineRule="exact"/>
        <w:rPr>
          <w:sz w:val="20"/>
          <w:szCs w:val="20"/>
          <w:color w:val="auto"/>
        </w:rPr>
      </w:pPr>
    </w:p>
    <w:p>
      <w:pPr>
        <w:ind w:left="169" w:hanging="169"/>
        <w:spacing w:after="0"/>
        <w:tabs>
          <w:tab w:leader="none" w:pos="169"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24.1</w:t>
      </w:r>
      <w:r>
        <w:rPr>
          <w:rFonts w:ascii="Courier New" w:cs="Courier New" w:eastAsia="Courier New" w:hAnsi="Courier New"/>
          <w:sz w:val="14"/>
          <w:szCs w:val="14"/>
          <w:color w:val="auto"/>
        </w:rPr>
        <w:t>Power of Attorney (5)</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351"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28"/>
          </w:cols>
          <w:pgMar w:left="231" w:top="141" w:right="1440" w:bottom="1440" w:gutter="0" w:footer="0" w:header="0"/>
        </w:sectPr>
      </w:pPr>
    </w:p>
    <w:bookmarkStart w:id="145" w:name="page146"/>
    <w:bookmarkEnd w:id="145"/>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ind w:left="9"/>
        <w:spacing w:after="0"/>
        <w:tabs>
          <w:tab w:leader="none" w:pos="949" w:val="left"/>
          <w:tab w:leader="none" w:pos="7869"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Form of Proxy</w:t>
      </w:r>
      <w:r>
        <w:rPr>
          <w:sz w:val="20"/>
          <w:szCs w:val="20"/>
          <w:color w:val="auto"/>
        </w:rPr>
        <w:tab/>
      </w:r>
      <w:r>
        <w:rPr>
          <w:rFonts w:ascii="Courier New" w:cs="Courier New" w:eastAsia="Courier New" w:hAnsi="Courier New"/>
          <w:sz w:val="15"/>
          <w:szCs w:val="15"/>
          <w:color w:val="auto"/>
        </w:rPr>
        <w:t>X</w:t>
      </w:r>
    </w:p>
    <w:p>
      <w:pPr>
        <w:spacing w:after="0" w:line="3" w:lineRule="exact"/>
        <w:rPr>
          <w:sz w:val="20"/>
          <w:szCs w:val="20"/>
          <w:color w:val="auto"/>
        </w:rPr>
      </w:pPr>
    </w:p>
    <w:p>
      <w:pPr>
        <w:ind w:left="169" w:hanging="169"/>
        <w:spacing w:after="0"/>
        <w:tabs>
          <w:tab w:leader="none" w:pos="169"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2" w:lineRule="exact"/>
        <w:rPr>
          <w:rFonts w:ascii="Courier New" w:cs="Courier New" w:eastAsia="Courier New" w:hAnsi="Courier New"/>
          <w:sz w:val="14"/>
          <w:szCs w:val="14"/>
          <w:color w:val="auto"/>
        </w:rPr>
      </w:pPr>
    </w:p>
    <w:p>
      <w:pPr>
        <w:ind w:left="969" w:right="5519" w:hanging="976"/>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99.2Fairness Opinion of Goldsmith, Agio, Helms Securities, Inc. (3)</w:t>
      </w:r>
    </w:p>
    <w:p>
      <w:pPr>
        <w:spacing w:after="0" w:line="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80" w:lineRule="exact"/>
        <w:rPr>
          <w:sz w:val="20"/>
          <w:szCs w:val="20"/>
          <w:color w:val="auto"/>
        </w:rPr>
      </w:pPr>
    </w:p>
    <w:p>
      <w:pPr>
        <w:ind w:left="709" w:hanging="709"/>
        <w:spacing w:after="0"/>
        <w:tabs>
          <w:tab w:leader="none" w:pos="709"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this Registration Statement as Annex A.</w:t>
      </w:r>
    </w:p>
    <w:p>
      <w:pPr>
        <w:ind w:left="709" w:hanging="709"/>
        <w:spacing w:after="0"/>
        <w:tabs>
          <w:tab w:leader="none" w:pos="709"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this Registration Statement as Annex A-1</w:t>
      </w:r>
    </w:p>
    <w:p>
      <w:pPr>
        <w:ind w:left="709" w:hanging="709"/>
        <w:spacing w:after="0"/>
        <w:tabs>
          <w:tab w:leader="none" w:pos="709"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this Registration Statement as Annex C.</w:t>
      </w:r>
    </w:p>
    <w:p>
      <w:pPr>
        <w:ind w:left="709" w:hanging="709"/>
        <w:spacing w:after="0"/>
        <w:tabs>
          <w:tab w:leader="none" w:pos="709"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as part of the Opinion in Annex C.</w:t>
      </w:r>
    </w:p>
    <w:p>
      <w:pPr>
        <w:ind w:left="709" w:hanging="709"/>
        <w:spacing w:after="0"/>
        <w:tabs>
          <w:tab w:leader="none" w:pos="709"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as part of this Registration Statement.</w:t>
      </w:r>
    </w:p>
    <w:p>
      <w:pPr>
        <w:spacing w:after="0" w:line="171" w:lineRule="exact"/>
        <w:rPr>
          <w:sz w:val="20"/>
          <w:szCs w:val="20"/>
          <w:color w:val="auto"/>
        </w:rPr>
      </w:pPr>
    </w:p>
    <w:p>
      <w:pPr>
        <w:ind w:left="9"/>
        <w:spacing w:after="0"/>
        <w:tabs>
          <w:tab w:leader="none" w:pos="869" w:val="left"/>
        </w:tabs>
        <w:rPr>
          <w:sz w:val="20"/>
          <w:szCs w:val="20"/>
          <w:color w:val="auto"/>
        </w:rPr>
      </w:pPr>
      <w:r>
        <w:rPr>
          <w:rFonts w:ascii="Courier New" w:cs="Courier New" w:eastAsia="Courier New" w:hAnsi="Courier New"/>
          <w:sz w:val="15"/>
          <w:szCs w:val="15"/>
          <w:color w:val="auto"/>
        </w:rPr>
        <w:t>ITEM 22.</w:t>
      </w:r>
      <w:r>
        <w:rPr>
          <w:sz w:val="20"/>
          <w:szCs w:val="20"/>
          <w:color w:val="auto"/>
        </w:rPr>
        <w:tab/>
      </w:r>
      <w:r>
        <w:rPr>
          <w:rFonts w:ascii="Courier New" w:cs="Courier New" w:eastAsia="Courier New" w:hAnsi="Courier New"/>
          <w:sz w:val="14"/>
          <w:szCs w:val="14"/>
          <w:color w:val="auto"/>
        </w:rPr>
        <w:t>UNDERTAKINGS</w:t>
      </w:r>
    </w:p>
    <w:p>
      <w:pPr>
        <w:spacing w:after="0" w:line="171" w:lineRule="exact"/>
        <w:rPr>
          <w:sz w:val="20"/>
          <w:szCs w:val="20"/>
          <w:color w:val="auto"/>
        </w:rPr>
      </w:pPr>
    </w:p>
    <w:p>
      <w:pPr>
        <w:ind w:left="709"/>
        <w:spacing w:after="0"/>
        <w:rPr>
          <w:sz w:val="20"/>
          <w:szCs w:val="20"/>
          <w:color w:val="auto"/>
        </w:rPr>
      </w:pPr>
      <w:r>
        <w:rPr>
          <w:rFonts w:ascii="Courier New" w:cs="Courier New" w:eastAsia="Courier New" w:hAnsi="Courier New"/>
          <w:sz w:val="15"/>
          <w:szCs w:val="15"/>
          <w:color w:val="auto"/>
        </w:rPr>
        <w:t>The undersigned registrant hereby undertakes:</w:t>
      </w:r>
    </w:p>
    <w:p>
      <w:pPr>
        <w:spacing w:after="0" w:line="174" w:lineRule="exact"/>
        <w:rPr>
          <w:sz w:val="20"/>
          <w:szCs w:val="20"/>
          <w:color w:val="auto"/>
        </w:rPr>
      </w:pPr>
    </w:p>
    <w:p>
      <w:pPr>
        <w:ind w:left="349" w:right="3119" w:hanging="349"/>
        <w:spacing w:after="0"/>
        <w:tabs>
          <w:tab w:leader="none" w:pos="349"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purposes of determining any liability under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77"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prior to any public reoffering of the securities registered hereunder through use of a prospectus which is a part of this registration statement, by any person or party who is deemed to be an underwriter within the meaning of Rule 145(c), the issuer undertakes that such reoffering prospectus will contain the information called for by the applicable registration form with respect to reofferings by persons who may be deemed underwriters, in addition to the information called for by the other items of the applicable form;</w:t>
      </w:r>
    </w:p>
    <w:p>
      <w:pPr>
        <w:spacing w:after="0" w:line="176" w:lineRule="exact"/>
        <w:rPr>
          <w:rFonts w:ascii="Courier New" w:cs="Courier New" w:eastAsia="Courier New" w:hAnsi="Courier New"/>
          <w:sz w:val="15"/>
          <w:szCs w:val="15"/>
          <w:color w:val="auto"/>
        </w:rPr>
      </w:pPr>
    </w:p>
    <w:p>
      <w:pPr>
        <w:ind w:left="349" w:right="3119" w:hanging="349"/>
        <w:spacing w:after="0"/>
        <w:tabs>
          <w:tab w:leader="none" w:pos="349"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every prospectus (i) that is filed pursuant to paragraph (2) immediately preceding, or (ii) that purports to meet the requirements of Section 10(a)(3) of the Act and is used in connection with an offering of securities subject to Rule 415, will be filed as a part of an amendment to the registration statement and will not be used until such amendment is effective, and that, for purposes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78" w:lineRule="exact"/>
        <w:rPr>
          <w:rFonts w:ascii="Courier New" w:cs="Courier New" w:eastAsia="Courier New" w:hAnsi="Courier New"/>
          <w:sz w:val="15"/>
          <w:szCs w:val="15"/>
          <w:color w:val="auto"/>
        </w:rPr>
      </w:pPr>
    </w:p>
    <w:p>
      <w:pPr>
        <w:ind w:left="349" w:right="3219" w:hanging="349"/>
        <w:spacing w:after="0"/>
        <w:tabs>
          <w:tab w:leader="none" w:pos="349"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respond to requests for information that is incorporated by reference into the prospectus pursuant to Items 4, 10(b), 11, or 13 of this Form, within one business day of receipt of such request and to send the incorporated documents by first class mail or other equally prompt means. This includes information contained in documents filed subsequent to the effective date of the registration statement through the date of responding to the request; and</w:t>
      </w:r>
    </w:p>
    <w:p>
      <w:pPr>
        <w:spacing w:after="0" w:line="175" w:lineRule="exact"/>
        <w:rPr>
          <w:rFonts w:ascii="Courier New" w:cs="Courier New" w:eastAsia="Courier New" w:hAnsi="Courier New"/>
          <w:sz w:val="15"/>
          <w:szCs w:val="15"/>
          <w:color w:val="auto"/>
        </w:rPr>
      </w:pPr>
    </w:p>
    <w:p>
      <w:pPr>
        <w:ind w:left="349" w:right="3119" w:hanging="349"/>
        <w:spacing w:after="0" w:line="239" w:lineRule="auto"/>
        <w:tabs>
          <w:tab w:leader="none" w:pos="349"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supply by means of a post-effective amendment all information concerning a transaction, and the company being acquired involved therein, that was not the subject of and included in the registration statement when it became effective.</w:t>
      </w:r>
    </w:p>
    <w:p>
      <w:pPr>
        <w:spacing w:after="0" w:line="176" w:lineRule="exact"/>
        <w:rPr>
          <w:sz w:val="20"/>
          <w:szCs w:val="20"/>
          <w:color w:val="auto"/>
        </w:rPr>
      </w:pPr>
    </w:p>
    <w:p>
      <w:pPr>
        <w:ind w:left="9" w:right="3119" w:firstLine="710"/>
        <w:spacing w:after="0"/>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provisions described in Item 20 above,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28"/>
          </w:cols>
          <w:pgMar w:left="231" w:top="631" w:right="1440" w:bottom="1440" w:gutter="0" w:footer="0" w:header="0"/>
        </w:sectPr>
      </w:pPr>
    </w:p>
    <w:bookmarkStart w:id="146" w:name="page147"/>
    <w:bookmarkEnd w:id="146"/>
    <w:p>
      <w:pPr>
        <w:ind w:left="3109"/>
        <w:spacing w:after="0"/>
        <w:rPr>
          <w:sz w:val="20"/>
          <w:szCs w:val="20"/>
          <w:color w:val="auto"/>
        </w:rPr>
      </w:pPr>
      <w:r>
        <w:rPr>
          <w:rFonts w:ascii="Courier New" w:cs="Courier New" w:eastAsia="Courier New" w:hAnsi="Courier New"/>
          <w:sz w:val="15"/>
          <w:szCs w:val="15"/>
          <w:color w:val="auto"/>
        </w:rPr>
        <w:t>SIGNATURES</w:t>
      </w:r>
    </w:p>
    <w:p>
      <w:pPr>
        <w:spacing w:after="0" w:line="174" w:lineRule="exact"/>
        <w:rPr>
          <w:sz w:val="20"/>
          <w:szCs w:val="20"/>
          <w:color w:val="auto"/>
        </w:rPr>
      </w:pPr>
    </w:p>
    <w:p>
      <w:pPr>
        <w:ind w:left="9" w:right="3219" w:firstLine="710"/>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as amended, the registrant has duly caused this registration statement to be signed on its behalf by the undersigned, thereunto duly authorized, in Salt Lake City, Utah, on May 6, 2002.</w:t>
      </w:r>
    </w:p>
    <w:p>
      <w:pPr>
        <w:spacing w:after="0" w:line="174"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CLEARONE COMMUNICATIONS, INC.</w:t>
      </w:r>
    </w:p>
    <w:p>
      <w:pPr>
        <w:spacing w:after="0" w:line="342"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/s/ F. M. Flood</w:t>
      </w:r>
    </w:p>
    <w:p>
      <w:pPr>
        <w:spacing w:after="0" w:line="171" w:lineRule="exact"/>
        <w:rPr>
          <w:sz w:val="20"/>
          <w:szCs w:val="20"/>
          <w:color w:val="auto"/>
        </w:rPr>
      </w:pPr>
    </w:p>
    <w:p>
      <w:pPr>
        <w:ind w:left="3189"/>
        <w:spacing w:after="0"/>
        <w:rPr>
          <w:sz w:val="20"/>
          <w:szCs w:val="20"/>
          <w:color w:val="auto"/>
        </w:rPr>
      </w:pPr>
      <w:r>
        <w:rPr>
          <w:rFonts w:ascii="Courier New" w:cs="Courier New" w:eastAsia="Courier New" w:hAnsi="Courier New"/>
          <w:sz w:val="15"/>
          <w:szCs w:val="15"/>
          <w:color w:val="auto"/>
        </w:rPr>
        <w:t>Name: Frances M. Flood</w:t>
      </w:r>
    </w:p>
    <w:p>
      <w:pPr>
        <w:spacing w:after="0" w:line="174" w:lineRule="exact"/>
        <w:rPr>
          <w:sz w:val="20"/>
          <w:szCs w:val="20"/>
          <w:color w:val="auto"/>
        </w:rPr>
      </w:pPr>
    </w:p>
    <w:p>
      <w:pPr>
        <w:ind w:left="3189"/>
        <w:spacing w:after="0"/>
        <w:rPr>
          <w:sz w:val="20"/>
          <w:szCs w:val="20"/>
          <w:color w:val="auto"/>
        </w:rPr>
      </w:pPr>
      <w:r>
        <w:rPr>
          <w:rFonts w:ascii="Courier New" w:cs="Courier New" w:eastAsia="Courier New" w:hAnsi="Courier New"/>
          <w:sz w:val="14"/>
          <w:szCs w:val="14"/>
          <w:color w:val="auto"/>
        </w:rPr>
        <w:t>Title: Chairman and Chief Executive Officer</w:t>
      </w:r>
    </w:p>
    <w:p>
      <w:pPr>
        <w:spacing w:after="0" w:line="183" w:lineRule="exact"/>
        <w:rPr>
          <w:sz w:val="20"/>
          <w:szCs w:val="20"/>
          <w:color w:val="auto"/>
        </w:rPr>
      </w:pPr>
    </w:p>
    <w:p>
      <w:pPr>
        <w:ind w:left="9" w:right="3839" w:firstLine="710"/>
        <w:spacing w:after="0" w:line="239"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34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 F. M. Flood</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and Chief</w:t>
            </w:r>
          </w:p>
        </w:tc>
        <w:tc>
          <w:tcPr>
            <w:tcW w:w="12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May 6, 2002</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960" w:type="dxa"/>
            <w:vAlign w:val="bottom"/>
          </w:tcPr>
          <w:p>
            <w:pPr>
              <w:ind w:left="220"/>
              <w:spacing w:after="0"/>
              <w:rPr>
                <w:sz w:val="20"/>
                <w:szCs w:val="20"/>
                <w:color w:val="auto"/>
              </w:rPr>
            </w:pPr>
            <w:r>
              <w:rPr>
                <w:rFonts w:ascii="Courier New" w:cs="Courier New" w:eastAsia="Courier New" w:hAnsi="Courier New"/>
                <w:sz w:val="15"/>
                <w:szCs w:val="15"/>
                <w:color w:val="auto"/>
              </w:rPr>
              <w:t>Executive Officer</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Frances M. Flood</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(Principal Executive Officer)</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512"/>
        </w:trPr>
        <w:tc>
          <w:tcPr>
            <w:tcW w:w="2260" w:type="dxa"/>
            <w:vAlign w:val="bottom"/>
          </w:tcPr>
          <w:p>
            <w:pPr>
              <w:ind w:left="80"/>
              <w:spacing w:after="0"/>
              <w:rPr>
                <w:sz w:val="20"/>
                <w:szCs w:val="20"/>
                <w:color w:val="auto"/>
              </w:rPr>
            </w:pPr>
            <w:r>
              <w:rPr>
                <w:rFonts w:ascii="Courier New" w:cs="Courier New" w:eastAsia="Courier New" w:hAnsi="Courier New"/>
                <w:sz w:val="15"/>
                <w:szCs w:val="15"/>
                <w:color w:val="auto"/>
              </w:rPr>
              <w:t>/s/ Randy J. Wichinski</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Chief Financial Officer</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May 6</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 2002</w:t>
            </w: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2960" w:type="dxa"/>
            <w:vAlign w:val="bottom"/>
          </w:tcPr>
          <w:p>
            <w:pPr>
              <w:ind w:left="220"/>
              <w:spacing w:after="0"/>
              <w:rPr>
                <w:sz w:val="20"/>
                <w:szCs w:val="20"/>
                <w:color w:val="auto"/>
              </w:rPr>
            </w:pPr>
            <w:r>
              <w:rPr>
                <w:rFonts w:ascii="Courier New" w:cs="Courier New" w:eastAsia="Courier New" w:hAnsi="Courier New"/>
                <w:sz w:val="15"/>
                <w:szCs w:val="15"/>
                <w:color w:val="auto"/>
              </w:rPr>
              <w:t>(Principal Accounting and</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2260" w:type="dxa"/>
            <w:vAlign w:val="bottom"/>
          </w:tcPr>
          <w:p>
            <w:pPr>
              <w:spacing w:after="0"/>
              <w:rPr>
                <w:sz w:val="20"/>
                <w:szCs w:val="20"/>
                <w:color w:val="auto"/>
              </w:rPr>
            </w:pPr>
            <w:r>
              <w:rPr>
                <w:rFonts w:ascii="Courier New" w:cs="Courier New" w:eastAsia="Courier New" w:hAnsi="Courier New"/>
                <w:sz w:val="15"/>
                <w:szCs w:val="15"/>
                <w:color w:val="auto"/>
              </w:rPr>
              <w:t>Randall J. Wichinski</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Financial Officer)</w:t>
            </w: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512"/>
        </w:trPr>
        <w:tc>
          <w:tcPr>
            <w:tcW w:w="226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2960" w:type="dxa"/>
            <w:vAlign w:val="bottom"/>
          </w:tcPr>
          <w:p>
            <w:pPr>
              <w:ind w:left="40"/>
              <w:spacing w:after="0"/>
              <w:rPr>
                <w:sz w:val="20"/>
                <w:szCs w:val="20"/>
                <w:color w:val="auto"/>
              </w:rPr>
            </w:pPr>
            <w:r>
              <w:rPr>
                <w:rFonts w:ascii="Courier New" w:cs="Courier New" w:eastAsia="Courier New" w:hAnsi="Courier New"/>
                <w:sz w:val="15"/>
                <w:szCs w:val="15"/>
                <w:color w:val="auto"/>
              </w:rPr>
              <w:t>Director</w:t>
            </w:r>
          </w:p>
        </w:tc>
        <w:tc>
          <w:tcPr>
            <w:tcW w:w="680" w:type="dxa"/>
            <w:vAlign w:val="bottom"/>
          </w:tcPr>
          <w:p>
            <w:pPr>
              <w:ind w:left="180"/>
              <w:spacing w:after="0"/>
              <w:rPr>
                <w:sz w:val="20"/>
                <w:szCs w:val="20"/>
                <w:color w:val="auto"/>
              </w:rPr>
            </w:pPr>
            <w:r>
              <w:rPr>
                <w:rFonts w:ascii="Courier New" w:cs="Courier New" w:eastAsia="Courier New" w:hAnsi="Courier New"/>
                <w:sz w:val="15"/>
                <w:szCs w:val="15"/>
                <w:color w:val="auto"/>
              </w:rPr>
              <w:t>May 6</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 2002</w:t>
            </w:r>
          </w:p>
        </w:tc>
      </w:tr>
    </w:tbl>
    <w:p>
      <w:pPr>
        <w:spacing w:after="0" w:line="1" w:lineRule="exact"/>
        <w:rPr>
          <w:sz w:val="20"/>
          <w:szCs w:val="20"/>
          <w:color w:val="auto"/>
        </w:rPr>
      </w:pPr>
    </w:p>
    <w:p>
      <w:pPr>
        <w:ind w:left="169" w:hanging="169"/>
        <w:spacing w:after="0"/>
        <w:tabs>
          <w:tab w:leader="none" w:pos="169"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Brad R. Baldwin</w:t>
      </w:r>
    </w:p>
    <w:p>
      <w:pPr>
        <w:spacing w:after="0" w:line="171" w:lineRule="exact"/>
        <w:rPr>
          <w:sz w:val="20"/>
          <w:szCs w:val="20"/>
          <w:color w:val="auto"/>
        </w:rPr>
      </w:pPr>
    </w:p>
    <w:p>
      <w:pPr>
        <w:ind w:left="969"/>
        <w:spacing w:after="0"/>
        <w:tabs>
          <w:tab w:leader="none" w:pos="2289" w:val="left"/>
          <w:tab w:leader="none" w:pos="538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6 , 2002</w:t>
      </w:r>
    </w:p>
    <w:p>
      <w:pPr>
        <w:spacing w:after="0" w:line="1" w:lineRule="exact"/>
        <w:rPr>
          <w:sz w:val="20"/>
          <w:szCs w:val="20"/>
          <w:color w:val="auto"/>
        </w:rPr>
      </w:pPr>
    </w:p>
    <w:p>
      <w:pPr>
        <w:ind w:left="169" w:hanging="169"/>
        <w:spacing w:after="0"/>
        <w:tabs>
          <w:tab w:leader="none" w:pos="169"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A. Peirce</w:t>
      </w:r>
    </w:p>
    <w:p>
      <w:pPr>
        <w:spacing w:after="0" w:line="171" w:lineRule="exact"/>
        <w:rPr>
          <w:sz w:val="20"/>
          <w:szCs w:val="20"/>
          <w:color w:val="auto"/>
        </w:rPr>
      </w:pPr>
    </w:p>
    <w:p>
      <w:pPr>
        <w:ind w:left="969"/>
        <w:spacing w:after="0"/>
        <w:tabs>
          <w:tab w:leader="none" w:pos="2289" w:val="left"/>
          <w:tab w:leader="none" w:pos="538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6 , 2002</w:t>
      </w:r>
    </w:p>
    <w:p>
      <w:pPr>
        <w:spacing w:after="0" w:line="1" w:lineRule="exact"/>
        <w:rPr>
          <w:sz w:val="20"/>
          <w:szCs w:val="20"/>
          <w:color w:val="auto"/>
        </w:rPr>
      </w:pPr>
    </w:p>
    <w:p>
      <w:pPr>
        <w:ind w:left="169" w:hanging="169"/>
        <w:spacing w:after="0"/>
        <w:tabs>
          <w:tab w:leader="none" w:pos="169"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Harry Spielberg</w:t>
      </w:r>
    </w:p>
    <w:p>
      <w:pPr>
        <w:spacing w:after="0" w:line="171" w:lineRule="exact"/>
        <w:rPr>
          <w:sz w:val="20"/>
          <w:szCs w:val="20"/>
          <w:color w:val="auto"/>
        </w:rPr>
      </w:pPr>
    </w:p>
    <w:p>
      <w:pPr>
        <w:ind w:left="969"/>
        <w:spacing w:after="0"/>
        <w:tabs>
          <w:tab w:leader="none" w:pos="2289" w:val="left"/>
          <w:tab w:leader="none" w:pos="538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6 , 2002</w:t>
      </w:r>
    </w:p>
    <w:p>
      <w:pPr>
        <w:spacing w:after="0" w:line="1" w:lineRule="exact"/>
        <w:rPr>
          <w:sz w:val="20"/>
          <w:szCs w:val="20"/>
          <w:color w:val="auto"/>
        </w:rPr>
      </w:pPr>
    </w:p>
    <w:p>
      <w:pPr>
        <w:ind w:left="169" w:hanging="169"/>
        <w:spacing w:after="0"/>
        <w:tabs>
          <w:tab w:leader="none" w:pos="169"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Edward Dallin Bagley</w:t>
      </w:r>
    </w:p>
    <w:p>
      <w:pPr>
        <w:spacing w:after="0" w:line="171" w:lineRule="exact"/>
        <w:rPr>
          <w:sz w:val="20"/>
          <w:szCs w:val="20"/>
          <w:color w:val="auto"/>
        </w:rPr>
      </w:pPr>
    </w:p>
    <w:p>
      <w:pPr>
        <w:ind w:left="969"/>
        <w:spacing w:after="0"/>
        <w:tabs>
          <w:tab w:leader="none" w:pos="2289" w:val="left"/>
          <w:tab w:leader="none" w:pos="5389"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May 6 , 2002</w:t>
      </w:r>
    </w:p>
    <w:p>
      <w:pPr>
        <w:spacing w:after="0" w:line="1" w:lineRule="exact"/>
        <w:rPr>
          <w:sz w:val="20"/>
          <w:szCs w:val="20"/>
          <w:color w:val="auto"/>
        </w:rPr>
      </w:pPr>
    </w:p>
    <w:p>
      <w:pPr>
        <w:ind w:left="169" w:hanging="169"/>
        <w:spacing w:after="0"/>
        <w:tabs>
          <w:tab w:leader="none" w:pos="169"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David Wiener</w:t>
      </w:r>
    </w:p>
    <w:p>
      <w:pPr>
        <w:spacing w:after="0" w:line="200" w:lineRule="exact"/>
        <w:rPr>
          <w:sz w:val="20"/>
          <w:szCs w:val="20"/>
          <w:color w:val="auto"/>
        </w:rPr>
      </w:pPr>
    </w:p>
    <w:p>
      <w:pPr>
        <w:spacing w:after="0" w:line="313"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*By: /s/ F. M. Flood</w:t>
      </w:r>
    </w:p>
    <w:p>
      <w:pPr>
        <w:spacing w:after="0" w:line="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Frances M.Flood</w:t>
      </w:r>
    </w:p>
    <w:p>
      <w:pPr>
        <w:spacing w:after="0" w:line="1" w:lineRule="exact"/>
        <w:rPr>
          <w:sz w:val="20"/>
          <w:szCs w:val="20"/>
          <w:color w:val="auto"/>
        </w:rPr>
      </w:pPr>
    </w:p>
    <w:p>
      <w:pPr>
        <w:ind w:left="889"/>
        <w:spacing w:after="0"/>
        <w:rPr>
          <w:sz w:val="20"/>
          <w:szCs w:val="20"/>
          <w:color w:val="auto"/>
        </w:rPr>
      </w:pPr>
      <w:r>
        <w:rPr>
          <w:rFonts w:ascii="Courier New" w:cs="Courier New" w:eastAsia="Courier New" w:hAnsi="Courier New"/>
          <w:sz w:val="15"/>
          <w:szCs w:val="15"/>
          <w:color w:val="auto"/>
        </w:rPr>
        <w:t>Attorney in Fact</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8"/>
          </w:cols>
          <w:pgMar w:left="231" w:top="628" w:right="1440" w:bottom="1440" w:gutter="0" w:footer="0" w:header="0"/>
        </w:sectPr>
      </w:pPr>
    </w:p>
    <w:bookmarkStart w:id="147" w:name="page148"/>
    <w:bookmarkEnd w:id="147"/>
    <w:p>
      <w:pPr>
        <w:spacing w:after="0" w:line="3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EXHIBIT INDEX</w:t>
      </w:r>
    </w:p>
    <w:p>
      <w:pPr>
        <w:spacing w:after="0" w:line="345"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ind w:left="2309"/>
        <w:spacing w:after="0"/>
        <w:tabs>
          <w:tab w:leader="none" w:pos="5489" w:val="left"/>
        </w:tabs>
        <w:rPr>
          <w:sz w:val="20"/>
          <w:szCs w:val="20"/>
          <w:color w:val="auto"/>
        </w:rPr>
      </w:pPr>
      <w:r>
        <w:rPr>
          <w:rFonts w:ascii="Courier New" w:cs="Courier New" w:eastAsia="Courier New" w:hAnsi="Courier New"/>
          <w:sz w:val="15"/>
          <w:szCs w:val="15"/>
          <w:color w:val="auto"/>
        </w:rPr>
        <w:t>Exhibit Description</w:t>
      </w:r>
      <w:r>
        <w:rPr>
          <w:sz w:val="20"/>
          <w:szCs w:val="20"/>
          <w:color w:val="auto"/>
        </w:rPr>
        <w:tab/>
      </w:r>
      <w:r>
        <w:rPr>
          <w:rFonts w:ascii="Courier New" w:cs="Courier New" w:eastAsia="Courier New" w:hAnsi="Courier New"/>
          <w:sz w:val="14"/>
          <w:szCs w:val="14"/>
          <w:color w:val="auto"/>
        </w:rPr>
        <w:t>Incorporated By Reference</w:t>
      </w:r>
    </w:p>
    <w:p>
      <w:pPr>
        <w:spacing w:after="0" w:line="1" w:lineRule="exact"/>
        <w:rPr>
          <w:sz w:val="20"/>
          <w:szCs w:val="20"/>
          <w:color w:val="auto"/>
        </w:rPr>
      </w:pPr>
    </w:p>
    <w:p>
      <w:pPr>
        <w:ind w:left="7549"/>
        <w:spacing w:after="0"/>
        <w:rPr>
          <w:sz w:val="20"/>
          <w:szCs w:val="20"/>
          <w:color w:val="auto"/>
        </w:rPr>
      </w:pPr>
      <w:r>
        <w:rPr>
          <w:rFonts w:ascii="Courier New" w:cs="Courier New" w:eastAsia="Courier New" w:hAnsi="Courier New"/>
          <w:sz w:val="15"/>
          <w:szCs w:val="15"/>
          <w:color w:val="auto"/>
        </w:rPr>
        <w:t>Filed</w:t>
      </w:r>
    </w:p>
    <w:p>
      <w:pPr>
        <w:spacing w:after="0" w:line="1" w:lineRule="exact"/>
        <w:rPr>
          <w:sz w:val="20"/>
          <w:szCs w:val="20"/>
          <w:color w:val="auto"/>
        </w:rPr>
      </w:pPr>
    </w:p>
    <w:p>
      <w:pPr>
        <w:ind w:left="5509"/>
        <w:spacing w:after="0"/>
        <w:tabs>
          <w:tab w:leader="none" w:pos="6809" w:val="left"/>
          <w:tab w:leader="none" w:pos="7429" w:val="left"/>
        </w:tabs>
        <w:rPr>
          <w:sz w:val="20"/>
          <w:szCs w:val="20"/>
          <w:color w:val="auto"/>
        </w:rPr>
      </w:pPr>
      <w:r>
        <w:rPr>
          <w:rFonts w:ascii="Courier New" w:cs="Courier New" w:eastAsia="Courier New" w:hAnsi="Courier New"/>
          <w:sz w:val="15"/>
          <w:szCs w:val="15"/>
          <w:color w:val="auto"/>
        </w:rPr>
        <w:t>Form</w:t>
      </w:r>
      <w:r>
        <w:rPr>
          <w:sz w:val="20"/>
          <w:szCs w:val="20"/>
          <w:color w:val="auto"/>
        </w:rPr>
        <w:tab/>
      </w:r>
      <w:r>
        <w:rPr>
          <w:rFonts w:ascii="Courier New" w:cs="Courier New" w:eastAsia="Courier New" w:hAnsi="Courier New"/>
          <w:sz w:val="15"/>
          <w:szCs w:val="15"/>
          <w:color w:val="auto"/>
        </w:rPr>
        <w:t>Date</w:t>
        <w:tab/>
        <w:t>Herewith</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180"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2.1</w:t>
            </w:r>
          </w:p>
        </w:tc>
        <w:tc>
          <w:tcPr>
            <w:tcW w:w="164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Share Purchase</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99"/>
              </w:rPr>
              <w:t>Agreement relating</w:t>
            </w:r>
          </w:p>
        </w:tc>
        <w:tc>
          <w:tcPr>
            <w:tcW w:w="1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to Ivron</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8-K</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10/3/01</w:t>
            </w:r>
          </w:p>
        </w:tc>
      </w:tr>
      <w:tr>
        <w:trPr>
          <w:trHeight w:val="171"/>
        </w:trPr>
        <w:tc>
          <w:tcPr>
            <w:tcW w:w="620" w:type="dxa"/>
            <w:vAlign w:val="bottom"/>
          </w:tcPr>
          <w:p>
            <w:pPr>
              <w:spacing w:after="0"/>
              <w:rPr>
                <w:sz w:val="14"/>
                <w:szCs w:val="14"/>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5"/>
                <w:szCs w:val="15"/>
                <w:color w:val="auto"/>
              </w:rPr>
              <w:t>Systems</w:t>
            </w:r>
          </w:p>
        </w:tc>
        <w:tc>
          <w:tcPr>
            <w:tcW w:w="23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Ltd. by and among Michael</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Peirce,</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Alex</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1020" w:type="dxa"/>
            <w:vAlign w:val="bottom"/>
          </w:tcPr>
          <w:p>
            <w:pPr>
              <w:ind w:left="340"/>
              <w:spacing w:after="0"/>
              <w:rPr>
                <w:sz w:val="20"/>
                <w:szCs w:val="20"/>
                <w:color w:val="auto"/>
              </w:rPr>
            </w:pPr>
            <w:r>
              <w:rPr>
                <w:rFonts w:ascii="Courier New" w:cs="Courier New" w:eastAsia="Courier New" w:hAnsi="Courier New"/>
                <w:sz w:val="15"/>
                <w:szCs w:val="15"/>
                <w:color w:val="auto"/>
              </w:rPr>
              <w:t>Peirce,</w:t>
            </w:r>
          </w:p>
        </w:tc>
        <w:tc>
          <w:tcPr>
            <w:tcW w:w="620" w:type="dxa"/>
            <w:vAlign w:val="bottom"/>
          </w:tcPr>
          <w:p>
            <w:pPr>
              <w:ind w:left="40"/>
              <w:spacing w:after="0"/>
              <w:rPr>
                <w:sz w:val="20"/>
                <w:szCs w:val="20"/>
                <w:color w:val="auto"/>
              </w:rPr>
            </w:pPr>
            <w:r>
              <w:rPr>
                <w:rFonts w:ascii="Courier New" w:cs="Courier New" w:eastAsia="Courier New" w:hAnsi="Courier New"/>
                <w:sz w:val="15"/>
                <w:szCs w:val="15"/>
                <w:color w:val="auto"/>
              </w:rPr>
              <w:t>Mentor</w:t>
            </w:r>
          </w:p>
        </w:tc>
        <w:tc>
          <w:tcPr>
            <w:tcW w:w="1680" w:type="dxa"/>
            <w:vAlign w:val="bottom"/>
          </w:tcPr>
          <w:p>
            <w:pPr>
              <w:jc w:val="right"/>
              <w:spacing w:after="0"/>
              <w:rPr>
                <w:sz w:val="20"/>
                <w:szCs w:val="20"/>
                <w:color w:val="auto"/>
              </w:rPr>
            </w:pPr>
            <w:r>
              <w:rPr>
                <w:rFonts w:ascii="Courier New" w:cs="Courier New" w:eastAsia="Courier New" w:hAnsi="Courier New"/>
                <w:sz w:val="15"/>
                <w:szCs w:val="15"/>
                <w:color w:val="auto"/>
                <w:w w:val="99"/>
              </w:rPr>
              <w:t>Capital Ltd., Dave</w:t>
            </w:r>
          </w:p>
        </w:tc>
        <w:tc>
          <w:tcPr>
            <w:tcW w:w="720" w:type="dxa"/>
            <w:vAlign w:val="bottom"/>
          </w:tcPr>
          <w:p>
            <w:pPr>
              <w:ind w:left="40"/>
              <w:spacing w:after="0"/>
              <w:rPr>
                <w:sz w:val="20"/>
                <w:szCs w:val="20"/>
                <w:color w:val="auto"/>
              </w:rPr>
            </w:pPr>
            <w:r>
              <w:rPr>
                <w:rFonts w:ascii="Courier New" w:cs="Courier New" w:eastAsia="Courier New" w:hAnsi="Courier New"/>
                <w:sz w:val="15"/>
                <w:szCs w:val="15"/>
                <w:color w:val="auto"/>
              </w:rPr>
              <w:t>Nelson,</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David</w:t>
            </w: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345" w:lineRule="exact"/>
        <w:rPr>
          <w:sz w:val="20"/>
          <w:szCs w:val="20"/>
          <w:color w:val="auto"/>
        </w:rPr>
      </w:pPr>
    </w:p>
    <w:p>
      <w:pPr>
        <w:ind w:left="169" w:hanging="169"/>
        <w:spacing w:after="0"/>
        <w:tabs>
          <w:tab w:leader="none" w:pos="169"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2" w:lineRule="exact"/>
        <w:rPr>
          <w:rFonts w:ascii="Courier New" w:cs="Courier New" w:eastAsia="Courier New" w:hAnsi="Courier New"/>
          <w:sz w:val="14"/>
          <w:szCs w:val="14"/>
          <w:color w:val="auto"/>
        </w:rPr>
      </w:pPr>
    </w:p>
    <w:p>
      <w:pPr>
        <w:ind w:left="969" w:right="5179" w:hanging="976"/>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2.2Agreement and Plan of Merger, by and among the registrant, E.mergent, Inc., and Tundra Acquisition Corporation (1)</w:t>
      </w:r>
    </w:p>
    <w:p>
      <w:pPr>
        <w:spacing w:after="0" w:line="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2" w:lineRule="exact"/>
        <w:rPr>
          <w:rFonts w:ascii="Courier New" w:cs="Courier New" w:eastAsia="Courier New" w:hAnsi="Courier New"/>
          <w:sz w:val="14"/>
          <w:szCs w:val="14"/>
          <w:color w:val="auto"/>
        </w:rPr>
      </w:pPr>
    </w:p>
    <w:p>
      <w:pPr>
        <w:ind w:left="969" w:right="4999" w:hanging="976"/>
        <w:spacing w:after="0" w:line="239"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2.3Amendment No. 1 to Agreement and Plan of Merger, dated as of March 29, 2002, by and among the registrant, E.mergent, Inc., and Tundra Acquisition (2)</w:t>
      </w:r>
    </w:p>
    <w:p>
      <w:pPr>
        <w:spacing w:after="0" w:line="5"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2.4</w:t>
            </w:r>
          </w:p>
        </w:tc>
        <w:tc>
          <w:tcPr>
            <w:tcW w:w="452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First Amendment to Share Purchase Agreement</w:t>
            </w:r>
          </w:p>
        </w:tc>
        <w:tc>
          <w:tcPr>
            <w:tcW w:w="1160" w:type="dxa"/>
            <w:vAlign w:val="bottom"/>
          </w:tcPr>
          <w:p>
            <w:pPr>
              <w:ind w:left="360"/>
              <w:spacing w:after="0"/>
              <w:rPr>
                <w:sz w:val="20"/>
                <w:szCs w:val="20"/>
                <w:color w:val="auto"/>
              </w:rPr>
            </w:pPr>
            <w:r>
              <w:rPr>
                <w:rFonts w:ascii="Courier New" w:cs="Courier New" w:eastAsia="Courier New" w:hAnsi="Courier New"/>
                <w:sz w:val="15"/>
                <w:szCs w:val="15"/>
                <w:color w:val="auto"/>
              </w:rPr>
              <w:t>8-K</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4/8/02</w:t>
            </w:r>
          </w:p>
        </w:tc>
      </w:tr>
      <w:tr>
        <w:trPr>
          <w:trHeight w:val="171"/>
        </w:trPr>
        <w:tc>
          <w:tcPr>
            <w:tcW w:w="620" w:type="dxa"/>
            <w:vAlign w:val="bottom"/>
          </w:tcPr>
          <w:p>
            <w:pPr>
              <w:spacing w:after="0"/>
              <w:rPr>
                <w:sz w:val="14"/>
                <w:szCs w:val="14"/>
                <w:color w:val="auto"/>
              </w:rPr>
            </w:pPr>
          </w:p>
        </w:tc>
        <w:tc>
          <w:tcPr>
            <w:tcW w:w="840" w:type="dxa"/>
            <w:vAlign w:val="bottom"/>
          </w:tcPr>
          <w:p>
            <w:pPr>
              <w:ind w:left="340"/>
              <w:spacing w:after="0"/>
              <w:rPr>
                <w:sz w:val="20"/>
                <w:szCs w:val="20"/>
                <w:color w:val="auto"/>
              </w:rPr>
            </w:pPr>
            <w:r>
              <w:rPr>
                <w:rFonts w:ascii="Courier New" w:cs="Courier New" w:eastAsia="Courier New" w:hAnsi="Courier New"/>
                <w:sz w:val="15"/>
                <w:szCs w:val="15"/>
                <w:color w:val="auto"/>
              </w:rPr>
              <w:t>among</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ClearOne</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Communications Inc., and the</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4520" w:type="dxa"/>
            <w:vAlign w:val="bottom"/>
            <w:gridSpan w:val="3"/>
          </w:tcPr>
          <w:p>
            <w:pPr>
              <w:ind w:left="340"/>
              <w:spacing w:after="0"/>
              <w:rPr>
                <w:sz w:val="20"/>
                <w:szCs w:val="20"/>
                <w:color w:val="auto"/>
              </w:rPr>
            </w:pPr>
            <w:r>
              <w:rPr>
                <w:rFonts w:ascii="Courier New" w:cs="Courier New" w:eastAsia="Courier New" w:hAnsi="Courier New"/>
                <w:sz w:val="15"/>
                <w:szCs w:val="15"/>
                <w:color w:val="auto"/>
              </w:rPr>
              <w:t>former shareholders of Ivron Systems, Ltd.,</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71"/>
        </w:trPr>
        <w:tc>
          <w:tcPr>
            <w:tcW w:w="620" w:type="dxa"/>
            <w:vAlign w:val="bottom"/>
          </w:tcPr>
          <w:p>
            <w:pPr>
              <w:spacing w:after="0"/>
              <w:rPr>
                <w:sz w:val="14"/>
                <w:szCs w:val="14"/>
                <w:color w:val="auto"/>
              </w:rPr>
            </w:pPr>
          </w:p>
        </w:tc>
        <w:tc>
          <w:tcPr>
            <w:tcW w:w="840" w:type="dxa"/>
            <w:vAlign w:val="bottom"/>
          </w:tcPr>
          <w:p>
            <w:pPr>
              <w:ind w:left="340"/>
              <w:spacing w:after="0"/>
              <w:rPr>
                <w:sz w:val="20"/>
                <w:szCs w:val="20"/>
                <w:color w:val="auto"/>
              </w:rPr>
            </w:pPr>
            <w:r>
              <w:rPr>
                <w:rFonts w:ascii="Courier New" w:cs="Courier New" w:eastAsia="Courier New" w:hAnsi="Courier New"/>
                <w:sz w:val="15"/>
                <w:szCs w:val="15"/>
                <w:color w:val="auto"/>
              </w:rPr>
              <w:t>dated</w:t>
            </w:r>
          </w:p>
        </w:tc>
        <w:tc>
          <w:tcPr>
            <w:tcW w:w="800" w:type="dxa"/>
            <w:vAlign w:val="bottom"/>
          </w:tcPr>
          <w:p>
            <w:pPr>
              <w:ind w:left="40"/>
              <w:spacing w:after="0"/>
              <w:rPr>
                <w:sz w:val="20"/>
                <w:szCs w:val="20"/>
                <w:color w:val="auto"/>
              </w:rPr>
            </w:pPr>
            <w:r>
              <w:rPr>
                <w:rFonts w:ascii="Courier New" w:cs="Courier New" w:eastAsia="Courier New" w:hAnsi="Courier New"/>
                <w:sz w:val="15"/>
                <w:szCs w:val="15"/>
                <w:color w:val="auto"/>
              </w:rPr>
              <w:t>April 8,</w:t>
            </w:r>
          </w:p>
        </w:tc>
        <w:tc>
          <w:tcPr>
            <w:tcW w:w="2880" w:type="dxa"/>
            <w:vAlign w:val="bottom"/>
          </w:tcPr>
          <w:p>
            <w:pPr>
              <w:ind w:left="40"/>
              <w:spacing w:after="0"/>
              <w:rPr>
                <w:sz w:val="20"/>
                <w:szCs w:val="20"/>
                <w:color w:val="auto"/>
              </w:rPr>
            </w:pPr>
            <w:r>
              <w:rPr>
                <w:rFonts w:ascii="Courier New" w:cs="Courier New" w:eastAsia="Courier New" w:hAnsi="Courier New"/>
                <w:sz w:val="15"/>
                <w:szCs w:val="15"/>
                <w:color w:val="auto"/>
              </w:rPr>
              <w:t>2002.</w:t>
            </w: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3.1</w:t>
            </w:r>
          </w:p>
        </w:tc>
        <w:tc>
          <w:tcPr>
            <w:tcW w:w="2960" w:type="dxa"/>
            <w:vAlign w:val="bottom"/>
          </w:tcPr>
          <w:p>
            <w:pPr>
              <w:ind w:left="340"/>
              <w:spacing w:after="0"/>
              <w:rPr>
                <w:sz w:val="20"/>
                <w:szCs w:val="20"/>
                <w:color w:val="auto"/>
              </w:rPr>
            </w:pPr>
            <w:r>
              <w:rPr>
                <w:rFonts w:ascii="Courier New" w:cs="Courier New" w:eastAsia="Courier New" w:hAnsi="Courier New"/>
                <w:sz w:val="15"/>
                <w:szCs w:val="15"/>
                <w:color w:val="auto"/>
                <w:w w:val="99"/>
              </w:rPr>
              <w:t>Articles of Incorporation and</w:t>
            </w:r>
          </w:p>
        </w:tc>
        <w:tc>
          <w:tcPr>
            <w:tcW w:w="1600" w:type="dxa"/>
            <w:vAlign w:val="bottom"/>
          </w:tcPr>
          <w:p>
            <w:pPr>
              <w:ind w:left="40"/>
              <w:spacing w:after="0"/>
              <w:rPr>
                <w:sz w:val="20"/>
                <w:szCs w:val="20"/>
                <w:color w:val="auto"/>
              </w:rPr>
            </w:pPr>
            <w:r>
              <w:rPr>
                <w:rFonts w:ascii="Courier New" w:cs="Courier New" w:eastAsia="Courier New" w:hAnsi="Courier New"/>
                <w:sz w:val="15"/>
                <w:szCs w:val="15"/>
                <w:color w:val="auto"/>
              </w:rPr>
              <w:t>all amendments</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rPr>
              <w:t>10-KSB</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06/30/89</w:t>
            </w:r>
          </w:p>
        </w:tc>
      </w:tr>
      <w:tr>
        <w:trPr>
          <w:trHeight w:val="171"/>
        </w:trPr>
        <w:tc>
          <w:tcPr>
            <w:tcW w:w="620" w:type="dxa"/>
            <w:vAlign w:val="bottom"/>
          </w:tcPr>
          <w:p>
            <w:pPr>
              <w:spacing w:after="0"/>
              <w:rPr>
                <w:sz w:val="14"/>
                <w:szCs w:val="14"/>
                <w:color w:val="auto"/>
              </w:rPr>
            </w:pPr>
          </w:p>
        </w:tc>
        <w:tc>
          <w:tcPr>
            <w:tcW w:w="2960" w:type="dxa"/>
            <w:vAlign w:val="bottom"/>
          </w:tcPr>
          <w:p>
            <w:pPr>
              <w:ind w:left="340"/>
              <w:spacing w:after="0"/>
              <w:rPr>
                <w:sz w:val="20"/>
                <w:szCs w:val="20"/>
                <w:color w:val="auto"/>
              </w:rPr>
            </w:pPr>
            <w:r>
              <w:rPr>
                <w:rFonts w:ascii="Courier New" w:cs="Courier New" w:eastAsia="Courier New" w:hAnsi="Courier New"/>
                <w:sz w:val="15"/>
                <w:szCs w:val="15"/>
                <w:color w:val="auto"/>
                <w:w w:val="99"/>
              </w:rPr>
              <w:t>thereto through March 1, 1988</w:t>
            </w:r>
          </w:p>
        </w:tc>
        <w:tc>
          <w:tcPr>
            <w:tcW w:w="16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ind w:left="9"/>
        <w:spacing w:after="0"/>
        <w:tabs>
          <w:tab w:leader="none" w:pos="949" w:val="left"/>
          <w:tab w:leader="none" w:pos="5489" w:val="left"/>
          <w:tab w:leader="none" w:pos="6809"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5"/>
          <w:szCs w:val="15"/>
          <w:color w:val="auto"/>
        </w:rPr>
        <w:t>Amendment to Articles of Incorporation, dated</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5"/>
          <w:szCs w:val="15"/>
          <w:color w:val="auto"/>
        </w:rPr>
        <w:t>06/30/91</w:t>
      </w:r>
    </w:p>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July 1, 1991.</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ind w:left="9"/>
        <w:spacing w:after="0"/>
        <w:tabs>
          <w:tab w:leader="none" w:pos="949" w:val="left"/>
          <w:tab w:leader="none" w:pos="5489" w:val="left"/>
          <w:tab w:leader="none" w:pos="6809"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5"/>
          <w:szCs w:val="15"/>
          <w:color w:val="auto"/>
        </w:rPr>
        <w:t>Amended bylaws</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5"/>
          <w:szCs w:val="15"/>
          <w:color w:val="auto"/>
        </w:rPr>
        <w:t>06/30/93</w:t>
      </w:r>
    </w:p>
    <w:p>
      <w:pPr>
        <w:spacing w:after="0" w:line="3" w:lineRule="exact"/>
        <w:rPr>
          <w:sz w:val="20"/>
          <w:szCs w:val="20"/>
          <w:color w:val="auto"/>
        </w:rPr>
      </w:pPr>
    </w:p>
    <w:p>
      <w:pPr>
        <w:ind w:left="169" w:hanging="169"/>
        <w:spacing w:after="0"/>
        <w:tabs>
          <w:tab w:leader="none" w:pos="169"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2" w:lineRule="exact"/>
        <w:rPr>
          <w:rFonts w:ascii="Courier New" w:cs="Courier New" w:eastAsia="Courier New" w:hAnsi="Courier New"/>
          <w:sz w:val="14"/>
          <w:szCs w:val="14"/>
          <w:color w:val="auto"/>
        </w:rPr>
      </w:pPr>
    </w:p>
    <w:p>
      <w:pPr>
        <w:ind w:left="969" w:right="5179" w:hanging="976"/>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5.1Opinion of Jones, Waldo, Holbrook &amp; McDonough, P.C.(5)</w:t>
      </w:r>
    </w:p>
    <w:p>
      <w:pPr>
        <w:spacing w:after="0" w:line="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20" w:type="dxa"/>
            <w:vAlign w:val="bottom"/>
          </w:tcPr>
          <w:p>
            <w:pPr>
              <w:jc w:val="right"/>
              <w:ind w:right="286"/>
              <w:spacing w:after="0"/>
              <w:rPr>
                <w:sz w:val="20"/>
                <w:szCs w:val="20"/>
                <w:color w:val="auto"/>
              </w:rPr>
            </w:pPr>
            <w:r>
              <w:rPr>
                <w:rFonts w:ascii="Courier New" w:cs="Courier New" w:eastAsia="Courier New" w:hAnsi="Courier New"/>
                <w:sz w:val="15"/>
                <w:szCs w:val="15"/>
                <w:color w:val="auto"/>
                <w:w w:val="88"/>
              </w:rPr>
              <w:t>8.1</w:t>
            </w:r>
          </w:p>
        </w:tc>
        <w:tc>
          <w:tcPr>
            <w:tcW w:w="1640" w:type="dxa"/>
            <w:vAlign w:val="bottom"/>
          </w:tcPr>
          <w:p>
            <w:pPr>
              <w:ind w:left="340"/>
              <w:spacing w:after="0"/>
              <w:rPr>
                <w:sz w:val="20"/>
                <w:szCs w:val="20"/>
                <w:color w:val="auto"/>
              </w:rPr>
            </w:pPr>
            <w:r>
              <w:rPr>
                <w:rFonts w:ascii="Courier New" w:cs="Courier New" w:eastAsia="Courier New" w:hAnsi="Courier New"/>
                <w:sz w:val="15"/>
                <w:szCs w:val="15"/>
                <w:color w:val="auto"/>
              </w:rPr>
              <w:t>Tax Opinion of</w:t>
            </w:r>
          </w:p>
        </w:tc>
        <w:tc>
          <w:tcPr>
            <w:tcW w:w="3940" w:type="dxa"/>
            <w:vAlign w:val="bottom"/>
          </w:tcPr>
          <w:p>
            <w:pPr>
              <w:ind w:left="40"/>
              <w:spacing w:after="0"/>
              <w:rPr>
                <w:sz w:val="20"/>
                <w:szCs w:val="20"/>
                <w:color w:val="auto"/>
              </w:rPr>
            </w:pPr>
            <w:r>
              <w:rPr>
                <w:rFonts w:ascii="Courier New" w:cs="Courier New" w:eastAsia="Courier New" w:hAnsi="Courier New"/>
                <w:sz w:val="15"/>
                <w:szCs w:val="15"/>
                <w:color w:val="auto"/>
              </w:rPr>
              <w:t>Jones, Waldo, Holbrook &amp;</w:t>
            </w:r>
          </w:p>
        </w:tc>
        <w:tc>
          <w:tcPr>
            <w:tcW w:w="1860" w:type="dxa"/>
            <w:vAlign w:val="bottom"/>
          </w:tcPr>
          <w:p>
            <w:pPr>
              <w:ind w:left="1780"/>
              <w:spacing w:after="0"/>
              <w:rPr>
                <w:sz w:val="20"/>
                <w:szCs w:val="20"/>
                <w:color w:val="auto"/>
              </w:rPr>
            </w:pPr>
            <w:r>
              <w:rPr>
                <w:rFonts w:ascii="Courier New" w:cs="Courier New" w:eastAsia="Courier New" w:hAnsi="Courier New"/>
                <w:sz w:val="14"/>
                <w:szCs w:val="14"/>
                <w:color w:val="auto"/>
                <w:w w:val="70"/>
              </w:rPr>
              <w:t>X</w:t>
            </w:r>
          </w:p>
        </w:tc>
      </w:tr>
      <w:tr>
        <w:trPr>
          <w:trHeight w:val="171"/>
        </w:trPr>
        <w:tc>
          <w:tcPr>
            <w:tcW w:w="620" w:type="dxa"/>
            <w:vAlign w:val="bottom"/>
          </w:tcPr>
          <w:p>
            <w:pPr>
              <w:spacing w:after="0"/>
              <w:rPr>
                <w:sz w:val="14"/>
                <w:szCs w:val="14"/>
                <w:color w:val="auto"/>
              </w:rPr>
            </w:pPr>
          </w:p>
        </w:tc>
        <w:tc>
          <w:tcPr>
            <w:tcW w:w="1640" w:type="dxa"/>
            <w:vAlign w:val="bottom"/>
          </w:tcPr>
          <w:p>
            <w:pPr>
              <w:ind w:left="340"/>
              <w:spacing w:after="0"/>
              <w:rPr>
                <w:sz w:val="20"/>
                <w:szCs w:val="20"/>
                <w:color w:val="auto"/>
              </w:rPr>
            </w:pPr>
            <w:r>
              <w:rPr>
                <w:rFonts w:ascii="Courier New" w:cs="Courier New" w:eastAsia="Courier New" w:hAnsi="Courier New"/>
                <w:sz w:val="15"/>
                <w:szCs w:val="15"/>
                <w:color w:val="auto"/>
              </w:rPr>
              <w:t>McDonough, P.C</w:t>
            </w:r>
          </w:p>
        </w:tc>
        <w:tc>
          <w:tcPr>
            <w:tcW w:w="3940" w:type="dxa"/>
            <w:vAlign w:val="bottom"/>
          </w:tcPr>
          <w:p>
            <w:pPr>
              <w:spacing w:after="0"/>
              <w:rPr>
                <w:sz w:val="14"/>
                <w:szCs w:val="14"/>
                <w:color w:val="auto"/>
              </w:rPr>
            </w:pPr>
          </w:p>
        </w:tc>
        <w:tc>
          <w:tcPr>
            <w:tcW w:w="1860" w:type="dxa"/>
            <w:vAlign w:val="bottom"/>
          </w:tcPr>
          <w:p>
            <w:pPr>
              <w:spacing w:after="0"/>
              <w:rPr>
                <w:sz w:val="14"/>
                <w:szCs w:val="14"/>
                <w:color w:val="auto"/>
              </w:rPr>
            </w:pP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ind w:left="9"/>
        <w:spacing w:after="0"/>
        <w:tabs>
          <w:tab w:leader="none" w:pos="949" w:val="left"/>
          <w:tab w:leader="none" w:pos="7969"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5"/>
          <w:szCs w:val="15"/>
          <w:color w:val="auto"/>
        </w:rPr>
        <w:t>Tax Opinion of Fredrikson &amp; Byron, P.A.</w:t>
      </w:r>
      <w:r>
        <w:rPr>
          <w:sz w:val="20"/>
          <w:szCs w:val="20"/>
          <w:color w:val="auto"/>
        </w:rPr>
        <w:tab/>
      </w:r>
      <w:r>
        <w:rPr>
          <w:rFonts w:ascii="Courier New" w:cs="Courier New" w:eastAsia="Courier New" w:hAnsi="Courier New"/>
          <w:sz w:val="13"/>
          <w:szCs w:val="13"/>
          <w:color w:val="auto"/>
        </w:rPr>
        <w:t>X</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10.1</w:t>
            </w:r>
          </w:p>
        </w:tc>
        <w:tc>
          <w:tcPr>
            <w:tcW w:w="274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VRC-1000 Purchase Agreement</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rPr>
              <w:t>between Gentner</w:t>
            </w:r>
          </w:p>
        </w:tc>
        <w:tc>
          <w:tcPr>
            <w:tcW w:w="1140" w:type="dxa"/>
            <w:vAlign w:val="bottom"/>
          </w:tcPr>
          <w:p>
            <w:pPr>
              <w:ind w:left="220"/>
              <w:spacing w:after="0"/>
              <w:rPr>
                <w:sz w:val="20"/>
                <w:szCs w:val="20"/>
                <w:color w:val="auto"/>
              </w:rPr>
            </w:pPr>
            <w:r>
              <w:rPr>
                <w:rFonts w:ascii="Courier New" w:cs="Courier New" w:eastAsia="Courier New" w:hAnsi="Courier New"/>
                <w:sz w:val="15"/>
                <w:szCs w:val="15"/>
                <w:color w:val="auto"/>
              </w:rPr>
              <w:t>10-KSB</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06/30/89</w:t>
            </w:r>
          </w:p>
        </w:tc>
      </w:tr>
      <w:tr>
        <w:trPr>
          <w:trHeight w:val="171"/>
        </w:trPr>
        <w:tc>
          <w:tcPr>
            <w:tcW w:w="660" w:type="dxa"/>
            <w:vAlign w:val="bottom"/>
          </w:tcPr>
          <w:p>
            <w:pPr>
              <w:spacing w:after="0"/>
              <w:rPr>
                <w:sz w:val="14"/>
                <w:szCs w:val="14"/>
                <w:color w:val="auto"/>
              </w:rPr>
            </w:pPr>
          </w:p>
        </w:tc>
        <w:tc>
          <w:tcPr>
            <w:tcW w:w="462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Engineering Company, Inc. (a former subsidiary</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2400" w:type="dxa"/>
            <w:vAlign w:val="bottom"/>
          </w:tcPr>
          <w:p>
            <w:pPr>
              <w:ind w:left="300"/>
              <w:spacing w:after="0"/>
              <w:rPr>
                <w:sz w:val="20"/>
                <w:szCs w:val="20"/>
                <w:color w:val="auto"/>
              </w:rPr>
            </w:pPr>
            <w:r>
              <w:rPr>
                <w:rFonts w:ascii="Courier New" w:cs="Courier New" w:eastAsia="Courier New" w:hAnsi="Courier New"/>
                <w:sz w:val="15"/>
                <w:szCs w:val="15"/>
                <w:color w:val="auto"/>
              </w:rPr>
              <w:t>of the registrant which</w:t>
            </w:r>
          </w:p>
        </w:tc>
        <w:tc>
          <w:tcPr>
            <w:tcW w:w="340" w:type="dxa"/>
            <w:vAlign w:val="bottom"/>
          </w:tcPr>
          <w:p>
            <w:pPr>
              <w:ind w:left="40"/>
              <w:spacing w:after="0"/>
              <w:rPr>
                <w:sz w:val="20"/>
                <w:szCs w:val="20"/>
                <w:color w:val="auto"/>
              </w:rPr>
            </w:pPr>
            <w:r>
              <w:rPr>
                <w:rFonts w:ascii="Courier New" w:cs="Courier New" w:eastAsia="Courier New" w:hAnsi="Courier New"/>
                <w:sz w:val="15"/>
                <w:szCs w:val="15"/>
                <w:color w:val="auto"/>
              </w:rPr>
              <w:t>was</w:t>
            </w:r>
          </w:p>
        </w:tc>
        <w:tc>
          <w:tcPr>
            <w:tcW w:w="1880" w:type="dxa"/>
            <w:vAlign w:val="bottom"/>
          </w:tcPr>
          <w:p>
            <w:pPr>
              <w:ind w:left="60"/>
              <w:spacing w:after="0"/>
              <w:rPr>
                <w:sz w:val="20"/>
                <w:szCs w:val="20"/>
                <w:color w:val="auto"/>
              </w:rPr>
            </w:pPr>
            <w:r>
              <w:rPr>
                <w:rFonts w:ascii="Courier New" w:cs="Courier New" w:eastAsia="Courier New" w:hAnsi="Courier New"/>
                <w:sz w:val="15"/>
                <w:szCs w:val="15"/>
                <w:color w:val="auto"/>
              </w:rPr>
              <w:t>merged into the</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2400" w:type="dxa"/>
            <w:vAlign w:val="bottom"/>
          </w:tcPr>
          <w:p>
            <w:pPr>
              <w:ind w:left="300"/>
              <w:spacing w:after="0"/>
              <w:rPr>
                <w:sz w:val="20"/>
                <w:szCs w:val="20"/>
                <w:color w:val="auto"/>
              </w:rPr>
            </w:pPr>
            <w:r>
              <w:rPr>
                <w:rFonts w:ascii="Courier New" w:cs="Courier New" w:eastAsia="Courier New" w:hAnsi="Courier New"/>
                <w:sz w:val="15"/>
                <w:szCs w:val="15"/>
                <w:color w:val="auto"/>
              </w:rPr>
              <w:t>registrant) and Gentner</w:t>
            </w:r>
          </w:p>
        </w:tc>
        <w:tc>
          <w:tcPr>
            <w:tcW w:w="2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Research Ltd., dated</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2400" w:type="dxa"/>
            <w:vAlign w:val="bottom"/>
          </w:tcPr>
          <w:p>
            <w:pPr>
              <w:ind w:left="300"/>
              <w:spacing w:after="0"/>
              <w:rPr>
                <w:sz w:val="20"/>
                <w:szCs w:val="20"/>
                <w:color w:val="auto"/>
              </w:rPr>
            </w:pPr>
            <w:r>
              <w:rPr>
                <w:rFonts w:ascii="Courier New" w:cs="Courier New" w:eastAsia="Courier New" w:hAnsi="Courier New"/>
                <w:sz w:val="15"/>
                <w:szCs w:val="15"/>
                <w:color w:val="auto"/>
              </w:rPr>
              <w:t>January 1, 1987</w:t>
            </w:r>
          </w:p>
        </w:tc>
        <w:tc>
          <w:tcPr>
            <w:tcW w:w="3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10.2</w:t>
            </w:r>
          </w:p>
        </w:tc>
        <w:tc>
          <w:tcPr>
            <w:tcW w:w="980" w:type="dxa"/>
            <w:vAlign w:val="bottom"/>
          </w:tcPr>
          <w:p>
            <w:pPr>
              <w:ind w:left="300"/>
              <w:spacing w:after="0"/>
              <w:rPr>
                <w:sz w:val="20"/>
                <w:szCs w:val="20"/>
                <w:color w:val="auto"/>
              </w:rPr>
            </w:pPr>
            <w:r>
              <w:rPr>
                <w:rFonts w:ascii="Courier New" w:cs="Courier New" w:eastAsia="Courier New" w:hAnsi="Courier New"/>
                <w:sz w:val="15"/>
                <w:szCs w:val="15"/>
                <w:color w:val="auto"/>
              </w:rPr>
              <w:t>Digital</w:t>
            </w:r>
          </w:p>
        </w:tc>
        <w:tc>
          <w:tcPr>
            <w:tcW w:w="36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Hybrid Purchase Agreement between</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10-KSB</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06/30/91</w:t>
            </w:r>
          </w:p>
        </w:tc>
      </w:tr>
      <w:tr>
        <w:trPr>
          <w:trHeight w:val="171"/>
        </w:trPr>
        <w:tc>
          <w:tcPr>
            <w:tcW w:w="660" w:type="dxa"/>
            <w:vAlign w:val="bottom"/>
          </w:tcPr>
          <w:p>
            <w:pPr>
              <w:spacing w:after="0"/>
              <w:rPr>
                <w:sz w:val="14"/>
                <w:szCs w:val="14"/>
                <w:color w:val="auto"/>
              </w:rPr>
            </w:pPr>
          </w:p>
        </w:tc>
        <w:tc>
          <w:tcPr>
            <w:tcW w:w="980" w:type="dxa"/>
            <w:vAlign w:val="bottom"/>
          </w:tcPr>
          <w:p>
            <w:pPr>
              <w:ind w:left="300"/>
              <w:spacing w:after="0"/>
              <w:rPr>
                <w:sz w:val="20"/>
                <w:szCs w:val="20"/>
                <w:color w:val="auto"/>
              </w:rPr>
            </w:pPr>
            <w:r>
              <w:rPr>
                <w:rFonts w:ascii="Courier New" w:cs="Courier New" w:eastAsia="Courier New" w:hAnsi="Courier New"/>
                <w:sz w:val="15"/>
                <w:szCs w:val="15"/>
                <w:color w:val="auto"/>
              </w:rPr>
              <w:t>Gentner</w:t>
            </w:r>
          </w:p>
        </w:tc>
        <w:tc>
          <w:tcPr>
            <w:tcW w:w="1940" w:type="dxa"/>
            <w:vAlign w:val="bottom"/>
          </w:tcPr>
          <w:p>
            <w:pPr>
              <w:ind w:left="40"/>
              <w:spacing w:after="0"/>
              <w:rPr>
                <w:sz w:val="20"/>
                <w:szCs w:val="20"/>
                <w:color w:val="auto"/>
              </w:rPr>
            </w:pPr>
            <w:r>
              <w:rPr>
                <w:rFonts w:ascii="Courier New" w:cs="Courier New" w:eastAsia="Courier New" w:hAnsi="Courier New"/>
                <w:sz w:val="15"/>
                <w:szCs w:val="15"/>
                <w:color w:val="auto"/>
                <w:w w:val="99"/>
              </w:rPr>
              <w:t>Engineering, Inc. and</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Gentner Research,</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292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Ltd., dated September 8, 1988</w:t>
            </w:r>
          </w:p>
        </w:tc>
        <w:tc>
          <w:tcPr>
            <w:tcW w:w="1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ind w:left="9"/>
        <w:spacing w:after="0"/>
        <w:tabs>
          <w:tab w:leader="none" w:pos="949" w:val="left"/>
          <w:tab w:leader="none" w:pos="5489" w:val="left"/>
          <w:tab w:leader="none" w:pos="6809"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5"/>
          <w:szCs w:val="15"/>
          <w:color w:val="auto"/>
        </w:rPr>
        <w:t>1990 Incentive Plan, as amended August 7, 1996</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5"/>
          <w:szCs w:val="15"/>
          <w:color w:val="auto"/>
        </w:rPr>
        <w:t>06/30/96</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ind w:left="9"/>
        <w:spacing w:after="0"/>
        <w:tabs>
          <w:tab w:leader="none" w:pos="949" w:val="left"/>
          <w:tab w:leader="none" w:pos="5489" w:val="left"/>
          <w:tab w:leader="none" w:pos="6809" w:val="left"/>
        </w:tabs>
        <w:rPr>
          <w:sz w:val="20"/>
          <w:szCs w:val="20"/>
          <w:color w:val="auto"/>
        </w:rPr>
      </w:pPr>
      <w:r>
        <w:rPr>
          <w:rFonts w:ascii="Courier New" w:cs="Courier New" w:eastAsia="Courier New" w:hAnsi="Courier New"/>
          <w:sz w:val="15"/>
          <w:szCs w:val="15"/>
          <w:color w:val="auto"/>
        </w:rPr>
        <w:t>10.4</w:t>
      </w:r>
      <w:r>
        <w:rPr>
          <w:sz w:val="20"/>
          <w:szCs w:val="20"/>
          <w:color w:val="auto"/>
        </w:rPr>
        <w:tab/>
      </w:r>
      <w:r>
        <w:rPr>
          <w:rFonts w:ascii="Courier New" w:cs="Courier New" w:eastAsia="Courier New" w:hAnsi="Courier New"/>
          <w:sz w:val="15"/>
          <w:szCs w:val="15"/>
          <w:color w:val="auto"/>
        </w:rPr>
        <w:t>1997 Employee Stock Purchase Plan</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5"/>
          <w:szCs w:val="15"/>
          <w:color w:val="auto"/>
        </w:rPr>
        <w:t>06/30/97</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10.5</w:t>
            </w:r>
          </w:p>
        </w:tc>
        <w:tc>
          <w:tcPr>
            <w:tcW w:w="5760" w:type="dxa"/>
            <w:vAlign w:val="bottom"/>
          </w:tcPr>
          <w:p>
            <w:pPr>
              <w:ind w:left="300"/>
              <w:spacing w:after="0"/>
              <w:rPr>
                <w:sz w:val="20"/>
                <w:szCs w:val="20"/>
                <w:color w:val="auto"/>
              </w:rPr>
            </w:pPr>
            <w:r>
              <w:rPr>
                <w:rFonts w:ascii="Courier New" w:cs="Courier New" w:eastAsia="Courier New" w:hAnsi="Courier New"/>
                <w:sz w:val="15"/>
                <w:szCs w:val="15"/>
                <w:color w:val="auto"/>
              </w:rPr>
              <w:t>Lease between the Registrant and Valley American   10-KSB</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06/30/97</w:t>
            </w:r>
          </w:p>
        </w:tc>
      </w:tr>
      <w:tr>
        <w:trPr>
          <w:trHeight w:val="171"/>
        </w:trPr>
        <w:tc>
          <w:tcPr>
            <w:tcW w:w="660" w:type="dxa"/>
            <w:vAlign w:val="bottom"/>
          </w:tcPr>
          <w:p>
            <w:pPr>
              <w:spacing w:after="0"/>
              <w:rPr>
                <w:sz w:val="14"/>
                <w:szCs w:val="14"/>
                <w:color w:val="auto"/>
              </w:rPr>
            </w:pPr>
          </w:p>
        </w:tc>
        <w:tc>
          <w:tcPr>
            <w:tcW w:w="5760" w:type="dxa"/>
            <w:vAlign w:val="bottom"/>
          </w:tcPr>
          <w:p>
            <w:pPr>
              <w:ind w:left="300"/>
              <w:spacing w:after="0"/>
              <w:rPr>
                <w:sz w:val="20"/>
                <w:szCs w:val="20"/>
                <w:color w:val="auto"/>
              </w:rPr>
            </w:pPr>
            <w:r>
              <w:rPr>
                <w:rFonts w:ascii="Courier New" w:cs="Courier New" w:eastAsia="Courier New" w:hAnsi="Courier New"/>
                <w:sz w:val="15"/>
                <w:szCs w:val="15"/>
                <w:color w:val="auto"/>
              </w:rPr>
              <w:t>Investment Company</w:t>
            </w:r>
          </w:p>
        </w:tc>
        <w:tc>
          <w:tcPr>
            <w:tcW w:w="1120" w:type="dxa"/>
            <w:vAlign w:val="bottom"/>
          </w:tcPr>
          <w:p>
            <w:pPr>
              <w:spacing w:after="0"/>
              <w:rPr>
                <w:sz w:val="14"/>
                <w:szCs w:val="14"/>
                <w:color w:val="auto"/>
              </w:rPr>
            </w:pP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ind w:left="9"/>
        <w:spacing w:after="0"/>
        <w:tabs>
          <w:tab w:leader="none" w:pos="949" w:val="left"/>
          <w:tab w:leader="none" w:pos="5489" w:val="left"/>
          <w:tab w:leader="none" w:pos="6809" w:val="left"/>
        </w:tabs>
        <w:rPr>
          <w:sz w:val="20"/>
          <w:szCs w:val="20"/>
          <w:color w:val="auto"/>
        </w:rPr>
      </w:pPr>
      <w:r>
        <w:rPr>
          <w:rFonts w:ascii="Courier New" w:cs="Courier New" w:eastAsia="Courier New" w:hAnsi="Courier New"/>
          <w:sz w:val="15"/>
          <w:szCs w:val="15"/>
          <w:color w:val="auto"/>
        </w:rPr>
        <w:t>10.6</w:t>
      </w:r>
      <w:r>
        <w:rPr>
          <w:sz w:val="20"/>
          <w:szCs w:val="20"/>
          <w:color w:val="auto"/>
        </w:rPr>
        <w:tab/>
      </w:r>
      <w:r>
        <w:rPr>
          <w:rFonts w:ascii="Courier New" w:cs="Courier New" w:eastAsia="Courier New" w:hAnsi="Courier New"/>
          <w:sz w:val="15"/>
          <w:szCs w:val="15"/>
          <w:color w:val="auto"/>
        </w:rPr>
        <w:t>1998 Stock Option Plan and Form of Grant</w:t>
      </w:r>
      <w:r>
        <w:rPr>
          <w:sz w:val="20"/>
          <w:szCs w:val="20"/>
          <w:color w:val="auto"/>
        </w:rPr>
        <w:tab/>
      </w:r>
      <w:r>
        <w:rPr>
          <w:rFonts w:ascii="Courier New" w:cs="Courier New" w:eastAsia="Courier New" w:hAnsi="Courier New"/>
          <w:sz w:val="15"/>
          <w:szCs w:val="15"/>
          <w:color w:val="auto"/>
        </w:rPr>
        <w:t>10-KSB</w:t>
      </w:r>
      <w:r>
        <w:rPr>
          <w:sz w:val="20"/>
          <w:szCs w:val="20"/>
          <w:color w:val="auto"/>
        </w:rPr>
        <w:tab/>
      </w:r>
      <w:r>
        <w:rPr>
          <w:rFonts w:ascii="Courier New" w:cs="Courier New" w:eastAsia="Courier New" w:hAnsi="Courier New"/>
          <w:sz w:val="15"/>
          <w:szCs w:val="15"/>
          <w:color w:val="auto"/>
        </w:rPr>
        <w:t>06/30/98</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ind w:left="9"/>
        <w:spacing w:after="0"/>
        <w:tabs>
          <w:tab w:leader="none" w:pos="949" w:val="left"/>
          <w:tab w:leader="none" w:pos="5489" w:val="left"/>
          <w:tab w:leader="none" w:pos="6809" w:val="left"/>
        </w:tabs>
        <w:rPr>
          <w:sz w:val="20"/>
          <w:szCs w:val="20"/>
          <w:color w:val="auto"/>
        </w:rPr>
      </w:pPr>
      <w:r>
        <w:rPr>
          <w:rFonts w:ascii="Courier New" w:cs="Courier New" w:eastAsia="Courier New" w:hAnsi="Courier New"/>
          <w:sz w:val="15"/>
          <w:szCs w:val="15"/>
          <w:color w:val="auto"/>
        </w:rPr>
        <w:t>10.7</w:t>
      </w:r>
      <w:r>
        <w:rPr>
          <w:sz w:val="20"/>
          <w:szCs w:val="20"/>
          <w:color w:val="auto"/>
        </w:rPr>
        <w:tab/>
      </w:r>
      <w:r>
        <w:rPr>
          <w:rFonts w:ascii="Courier New" w:cs="Courier New" w:eastAsia="Courier New" w:hAnsi="Courier New"/>
          <w:sz w:val="15"/>
          <w:szCs w:val="15"/>
          <w:color w:val="auto"/>
        </w:rPr>
        <w:t>Promissory Note, Loan Agreement, and Commercial</w:t>
      </w:r>
      <w:r>
        <w:rPr>
          <w:sz w:val="20"/>
          <w:szCs w:val="20"/>
          <w:color w:val="auto"/>
        </w:rPr>
        <w:tab/>
      </w:r>
      <w:r>
        <w:rPr>
          <w:rFonts w:ascii="Courier New" w:cs="Courier New" w:eastAsia="Courier New" w:hAnsi="Courier New"/>
          <w:sz w:val="15"/>
          <w:szCs w:val="15"/>
          <w:color w:val="auto"/>
        </w:rPr>
        <w:t>10-QSB</w:t>
      </w:r>
      <w:r>
        <w:rPr>
          <w:sz w:val="20"/>
          <w:szCs w:val="20"/>
          <w:color w:val="auto"/>
        </w:rPr>
        <w:tab/>
      </w:r>
      <w:r>
        <w:rPr>
          <w:rFonts w:ascii="Courier New" w:cs="Courier New" w:eastAsia="Courier New" w:hAnsi="Courier New"/>
          <w:sz w:val="15"/>
          <w:szCs w:val="15"/>
          <w:color w:val="auto"/>
        </w:rPr>
        <w:t>12/31/98</w:t>
      </w:r>
    </w:p>
    <w:p>
      <w:pPr>
        <w:spacing w:after="0" w:line="1" w:lineRule="exact"/>
        <w:rPr>
          <w:sz w:val="20"/>
          <w:szCs w:val="20"/>
          <w:color w:val="auto"/>
        </w:rPr>
      </w:pPr>
    </w:p>
    <w:tbl>
      <w:tblPr>
        <w:tblLayout w:type="fixed"/>
        <w:tblInd w:w="969" w:type="dxa"/>
        <w:tblCellMar>
          <w:top w:w="0" w:type="dxa"/>
          <w:left w:w="0" w:type="dxa"/>
          <w:bottom w:w="0" w:type="dxa"/>
          <w:right w:w="0" w:type="dxa"/>
        </w:tblCellMar>
      </w:tblPr>
      <w:tr>
        <w:trPr>
          <w:trHeight w:val="170"/>
        </w:trPr>
        <w:tc>
          <w:tcPr>
            <w:tcW w:w="2360" w:type="dxa"/>
            <w:vAlign w:val="bottom"/>
          </w:tcPr>
          <w:p>
            <w:pPr>
              <w:spacing w:after="0"/>
              <w:rPr>
                <w:sz w:val="20"/>
                <w:szCs w:val="20"/>
                <w:color w:val="auto"/>
              </w:rPr>
            </w:pPr>
            <w:r>
              <w:rPr>
                <w:rFonts w:ascii="Courier New" w:cs="Courier New" w:eastAsia="Courier New" w:hAnsi="Courier New"/>
                <w:sz w:val="15"/>
                <w:szCs w:val="15"/>
                <w:color w:val="auto"/>
                <w:w w:val="99"/>
              </w:rPr>
              <w:t>Security Agreement between</w:t>
            </w:r>
          </w:p>
        </w:tc>
        <w:tc>
          <w:tcPr>
            <w:tcW w:w="19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Registrant and</w:t>
            </w:r>
          </w:p>
        </w:tc>
      </w:tr>
      <w:tr>
        <w:trPr>
          <w:trHeight w:val="171"/>
        </w:trPr>
        <w:tc>
          <w:tcPr>
            <w:tcW w:w="2360" w:type="dxa"/>
            <w:vAlign w:val="bottom"/>
          </w:tcPr>
          <w:p>
            <w:pPr>
              <w:spacing w:after="0"/>
              <w:rPr>
                <w:sz w:val="20"/>
                <w:szCs w:val="20"/>
                <w:color w:val="auto"/>
              </w:rPr>
            </w:pPr>
            <w:r>
              <w:rPr>
                <w:rFonts w:ascii="Courier New" w:cs="Courier New" w:eastAsia="Courier New" w:hAnsi="Courier New"/>
                <w:sz w:val="15"/>
                <w:szCs w:val="15"/>
                <w:color w:val="auto"/>
                <w:w w:val="99"/>
              </w:rPr>
              <w:t>Bank One, Utah, N.A. dated</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as</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w w:val="97"/>
              </w:rPr>
              <w:t>of January 5, 1999</w:t>
            </w:r>
          </w:p>
        </w:tc>
      </w:tr>
      <w:tr>
        <w:trPr>
          <w:trHeight w:val="171"/>
        </w:trPr>
        <w:tc>
          <w:tcPr>
            <w:tcW w:w="2360" w:type="dxa"/>
            <w:vAlign w:val="bottom"/>
          </w:tcPr>
          <w:p>
            <w:pPr>
              <w:spacing w:after="0"/>
              <w:rPr>
                <w:sz w:val="20"/>
                <w:szCs w:val="20"/>
                <w:color w:val="auto"/>
              </w:rPr>
            </w:pPr>
            <w:r>
              <w:rPr>
                <w:rFonts w:ascii="Courier New" w:cs="Courier New" w:eastAsia="Courier New" w:hAnsi="Courier New"/>
                <w:sz w:val="15"/>
                <w:szCs w:val="15"/>
                <w:color w:val="auto"/>
                <w:w w:val="99"/>
              </w:rPr>
              <w:t>(original aggregate amount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1640" w:type="dxa"/>
            <w:vAlign w:val="bottom"/>
          </w:tcPr>
          <w:p>
            <w:pPr>
              <w:ind w:left="40"/>
              <w:spacing w:after="0"/>
              <w:rPr>
                <w:sz w:val="20"/>
                <w:szCs w:val="20"/>
                <w:color w:val="auto"/>
              </w:rPr>
            </w:pPr>
            <w:r>
              <w:rPr>
                <w:rFonts w:ascii="Courier New" w:cs="Courier New" w:eastAsia="Courier New" w:hAnsi="Courier New"/>
                <w:sz w:val="15"/>
                <w:szCs w:val="15"/>
                <w:color w:val="auto"/>
              </w:rPr>
              <w:t>$5,000,000)</w:t>
            </w:r>
          </w:p>
        </w:tc>
      </w:tr>
    </w:tbl>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10.8</w:t>
            </w:r>
          </w:p>
        </w:tc>
        <w:tc>
          <w:tcPr>
            <w:tcW w:w="4660" w:type="dxa"/>
            <w:vAlign w:val="bottom"/>
          </w:tcPr>
          <w:p>
            <w:pPr>
              <w:ind w:left="300"/>
              <w:spacing w:after="0"/>
              <w:rPr>
                <w:sz w:val="20"/>
                <w:szCs w:val="20"/>
                <w:color w:val="auto"/>
              </w:rPr>
            </w:pPr>
            <w:r>
              <w:rPr>
                <w:rFonts w:ascii="Courier New" w:cs="Courier New" w:eastAsia="Courier New" w:hAnsi="Courier New"/>
                <w:sz w:val="15"/>
                <w:szCs w:val="15"/>
                <w:color w:val="auto"/>
              </w:rPr>
              <w:t>Third Addendum to Lease between the Registrant</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10-QSB</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12/31/00</w:t>
            </w:r>
          </w:p>
        </w:tc>
      </w:tr>
      <w:tr>
        <w:trPr>
          <w:trHeight w:val="171"/>
        </w:trPr>
        <w:tc>
          <w:tcPr>
            <w:tcW w:w="660" w:type="dxa"/>
            <w:vAlign w:val="bottom"/>
          </w:tcPr>
          <w:p>
            <w:pPr>
              <w:spacing w:after="0"/>
              <w:rPr>
                <w:sz w:val="14"/>
                <w:szCs w:val="14"/>
                <w:color w:val="auto"/>
              </w:rPr>
            </w:pPr>
          </w:p>
        </w:tc>
        <w:tc>
          <w:tcPr>
            <w:tcW w:w="4660" w:type="dxa"/>
            <w:vAlign w:val="bottom"/>
          </w:tcPr>
          <w:p>
            <w:pPr>
              <w:ind w:left="300"/>
              <w:spacing w:after="0"/>
              <w:rPr>
                <w:sz w:val="20"/>
                <w:szCs w:val="20"/>
                <w:color w:val="auto"/>
              </w:rPr>
            </w:pPr>
            <w:r>
              <w:rPr>
                <w:rFonts w:ascii="Courier New" w:cs="Courier New" w:eastAsia="Courier New" w:hAnsi="Courier New"/>
                <w:sz w:val="15"/>
                <w:szCs w:val="15"/>
                <w:color w:val="auto"/>
              </w:rPr>
              <w:t>and Valley American Investment Company dated as</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of September 18, 2000</w:t>
      </w:r>
    </w:p>
    <w:p>
      <w:pPr>
        <w:spacing w:after="0" w:line="3"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88"/>
              </w:rPr>
              <w:t>10.9</w:t>
            </w:r>
          </w:p>
        </w:tc>
        <w:tc>
          <w:tcPr>
            <w:tcW w:w="230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9"/>
              </w:rPr>
              <w:t>Modification Agreement</w:t>
            </w:r>
          </w:p>
        </w:tc>
        <w:tc>
          <w:tcPr>
            <w:tcW w:w="280" w:type="dxa"/>
            <w:vAlign w:val="bottom"/>
          </w:tcPr>
          <w:p>
            <w:pPr>
              <w:ind w:left="40"/>
              <w:spacing w:after="0"/>
              <w:rPr>
                <w:sz w:val="20"/>
                <w:szCs w:val="20"/>
                <w:color w:val="auto"/>
              </w:rPr>
            </w:pPr>
            <w:r>
              <w:rPr>
                <w:rFonts w:ascii="Courier New" w:cs="Courier New" w:eastAsia="Courier New" w:hAnsi="Courier New"/>
                <w:sz w:val="15"/>
                <w:szCs w:val="15"/>
                <w:color w:val="auto"/>
              </w:rPr>
              <w:t>to</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9"/>
              </w:rPr>
              <w:t>Promissory</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Note, Loan</w:t>
            </w:r>
          </w:p>
        </w:tc>
        <w:tc>
          <w:tcPr>
            <w:tcW w:w="1100" w:type="dxa"/>
            <w:vAlign w:val="bottom"/>
          </w:tcPr>
          <w:p>
            <w:pPr>
              <w:ind w:left="180"/>
              <w:spacing w:after="0"/>
              <w:rPr>
                <w:sz w:val="20"/>
                <w:szCs w:val="20"/>
                <w:color w:val="auto"/>
              </w:rPr>
            </w:pPr>
            <w:r>
              <w:rPr>
                <w:rFonts w:ascii="Courier New" w:cs="Courier New" w:eastAsia="Courier New" w:hAnsi="Courier New"/>
                <w:sz w:val="15"/>
                <w:szCs w:val="15"/>
                <w:color w:val="auto"/>
              </w:rPr>
              <w:t>10-QSB</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12/31/00</w:t>
            </w:r>
          </w:p>
        </w:tc>
      </w:tr>
      <w:tr>
        <w:trPr>
          <w:trHeight w:val="171"/>
        </w:trPr>
        <w:tc>
          <w:tcPr>
            <w:tcW w:w="660" w:type="dxa"/>
            <w:vAlign w:val="bottom"/>
          </w:tcPr>
          <w:p>
            <w:pPr>
              <w:spacing w:after="0"/>
              <w:rPr>
                <w:sz w:val="14"/>
                <w:szCs w:val="14"/>
                <w:color w:val="auto"/>
              </w:rPr>
            </w:pPr>
          </w:p>
        </w:tc>
        <w:tc>
          <w:tcPr>
            <w:tcW w:w="2580" w:type="dxa"/>
            <w:vAlign w:val="bottom"/>
            <w:gridSpan w:val="3"/>
          </w:tcPr>
          <w:p>
            <w:pPr>
              <w:ind w:left="300"/>
              <w:spacing w:after="0"/>
              <w:rPr>
                <w:sz w:val="20"/>
                <w:szCs w:val="20"/>
                <w:color w:val="auto"/>
              </w:rPr>
            </w:pPr>
            <w:r>
              <w:rPr>
                <w:rFonts w:ascii="Courier New" w:cs="Courier New" w:eastAsia="Courier New" w:hAnsi="Courier New"/>
                <w:sz w:val="15"/>
                <w:szCs w:val="15"/>
                <w:color w:val="auto"/>
              </w:rPr>
              <w:t>Agreement, and Commercial</w:t>
            </w:r>
          </w:p>
        </w:tc>
        <w:tc>
          <w:tcPr>
            <w:tcW w:w="20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Security Agreement</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1320" w:type="dxa"/>
            <w:vAlign w:val="bottom"/>
          </w:tcPr>
          <w:p>
            <w:pPr>
              <w:ind w:left="300"/>
              <w:spacing w:after="0"/>
              <w:rPr>
                <w:sz w:val="20"/>
                <w:szCs w:val="20"/>
                <w:color w:val="auto"/>
              </w:rPr>
            </w:pPr>
            <w:r>
              <w:rPr>
                <w:rFonts w:ascii="Courier New" w:cs="Courier New" w:eastAsia="Courier New" w:hAnsi="Courier New"/>
                <w:sz w:val="15"/>
                <w:szCs w:val="15"/>
                <w:color w:val="auto"/>
              </w:rPr>
              <w:t>between the</w:t>
            </w:r>
          </w:p>
        </w:tc>
        <w:tc>
          <w:tcPr>
            <w:tcW w:w="980" w:type="dxa"/>
            <w:vAlign w:val="bottom"/>
          </w:tcPr>
          <w:p>
            <w:pPr>
              <w:ind w:left="60"/>
              <w:spacing w:after="0"/>
              <w:rPr>
                <w:sz w:val="20"/>
                <w:szCs w:val="20"/>
                <w:color w:val="auto"/>
              </w:rPr>
            </w:pPr>
            <w:r>
              <w:rPr>
                <w:rFonts w:ascii="Courier New" w:cs="Courier New" w:eastAsia="Courier New" w:hAnsi="Courier New"/>
                <w:sz w:val="15"/>
                <w:szCs w:val="15"/>
                <w:color w:val="auto"/>
                <w:w w:val="99"/>
              </w:rPr>
              <w:t>Registrant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and Bank One,</w:t>
            </w:r>
          </w:p>
        </w:tc>
        <w:tc>
          <w:tcPr>
            <w:tcW w:w="1120" w:type="dxa"/>
            <w:vAlign w:val="bottom"/>
          </w:tcPr>
          <w:p>
            <w:pPr>
              <w:ind w:left="60"/>
              <w:spacing w:after="0"/>
              <w:rPr>
                <w:sz w:val="20"/>
                <w:szCs w:val="20"/>
                <w:color w:val="auto"/>
              </w:rPr>
            </w:pPr>
            <w:r>
              <w:rPr>
                <w:rFonts w:ascii="Courier New" w:cs="Courier New" w:eastAsia="Courier New" w:hAnsi="Courier New"/>
                <w:sz w:val="15"/>
                <w:szCs w:val="15"/>
                <w:color w:val="auto"/>
              </w:rPr>
              <w:t>Utah, N.A.</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1"/>
        </w:trPr>
        <w:tc>
          <w:tcPr>
            <w:tcW w:w="660" w:type="dxa"/>
            <w:vAlign w:val="bottom"/>
          </w:tcPr>
          <w:p>
            <w:pPr>
              <w:spacing w:after="0"/>
              <w:rPr>
                <w:sz w:val="14"/>
                <w:szCs w:val="14"/>
                <w:color w:val="auto"/>
              </w:rPr>
            </w:pPr>
          </w:p>
        </w:tc>
        <w:tc>
          <w:tcPr>
            <w:tcW w:w="1320" w:type="dxa"/>
            <w:vAlign w:val="bottom"/>
          </w:tcPr>
          <w:p>
            <w:pPr>
              <w:ind w:left="300"/>
              <w:spacing w:after="0"/>
              <w:rPr>
                <w:sz w:val="20"/>
                <w:szCs w:val="20"/>
                <w:color w:val="auto"/>
              </w:rPr>
            </w:pPr>
            <w:r>
              <w:rPr>
                <w:rFonts w:ascii="Courier New" w:cs="Courier New" w:eastAsia="Courier New" w:hAnsi="Courier New"/>
                <w:sz w:val="15"/>
                <w:szCs w:val="15"/>
                <w:color w:val="auto"/>
              </w:rPr>
              <w:t>dated as of</w:t>
            </w:r>
          </w:p>
        </w:tc>
        <w:tc>
          <w:tcPr>
            <w:tcW w:w="3340" w:type="dxa"/>
            <w:vAlign w:val="bottom"/>
            <w:gridSpan w:val="4"/>
          </w:tcPr>
          <w:p>
            <w:pPr>
              <w:ind w:left="60"/>
              <w:spacing w:after="0"/>
              <w:rPr>
                <w:sz w:val="20"/>
                <w:szCs w:val="20"/>
                <w:color w:val="auto"/>
              </w:rPr>
            </w:pPr>
            <w:r>
              <w:rPr>
                <w:rFonts w:ascii="Courier New" w:cs="Courier New" w:eastAsia="Courier New" w:hAnsi="Courier New"/>
                <w:sz w:val="15"/>
                <w:szCs w:val="15"/>
                <w:color w:val="auto"/>
              </w:rPr>
              <w:t>December 22, 2000 (original</w:t>
            </w: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r>
    </w:tbl>
    <w:p>
      <w:pPr>
        <w:spacing w:after="0" w:line="1" w:lineRule="exact"/>
        <w:rPr>
          <w:sz w:val="20"/>
          <w:szCs w:val="20"/>
          <w:color w:val="auto"/>
        </w:rPr>
      </w:pPr>
    </w:p>
    <w:p>
      <w:pPr>
        <w:ind w:left="969"/>
        <w:spacing w:after="0"/>
        <w:rPr>
          <w:sz w:val="20"/>
          <w:szCs w:val="20"/>
          <w:color w:val="auto"/>
        </w:rPr>
      </w:pPr>
      <w:r>
        <w:rPr>
          <w:rFonts w:ascii="Courier New" w:cs="Courier New" w:eastAsia="Courier New" w:hAnsi="Courier New"/>
          <w:sz w:val="15"/>
          <w:szCs w:val="15"/>
          <w:color w:val="auto"/>
        </w:rPr>
        <w:t>aggregate amount of $5,000,000)</w:t>
      </w:r>
    </w:p>
    <w:p>
      <w:pPr>
        <w:spacing w:after="0" w:line="3" w:lineRule="exact"/>
        <w:rPr>
          <w:sz w:val="20"/>
          <w:szCs w:val="20"/>
          <w:color w:val="auto"/>
        </w:rPr>
      </w:pPr>
    </w:p>
    <w:p>
      <w:pPr>
        <w:ind w:left="169" w:hanging="169"/>
        <w:spacing w:after="0"/>
        <w:tabs>
          <w:tab w:leader="none" w:pos="169"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21.1</w:t>
      </w:r>
      <w:r>
        <w:rPr>
          <w:rFonts w:ascii="Courier New" w:cs="Courier New" w:eastAsia="Courier New" w:hAnsi="Courier New"/>
          <w:sz w:val="14"/>
          <w:szCs w:val="14"/>
          <w:color w:val="auto"/>
        </w:rPr>
        <w:t>Subsidiaries of the Registrant (5)</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9"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23.1</w:t>
            </w:r>
          </w:p>
        </w:tc>
        <w:tc>
          <w:tcPr>
            <w:tcW w:w="1780" w:type="dxa"/>
            <w:vAlign w:val="bottom"/>
            <w:gridSpan w:val="4"/>
          </w:tcPr>
          <w:p>
            <w:pPr>
              <w:ind w:left="300"/>
              <w:spacing w:after="0"/>
              <w:rPr>
                <w:sz w:val="20"/>
                <w:szCs w:val="20"/>
                <w:color w:val="auto"/>
              </w:rPr>
            </w:pPr>
            <w:r>
              <w:rPr>
                <w:rFonts w:ascii="Courier New" w:cs="Courier New" w:eastAsia="Courier New" w:hAnsi="Courier New"/>
                <w:sz w:val="15"/>
                <w:szCs w:val="15"/>
                <w:color w:val="auto"/>
              </w:rPr>
              <w:t>Consent of Ernst</w:t>
            </w:r>
          </w:p>
        </w:tc>
        <w:tc>
          <w:tcPr>
            <w:tcW w:w="3680" w:type="dxa"/>
            <w:vAlign w:val="bottom"/>
          </w:tcPr>
          <w:p>
            <w:pPr>
              <w:ind w:left="40"/>
              <w:spacing w:after="0"/>
              <w:rPr>
                <w:sz w:val="20"/>
                <w:szCs w:val="20"/>
                <w:color w:val="auto"/>
              </w:rPr>
            </w:pPr>
            <w:r>
              <w:rPr>
                <w:rFonts w:ascii="Courier New" w:cs="Courier New" w:eastAsia="Courier New" w:hAnsi="Courier New"/>
                <w:sz w:val="15"/>
                <w:szCs w:val="15"/>
                <w:color w:val="auto"/>
              </w:rPr>
              <w:t>&amp; Young LLP</w:t>
            </w:r>
          </w:p>
        </w:tc>
        <w:tc>
          <w:tcPr>
            <w:tcW w:w="2300" w:type="dxa"/>
            <w:vAlign w:val="bottom"/>
          </w:tcPr>
          <w:p>
            <w:pPr>
              <w:ind w:left="1760"/>
              <w:spacing w:after="0"/>
              <w:rPr>
                <w:sz w:val="20"/>
                <w:szCs w:val="20"/>
                <w:color w:val="auto"/>
              </w:rPr>
            </w:pPr>
            <w:r>
              <w:rPr>
                <w:rFonts w:ascii="Courier New" w:cs="Courier New" w:eastAsia="Courier New" w:hAnsi="Courier New"/>
                <w:sz w:val="15"/>
                <w:szCs w:val="15"/>
                <w:color w:val="auto"/>
              </w:rPr>
              <w:t>X</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171"/>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23.2</w:t>
            </w:r>
          </w:p>
        </w:tc>
        <w:tc>
          <w:tcPr>
            <w:tcW w:w="9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Consent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540" w:type="dxa"/>
            <w:vAlign w:val="bottom"/>
          </w:tcPr>
          <w:p>
            <w:pPr>
              <w:ind w:left="40"/>
              <w:spacing w:after="0"/>
              <w:rPr>
                <w:sz w:val="20"/>
                <w:szCs w:val="20"/>
                <w:color w:val="auto"/>
              </w:rPr>
            </w:pPr>
            <w:r>
              <w:rPr>
                <w:rFonts w:ascii="Courier New" w:cs="Courier New" w:eastAsia="Courier New" w:hAnsi="Courier New"/>
                <w:sz w:val="15"/>
                <w:szCs w:val="15"/>
                <w:color w:val="auto"/>
              </w:rPr>
              <w:t>KPMG,</w:t>
            </w:r>
          </w:p>
        </w:tc>
        <w:tc>
          <w:tcPr>
            <w:tcW w:w="3680" w:type="dxa"/>
            <w:vAlign w:val="bottom"/>
          </w:tcPr>
          <w:p>
            <w:pPr>
              <w:ind w:left="40"/>
              <w:spacing w:after="0"/>
              <w:rPr>
                <w:sz w:val="20"/>
                <w:szCs w:val="20"/>
                <w:color w:val="auto"/>
              </w:rPr>
            </w:pPr>
            <w:r>
              <w:rPr>
                <w:rFonts w:ascii="Courier New" w:cs="Courier New" w:eastAsia="Courier New" w:hAnsi="Courier New"/>
                <w:sz w:val="15"/>
                <w:szCs w:val="15"/>
                <w:color w:val="auto"/>
              </w:rPr>
              <w:t>Chartered Accountants</w:t>
            </w:r>
          </w:p>
        </w:tc>
        <w:tc>
          <w:tcPr>
            <w:tcW w:w="2300" w:type="dxa"/>
            <w:vAlign w:val="bottom"/>
          </w:tcPr>
          <w:p>
            <w:pPr>
              <w:ind w:left="1760"/>
              <w:spacing w:after="0"/>
              <w:rPr>
                <w:sz w:val="20"/>
                <w:szCs w:val="20"/>
                <w:color w:val="auto"/>
              </w:rPr>
            </w:pPr>
            <w:r>
              <w:rPr>
                <w:rFonts w:ascii="Courier New" w:cs="Courier New" w:eastAsia="Courier New" w:hAnsi="Courier New"/>
                <w:sz w:val="15"/>
                <w:szCs w:val="15"/>
                <w:color w:val="auto"/>
              </w:rPr>
              <w:t>X</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7320" w:type="dxa"/>
            <w:vAlign w:val="bottom"/>
            <w:gridSpan w:val="5"/>
          </w:tcPr>
          <w:p>
            <w:pPr>
              <w:jc w:val="right"/>
              <w:spacing w:after="0"/>
              <w:rPr>
                <w:sz w:val="20"/>
                <w:szCs w:val="20"/>
                <w:color w:val="auto"/>
              </w:rPr>
            </w:pPr>
            <w:r>
              <w:rPr>
                <w:rFonts w:ascii="Courier New" w:cs="Courier New" w:eastAsia="Courier New" w:hAnsi="Courier New"/>
                <w:sz w:val="15"/>
                <w:szCs w:val="15"/>
                <w:color w:val="auto"/>
                <w:w w:val="98"/>
              </w:rPr>
              <w:t>-------------------------------------------------- -------------------------------</w:t>
            </w:r>
          </w:p>
        </w:tc>
      </w:tr>
      <w:tr>
        <w:trPr>
          <w:trHeight w:val="171"/>
        </w:trPr>
        <w:tc>
          <w:tcPr>
            <w:tcW w:w="660" w:type="dxa"/>
            <w:vAlign w:val="bottom"/>
            <w:gridSpan w:val="2"/>
          </w:tcPr>
          <w:p>
            <w:pPr>
              <w:spacing w:after="0"/>
              <w:rPr>
                <w:sz w:val="20"/>
                <w:szCs w:val="20"/>
                <w:color w:val="auto"/>
              </w:rPr>
            </w:pPr>
            <w:r>
              <w:rPr>
                <w:rFonts w:ascii="Courier New" w:cs="Courier New" w:eastAsia="Courier New" w:hAnsi="Courier New"/>
                <w:sz w:val="15"/>
                <w:szCs w:val="15"/>
                <w:color w:val="auto"/>
              </w:rPr>
              <w:t>23.3</w:t>
            </w:r>
          </w:p>
        </w:tc>
        <w:tc>
          <w:tcPr>
            <w:tcW w:w="9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Consent</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of</w:t>
            </w:r>
          </w:p>
        </w:tc>
        <w:tc>
          <w:tcPr>
            <w:tcW w:w="42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Deloitte &amp; Touche LLP</w:t>
            </w:r>
          </w:p>
        </w:tc>
        <w:tc>
          <w:tcPr>
            <w:tcW w:w="2300" w:type="dxa"/>
            <w:vAlign w:val="bottom"/>
          </w:tcPr>
          <w:p>
            <w:pPr>
              <w:ind w:left="1760"/>
              <w:spacing w:after="0"/>
              <w:rPr>
                <w:sz w:val="20"/>
                <w:szCs w:val="20"/>
                <w:color w:val="auto"/>
              </w:rPr>
            </w:pPr>
            <w:r>
              <w:rPr>
                <w:rFonts w:ascii="Courier New" w:cs="Courier New" w:eastAsia="Courier New" w:hAnsi="Courier New"/>
                <w:sz w:val="15"/>
                <w:szCs w:val="15"/>
                <w:color w:val="auto"/>
              </w:rPr>
              <w:t>X</w:t>
            </w:r>
          </w:p>
        </w:tc>
      </w:tr>
    </w:tbl>
    <w:p>
      <w:pPr>
        <w:spacing w:after="0" w:line="3" w:lineRule="exact"/>
        <w:rPr>
          <w:sz w:val="20"/>
          <w:szCs w:val="20"/>
          <w:color w:val="auto"/>
        </w:rPr>
      </w:pPr>
    </w:p>
    <w:p>
      <w:pPr>
        <w:ind w:left="169" w:hanging="169"/>
        <w:spacing w:after="0"/>
        <w:tabs>
          <w:tab w:leader="none" w:pos="169"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23.4</w:t>
      </w:r>
      <w:r>
        <w:rPr>
          <w:rFonts w:ascii="Courier New" w:cs="Courier New" w:eastAsia="Courier New" w:hAnsi="Courier New"/>
          <w:sz w:val="14"/>
          <w:szCs w:val="14"/>
          <w:color w:val="auto"/>
        </w:rPr>
        <w:t>Consent of Jones, Waldo, Holbrook &amp; McDonough (5)</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23.5</w:t>
      </w:r>
      <w:r>
        <w:rPr>
          <w:rFonts w:ascii="Courier New" w:cs="Courier New" w:eastAsia="Courier New" w:hAnsi="Courier New"/>
          <w:sz w:val="14"/>
          <w:szCs w:val="14"/>
          <w:color w:val="auto"/>
        </w:rPr>
        <w:t>Consent of Fredrickson &amp; Byron, P.A. (5)</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2" w:lineRule="exact"/>
        <w:rPr>
          <w:rFonts w:ascii="Courier New" w:cs="Courier New" w:eastAsia="Courier New" w:hAnsi="Courier New"/>
          <w:sz w:val="14"/>
          <w:szCs w:val="14"/>
          <w:color w:val="auto"/>
        </w:rPr>
      </w:pPr>
    </w:p>
    <w:p>
      <w:pPr>
        <w:ind w:left="969" w:right="5259" w:hanging="976"/>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23.6Consent of Goldsmith, Agio, Helms Securities, Inc. (4)</w:t>
      </w:r>
    </w:p>
    <w:p>
      <w:pPr>
        <w:sectPr>
          <w:pgSz w:w="11900" w:h="16869" w:orient="portrait"/>
          <w:cols w:equalWidth="0" w:num="1">
            <w:col w:w="10228"/>
          </w:cols>
          <w:pgMar w:left="231" w:top="799" w:right="1440" w:bottom="0" w:gutter="0" w:footer="0" w:header="0"/>
        </w:sectPr>
      </w:pPr>
    </w:p>
    <w:bookmarkStart w:id="148" w:name="page149"/>
    <w:bookmarkEnd w:id="148"/>
    <w:p>
      <w:pPr>
        <w:ind w:left="9"/>
        <w:spacing w:after="0"/>
        <w:rPr>
          <w:sz w:val="20"/>
          <w:szCs w:val="20"/>
          <w:color w:val="auto"/>
        </w:rPr>
      </w:pPr>
      <w:r>
        <w:rPr>
          <w:rFonts w:ascii="Courier New" w:cs="Courier New" w:eastAsia="Courier New" w:hAnsi="Courier New"/>
          <w:sz w:val="14"/>
          <w:szCs w:val="14"/>
          <w:color w:val="auto"/>
        </w:rPr>
        <w:t>- ---------- -------------------------------------------------- -------------------------------</w:t>
      </w:r>
    </w:p>
    <w:p>
      <w:pPr>
        <w:spacing w:after="0" w:line="9" w:lineRule="exact"/>
        <w:rPr>
          <w:sz w:val="20"/>
          <w:szCs w:val="20"/>
          <w:color w:val="auto"/>
        </w:rPr>
      </w:pPr>
    </w:p>
    <w:p>
      <w:pPr>
        <w:ind w:left="9"/>
        <w:spacing w:after="0"/>
        <w:tabs>
          <w:tab w:leader="none" w:pos="949" w:val="left"/>
          <w:tab w:leader="none" w:pos="7869" w:val="left"/>
        </w:tabs>
        <w:rPr>
          <w:sz w:val="20"/>
          <w:szCs w:val="20"/>
          <w:color w:val="auto"/>
        </w:rPr>
      </w:pPr>
      <w:r>
        <w:rPr>
          <w:rFonts w:ascii="Courier New" w:cs="Courier New" w:eastAsia="Courier New" w:hAnsi="Courier New"/>
          <w:sz w:val="15"/>
          <w:szCs w:val="15"/>
          <w:color w:val="auto"/>
        </w:rPr>
        <w:t>23.7</w:t>
      </w:r>
      <w:r>
        <w:rPr>
          <w:sz w:val="20"/>
          <w:szCs w:val="20"/>
          <w:color w:val="auto"/>
        </w:rPr>
        <w:tab/>
      </w:r>
      <w:r>
        <w:rPr>
          <w:rFonts w:ascii="Courier New" w:cs="Courier New" w:eastAsia="Courier New" w:hAnsi="Courier New"/>
          <w:sz w:val="15"/>
          <w:szCs w:val="15"/>
          <w:color w:val="auto"/>
        </w:rPr>
        <w:t>Consent of LECG, LLC</w:t>
      </w:r>
      <w:r>
        <w:rPr>
          <w:sz w:val="20"/>
          <w:szCs w:val="20"/>
          <w:color w:val="auto"/>
        </w:rPr>
        <w:tab/>
      </w:r>
      <w:r>
        <w:rPr>
          <w:rFonts w:ascii="Courier New" w:cs="Courier New" w:eastAsia="Courier New" w:hAnsi="Courier New"/>
          <w:sz w:val="15"/>
          <w:szCs w:val="15"/>
          <w:color w:val="auto"/>
        </w:rPr>
        <w:t>X</w:t>
      </w:r>
    </w:p>
    <w:p>
      <w:pPr>
        <w:spacing w:after="0" w:line="3" w:lineRule="exact"/>
        <w:rPr>
          <w:sz w:val="20"/>
          <w:szCs w:val="20"/>
          <w:color w:val="auto"/>
        </w:rPr>
      </w:pPr>
    </w:p>
    <w:p>
      <w:pPr>
        <w:ind w:left="169" w:hanging="169"/>
        <w:spacing w:after="0"/>
        <w:tabs>
          <w:tab w:leader="none" w:pos="169"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80" w:lineRule="exact"/>
        <w:rPr>
          <w:rFonts w:ascii="Courier New" w:cs="Courier New" w:eastAsia="Courier New" w:hAnsi="Courier New"/>
          <w:sz w:val="14"/>
          <w:szCs w:val="14"/>
          <w:color w:val="auto"/>
        </w:rPr>
      </w:pPr>
    </w:p>
    <w:p>
      <w:pPr>
        <w:ind w:left="336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II-5</w:t>
      </w:r>
    </w:p>
    <w:p>
      <w:pPr>
        <w:sectPr>
          <w:pgSz w:w="11900" w:h="16838" w:orient="portrait"/>
          <w:cols w:equalWidth="0" w:num="1">
            <w:col w:w="10228"/>
          </w:cols>
          <w:pgMar w:left="231" w:top="141" w:right="1440" w:bottom="1440" w:gutter="0" w:footer="0" w:header="0"/>
        </w:sectPr>
      </w:pPr>
    </w:p>
    <w:bookmarkStart w:id="149" w:name="page150"/>
    <w:bookmarkEnd w:id="149"/>
    <w:p>
      <w:pPr>
        <w:ind w:left="169" w:hanging="169"/>
        <w:spacing w:after="0"/>
        <w:tabs>
          <w:tab w:leader="none" w:pos="169"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9" w:lineRule="exact"/>
        <w:rPr>
          <w:rFonts w:ascii="Courier New" w:cs="Courier New" w:eastAsia="Courier New" w:hAnsi="Courier New"/>
          <w:sz w:val="14"/>
          <w:szCs w:val="14"/>
          <w:color w:val="auto"/>
        </w:rPr>
      </w:pPr>
    </w:p>
    <w:p>
      <w:pPr>
        <w:ind w:left="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24.1</w:t>
      </w:r>
      <w:r>
        <w:rPr>
          <w:rFonts w:ascii="Courier New" w:cs="Courier New" w:eastAsia="Courier New" w:hAnsi="Courier New"/>
          <w:sz w:val="14"/>
          <w:szCs w:val="14"/>
          <w:color w:val="auto"/>
        </w:rPr>
        <w:t>Power of Attorney (5)</w:t>
      </w:r>
    </w:p>
    <w:p>
      <w:pPr>
        <w:spacing w:after="0" w:line="3"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83" w:lineRule="exact"/>
        <w:rPr>
          <w:sz w:val="20"/>
          <w:szCs w:val="20"/>
          <w:color w:val="auto"/>
        </w:rPr>
      </w:pPr>
    </w:p>
    <w:p>
      <w:pPr>
        <w:ind w:left="169" w:hanging="169"/>
        <w:spacing w:after="0"/>
        <w:tabs>
          <w:tab w:leader="none" w:pos="169"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2" w:lineRule="exact"/>
        <w:rPr>
          <w:rFonts w:ascii="Courier New" w:cs="Courier New" w:eastAsia="Courier New" w:hAnsi="Courier New"/>
          <w:sz w:val="14"/>
          <w:szCs w:val="14"/>
          <w:color w:val="auto"/>
        </w:rPr>
      </w:pPr>
    </w:p>
    <w:p>
      <w:pPr>
        <w:ind w:left="969" w:right="5519" w:hanging="976"/>
        <w:spacing w:after="0" w:line="238"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99.2Fairness Opinion of Goldsmith, Agio, Helms Securities, Inc. (3)</w:t>
      </w:r>
    </w:p>
    <w:p>
      <w:pPr>
        <w:spacing w:after="0" w:line="4" w:lineRule="exact"/>
        <w:rPr>
          <w:rFonts w:ascii="Courier New" w:cs="Courier New" w:eastAsia="Courier New" w:hAnsi="Courier New"/>
          <w:sz w:val="14"/>
          <w:szCs w:val="14"/>
          <w:color w:val="auto"/>
        </w:rPr>
      </w:pPr>
    </w:p>
    <w:p>
      <w:pPr>
        <w:ind w:left="169" w:hanging="169"/>
        <w:spacing w:after="0"/>
        <w:tabs>
          <w:tab w:leader="none" w:pos="169" w:val="left"/>
        </w:tabs>
        <w:numPr>
          <w:ilvl w:val="0"/>
          <w:numId w:val="1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180" w:lineRule="exact"/>
        <w:rPr>
          <w:sz w:val="20"/>
          <w:szCs w:val="20"/>
          <w:color w:val="auto"/>
        </w:rPr>
      </w:pPr>
    </w:p>
    <w:p>
      <w:pPr>
        <w:ind w:left="709" w:hanging="709"/>
        <w:spacing w:after="0"/>
        <w:tabs>
          <w:tab w:leader="none" w:pos="709"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this Registration Statement as Annex A.</w:t>
      </w:r>
    </w:p>
    <w:p>
      <w:pPr>
        <w:ind w:left="709" w:hanging="709"/>
        <w:spacing w:after="0"/>
        <w:tabs>
          <w:tab w:leader="none" w:pos="709"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this Registration Statement as Annex A-1</w:t>
      </w:r>
    </w:p>
    <w:p>
      <w:pPr>
        <w:ind w:left="709" w:hanging="709"/>
        <w:spacing w:after="0"/>
        <w:tabs>
          <w:tab w:leader="none" w:pos="709"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in this Registration Statement as Annex C.</w:t>
      </w:r>
    </w:p>
    <w:p>
      <w:pPr>
        <w:ind w:left="709" w:hanging="709"/>
        <w:spacing w:after="0"/>
        <w:tabs>
          <w:tab w:leader="none" w:pos="709"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Included as part of the Opinion in Annex C.</w:t>
      </w:r>
    </w:p>
    <w:p>
      <w:pPr>
        <w:ind w:left="709" w:hanging="709"/>
        <w:spacing w:after="0"/>
        <w:tabs>
          <w:tab w:leader="none" w:pos="709"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 as part of this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28"/>
          </w:cols>
          <w:pgMar w:left="231" w:top="631" w:right="1440" w:bottom="1440" w:gutter="0" w:footer="0" w:header="0"/>
        </w:sectPr>
      </w:pPr>
    </w:p>
    <w:bookmarkStart w:id="150" w:name="page151"/>
    <w:bookmarkEnd w:id="150"/>
    <w:p>
      <w:pPr>
        <w:spacing w:after="0" w:line="41"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8.1</w:t>
      </w:r>
    </w:p>
    <w:p>
      <w:pPr>
        <w:spacing w:after="0" w:line="342"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May 7, 2002</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 Communications,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1825 Research Way</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Salt Lake City, UT 84119</w:t>
      </w:r>
    </w:p>
    <w:p>
      <w:pPr>
        <w:spacing w:after="0" w:line="345" w:lineRule="exact"/>
        <w:rPr>
          <w:sz w:val="20"/>
          <w:szCs w:val="20"/>
          <w:color w:val="auto"/>
        </w:rPr>
      </w:pPr>
    </w:p>
    <w:p>
      <w:pPr>
        <w:ind w:right="3399"/>
        <w:spacing w:after="0" w:line="238" w:lineRule="auto"/>
        <w:rPr>
          <w:sz w:val="20"/>
          <w:szCs w:val="20"/>
          <w:color w:val="auto"/>
        </w:rPr>
      </w:pPr>
      <w:r>
        <w:rPr>
          <w:rFonts w:ascii="Courier New" w:cs="Courier New" w:eastAsia="Courier New" w:hAnsi="Courier New"/>
          <w:sz w:val="15"/>
          <w:szCs w:val="15"/>
          <w:color w:val="auto"/>
        </w:rPr>
        <w:t>Re: Agreement and Plan of Merger, dated January 21, 2002 between ClearOne Communications, Inc., Tundra Acquisition Corporation and E.mergent Inc.</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We have acted as counsel to ClearOne Communications, Inc., a Utah corporation ("ClearOne") in connection with the Agreement and Plan of Merger (the "Merger Agreement") dated as of January 21, 2002 between E.mergent, Inc. ("E.mergent"), a Delaware corporation, ClearOne, and Tundra Acquisition Corporation, a Delaware corporation and a wholly owned subsidiary of ClearOne ("Merger Sub"), pursuant to which E.mergent shall be merged with and into MegerSub with MergerSub the surviving corporation in the merger (the "Merger"), on the terms and conditions set forth therein, the time at which the Merger become effective being hereafter referred to as the "Effective Time." For purposes of this opinion, capitalized terms used and not otherwise defined herein shall have the meaning ascribed thereto in the Merger Agreement. This opinion is being delivered solely in connection with ClearOne's Registration Statement on Form S-4 relating to the proposed Merger pursuant to the Merger Agreement (the "Registration Statement") to which this opinion appears as an exhibit.</w:t>
      </w:r>
    </w:p>
    <w:p>
      <w:pPr>
        <w:spacing w:after="0" w:line="182"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In acting as counsel to ClearOne in connection with the Merger, we have, in preparing our opinion, as hereinafter set forth, participated in the preparation of the Merger Agreement and the preparation and filing of the Registration Statement.</w:t>
      </w:r>
    </w:p>
    <w:p>
      <w:pPr>
        <w:spacing w:after="0" w:line="176" w:lineRule="exact"/>
        <w:rPr>
          <w:sz w:val="20"/>
          <w:szCs w:val="20"/>
          <w:color w:val="auto"/>
        </w:rPr>
      </w:pPr>
    </w:p>
    <w:p>
      <w:pPr>
        <w:ind w:right="3299" w:firstLine="710"/>
        <w:spacing w:after="0" w:line="259" w:lineRule="auto"/>
        <w:rPr>
          <w:sz w:val="20"/>
          <w:szCs w:val="20"/>
          <w:color w:val="auto"/>
        </w:rPr>
      </w:pPr>
      <w:r>
        <w:rPr>
          <w:rFonts w:ascii="Courier New" w:cs="Courier New" w:eastAsia="Courier New" w:hAnsi="Courier New"/>
          <w:sz w:val="14"/>
          <w:szCs w:val="14"/>
          <w:color w:val="auto"/>
        </w:rPr>
        <w:t>You have requested that we render the opinion set forth below. In rendering such opinion, we have assumed with your consent that (i) the Merger will be effected in accordance with the Merger Agreement, (ii) the statements concerning the Merger set forth in the Merger Agreement and the Registration Statement are true, complete and correct and will remain true, complete and correct at all times up to and including the Effective Time, (iii) the factual representations made by ClearOne, E.mergent and Merger Sub in their respective letters delivered to us for purposes of this opinion (the "Representation Letters") are true, complete and correct and will remain true, complete and correct at all times up to and including the Effective Time, and (iv) any representations made in the Representation Letters "to the knowledge of," or based on the belief of, ClearOne, E.mergent and Merger Sub or similarly qualified are true, complete and correct without such qualification. We have also assumed that the parties have complied with and, if applicable, will continue to comply with, the covenants contained in the Merger Agreement.</w:t>
      </w:r>
    </w:p>
    <w:p>
      <w:pPr>
        <w:spacing w:after="0" w:line="163"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We have examined the documents referred to above and the originals, or duplicates or certified or conformed copies, of such records, documents, certificates or other instruments and made such other inquiries as in our judgment are necessary or appropriate to enable us to render the opinion set forth below. We have not, however, undertaken any independent investigation of any factual matter set forth in any of the foregoing.</w:t>
      </w:r>
    </w:p>
    <w:p>
      <w:pPr>
        <w:spacing w:after="0" w:line="175" w:lineRule="exact"/>
        <w:rPr>
          <w:sz w:val="20"/>
          <w:szCs w:val="20"/>
          <w:color w:val="auto"/>
        </w:rPr>
      </w:pPr>
    </w:p>
    <w:p>
      <w:pPr>
        <w:ind w:right="3119" w:firstLine="621"/>
        <w:spacing w:after="0"/>
        <w:rPr>
          <w:sz w:val="20"/>
          <w:szCs w:val="20"/>
          <w:color w:val="auto"/>
        </w:rPr>
      </w:pPr>
      <w:r>
        <w:rPr>
          <w:rFonts w:ascii="Courier New" w:cs="Courier New" w:eastAsia="Courier New" w:hAnsi="Courier New"/>
          <w:sz w:val="15"/>
          <w:szCs w:val="15"/>
          <w:color w:val="auto"/>
        </w:rPr>
        <w:t>If any of the above-described assumptions are untrue for any reason or if the Merger is effected on a factual basis different from that contemplated in the Merger Agreement and the Registration Statement, the opinion expressed herein may be inapplicable. Our opinion is based on the Internal Revenue Code of 1986, as amended (the "Code"), Treasury Regulations, administrative interpretations, and judicial precedents as of the date hereof. If there is any subsequent change in the applicable law or regulations, or if there are subsequently any new applicable administrative or judicial interpretations of the law or regulations, the opinion expressed herein may become inapplicable.</w:t>
      </w:r>
    </w:p>
    <w:p>
      <w:pPr>
        <w:spacing w:after="0" w:line="177" w:lineRule="exact"/>
        <w:rPr>
          <w:sz w:val="20"/>
          <w:szCs w:val="20"/>
          <w:color w:val="auto"/>
        </w:rPr>
      </w:pPr>
    </w:p>
    <w:p>
      <w:pPr>
        <w:ind w:right="3119" w:firstLine="710"/>
        <w:spacing w:after="0" w:line="239" w:lineRule="auto"/>
        <w:rPr>
          <w:sz w:val="20"/>
          <w:szCs w:val="20"/>
          <w:color w:val="auto"/>
        </w:rPr>
      </w:pPr>
      <w:r>
        <w:rPr>
          <w:rFonts w:ascii="Courier New" w:cs="Courier New" w:eastAsia="Courier New" w:hAnsi="Courier New"/>
          <w:sz w:val="15"/>
          <w:szCs w:val="15"/>
          <w:color w:val="auto"/>
        </w:rPr>
        <w:t>Based on and subject to the foregoing, we hereby confirm our opinion set forth in the discussion contained in the Registration Statement under the caption "Material U.S. Federal Income Tax Consequences."</w:t>
      </w:r>
    </w:p>
    <w:p>
      <w:pPr>
        <w:spacing w:after="0" w:line="175" w:lineRule="exact"/>
        <w:rPr>
          <w:sz w:val="20"/>
          <w:szCs w:val="20"/>
          <w:color w:val="auto"/>
        </w:rPr>
      </w:pPr>
    </w:p>
    <w:p>
      <w:pPr>
        <w:jc w:val="both"/>
        <w:ind w:right="3219" w:firstLine="710"/>
        <w:spacing w:after="0" w:line="264" w:lineRule="auto"/>
        <w:rPr>
          <w:sz w:val="20"/>
          <w:szCs w:val="20"/>
          <w:color w:val="auto"/>
        </w:rPr>
      </w:pPr>
      <w:r>
        <w:rPr>
          <w:rFonts w:ascii="Courier New" w:cs="Courier New" w:eastAsia="Courier New" w:hAnsi="Courier New"/>
          <w:sz w:val="14"/>
          <w:szCs w:val="14"/>
          <w:color w:val="auto"/>
        </w:rPr>
        <w:t>We express our opinion herein only as to those matters specifically set forth in the Registration Statement and no opinion should be inferred as to the tax consequences of the Merger under any state, local or foreign law, or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3219"/>
        <w:spacing w:after="0" w:line="239" w:lineRule="auto"/>
        <w:rPr>
          <w:sz w:val="20"/>
          <w:szCs w:val="20"/>
          <w:color w:val="auto"/>
        </w:rPr>
      </w:pPr>
      <w:r>
        <w:rPr>
          <w:rFonts w:ascii="Courier New" w:cs="Courier New" w:eastAsia="Courier New" w:hAnsi="Courier New"/>
          <w:sz w:val="15"/>
          <w:szCs w:val="15"/>
          <w:color w:val="auto"/>
        </w:rPr>
        <w:t>respect to other areas of United States federal taxation. We are members of the Bar of the State of Utah, and we do not express any opinion herein concerning any law other than the federal law of the United States.</w:t>
      </w:r>
    </w:p>
    <w:p>
      <w:pPr>
        <w:spacing w:after="0" w:line="175"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We hereby consent to the filing of this opinion as an exhibit to the Registration Statement, and to the references to our firm name wherever appearing in the Registration Statement with respect to the discussion of the material U.S. Federal income tax consequences of the Merger, including the proxy statement/prospectus constituting a party thereof. In giving this consent, we do not thereby admit that we in the category of persons whose consent is required under Section 7 of the Securities Act of 1933, as amended, or the rules and regulations of the Securities and Exchange Commission thereunder, nor do we thereby admit that we are experts with respect to any part of such Registration Statement within the meaning of the term "experts" as used in the Securities Act of 1933, as amended, or the rules and regulations of the Securities and Exchange</w:t>
      </w:r>
    </w:p>
    <w:p>
      <w:pPr>
        <w:sectPr>
          <w:pgSz w:w="11900" w:h="16879" w:orient="portrait"/>
          <w:cols w:equalWidth="0" w:num="1">
            <w:col w:w="10219"/>
          </w:cols>
          <w:pgMar w:left="240" w:top="139" w:right="1440" w:bottom="0" w:gutter="0" w:footer="0" w:header="0"/>
        </w:sectPr>
      </w:pPr>
    </w:p>
    <w:bookmarkStart w:id="151" w:name="page152"/>
    <w:bookmarkEnd w:id="151"/>
    <w:p>
      <w:pPr>
        <w:spacing w:after="0"/>
        <w:rPr>
          <w:sz w:val="20"/>
          <w:szCs w:val="20"/>
          <w:color w:val="auto"/>
        </w:rPr>
      </w:pPr>
      <w:r>
        <w:rPr>
          <w:rFonts w:ascii="Courier New" w:cs="Courier New" w:eastAsia="Courier New" w:hAnsi="Courier New"/>
          <w:sz w:val="15"/>
          <w:szCs w:val="15"/>
          <w:color w:val="auto"/>
        </w:rPr>
        <w:t>Commission thereunder.</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Very truly yours,</w:t>
      </w:r>
    </w:p>
    <w:p>
      <w:pPr>
        <w:spacing w:after="0" w:line="17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JONES WALDO HOLBROOK &amp; MCDONOUGH, P.C.</w:t>
      </w:r>
    </w:p>
    <w:p>
      <w:pPr>
        <w:spacing w:after="0" w:line="171" w:lineRule="exact"/>
        <w:rPr>
          <w:sz w:val="20"/>
          <w:szCs w:val="20"/>
          <w:color w:val="auto"/>
        </w:rPr>
      </w:pPr>
    </w:p>
    <w:p>
      <w:pPr>
        <w:jc w:val="center"/>
        <w:ind w:right="119"/>
        <w:spacing w:after="0"/>
        <w:tabs>
          <w:tab w:leader="none" w:pos="240" w:val="left"/>
        </w:tabs>
        <w:rPr>
          <w:sz w:val="20"/>
          <w:szCs w:val="20"/>
          <w:color w:val="auto"/>
        </w:rPr>
      </w:pPr>
      <w:r>
        <w:rPr>
          <w:rFonts w:ascii="Courier New" w:cs="Courier New" w:eastAsia="Courier New" w:hAnsi="Courier New"/>
          <w:sz w:val="15"/>
          <w:szCs w:val="15"/>
          <w:color w:val="auto"/>
        </w:rPr>
        <w:t>/s/</w:t>
        <w:tab/>
        <w:t>Jones Waldo Holbrook &amp; McDonough, P.C.</w:t>
      </w:r>
    </w:p>
    <w:p>
      <w:pPr>
        <w:sectPr>
          <w:pgSz w:w="11900" w:h="16838" w:orient="portrait"/>
          <w:cols w:equalWidth="0" w:num="1">
            <w:col w:w="10219"/>
          </w:cols>
          <w:pgMar w:left="240" w:top="139" w:right="1440" w:bottom="1440" w:gutter="0" w:footer="0" w:header="0"/>
        </w:sectPr>
      </w:pPr>
    </w:p>
    <w:bookmarkStart w:id="152" w:name="page153"/>
    <w:bookmarkEnd w:id="152"/>
    <w:p>
      <w:pPr>
        <w:spacing w:after="0" w:line="2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Exhibit 8.2</w:t>
      </w:r>
    </w:p>
    <w:p>
      <w:pPr>
        <w:spacing w:after="0" w:line="1" w:lineRule="exact"/>
        <w:rPr>
          <w:sz w:val="20"/>
          <w:szCs w:val="20"/>
          <w:color w:val="auto"/>
        </w:rPr>
      </w:pPr>
    </w:p>
    <w:p>
      <w:pPr>
        <w:ind w:left="3100"/>
        <w:spacing w:after="0"/>
        <w:rPr>
          <w:sz w:val="20"/>
          <w:szCs w:val="20"/>
          <w:color w:val="auto"/>
        </w:rPr>
      </w:pPr>
      <w:r>
        <w:rPr>
          <w:rFonts w:ascii="Courier New" w:cs="Courier New" w:eastAsia="Courier New" w:hAnsi="Courier New"/>
          <w:sz w:val="15"/>
          <w:szCs w:val="15"/>
          <w:color w:val="auto"/>
        </w:rPr>
        <w:t>May 7, 2002</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E.mergent Inc.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5960 Golden Hills Drive</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Golden Valley, MN 55416</w:t>
      </w:r>
    </w:p>
    <w:p>
      <w:pPr>
        <w:spacing w:after="0" w:line="174" w:lineRule="exact"/>
        <w:rPr>
          <w:sz w:val="20"/>
          <w:szCs w:val="20"/>
          <w:color w:val="auto"/>
        </w:rPr>
      </w:pPr>
    </w:p>
    <w:p>
      <w:pPr>
        <w:jc w:val="both"/>
        <w:ind w:left="1140" w:right="3119" w:hanging="439"/>
        <w:spacing w:after="0" w:line="239" w:lineRule="auto"/>
        <w:tabs>
          <w:tab w:leader="none" w:pos="1120" w:val="left"/>
        </w:tabs>
        <w:rPr>
          <w:sz w:val="20"/>
          <w:szCs w:val="20"/>
          <w:color w:val="auto"/>
        </w:rPr>
      </w:pPr>
      <w:r>
        <w:rPr>
          <w:rFonts w:ascii="Courier New" w:cs="Courier New" w:eastAsia="Courier New" w:hAnsi="Courier New"/>
          <w:sz w:val="15"/>
          <w:szCs w:val="15"/>
          <w:color w:val="auto"/>
        </w:rPr>
        <w:t>RE:</w:t>
        <w:tab/>
        <w:t>Agreement and Plan of Merger by and among ClearOne Communications, Inc. (f/k/a Gentner Communications Corporation), Tundra Acquisition Corporation, and E.mergent, Inc. dated as of January 21, 2002 (the "Merger Agreement")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4" w:lineRule="exact"/>
        <w:rPr>
          <w:sz w:val="20"/>
          <w:szCs w:val="20"/>
          <w:color w:val="auto"/>
        </w:rPr>
      </w:pPr>
    </w:p>
    <w:p>
      <w:pPr>
        <w:ind w:right="3119" w:firstLine="710"/>
        <w:spacing w:after="0" w:line="259" w:lineRule="auto"/>
        <w:rPr>
          <w:sz w:val="20"/>
          <w:szCs w:val="20"/>
          <w:color w:val="auto"/>
        </w:rPr>
      </w:pPr>
      <w:r>
        <w:rPr>
          <w:rFonts w:ascii="Courier New" w:cs="Courier New" w:eastAsia="Courier New" w:hAnsi="Courier New"/>
          <w:sz w:val="14"/>
          <w:szCs w:val="14"/>
          <w:color w:val="auto"/>
        </w:rPr>
        <w:t>We have acted as counsel to E.mergent, Inc. ("E.mergent"), a Delaware corporation, in connection with (i) the proposed merger (the "Merger") of E.mergent with and into Tundra Acquisition Corporation ("Merger Sub"), a Delaware corporation, which is a wholly-owned subsidiary of ClearOne Communications, Inc. (f/k/a Gentner Communications Corporation), a Utah corporation ("ClearOne"), and the surviving corporation in the Merger; and (ii) ClearOne's filing of a Registration Statement on Form S-4 (the "Registration Statement") relating to the registration under the Securities Act of 1933, as amended (the "1933 Act"), of up to 873,000 shares of Common Stock of ClearOne (the "ClearOne Shares"). Pursuant to the Merger Agreement, in the Merger the shareholders of E.mergent will receive, in exchange for their shares of stock of E.mergent ("E.mergent Shares"), merger consideration (the "Merger Consideration") consisting of (i) an aggregate of $7,300,000 in cash (the "Cash Portion") and (ii) an aggregate of 873,000 ClearOne Shares (the "Stock Portion"). No other consideration will be received for their E.mergent Shares, except that cash will be paid to E.mergent shareholders in lieu of any fractional ClearOne Shares that they would otherwise receive in the Merger.</w:t>
      </w:r>
    </w:p>
    <w:p>
      <w:pPr>
        <w:spacing w:after="0" w:line="334" w:lineRule="exact"/>
        <w:rPr>
          <w:sz w:val="20"/>
          <w:szCs w:val="20"/>
          <w:color w:val="auto"/>
        </w:rPr>
      </w:pPr>
    </w:p>
    <w:p>
      <w:pPr>
        <w:ind w:right="3299" w:firstLine="710"/>
        <w:spacing w:after="0"/>
        <w:rPr>
          <w:sz w:val="20"/>
          <w:szCs w:val="20"/>
          <w:color w:val="auto"/>
        </w:rPr>
      </w:pPr>
      <w:r>
        <w:rPr>
          <w:rFonts w:ascii="Courier New" w:cs="Courier New" w:eastAsia="Courier New" w:hAnsi="Courier New"/>
          <w:sz w:val="15"/>
          <w:szCs w:val="15"/>
          <w:color w:val="auto"/>
        </w:rPr>
        <w:t>You have requested our opinion with respect to the material United States federal income tax consequences of the Merger. The Merger is being consummated pursuant to the Merger Agreement. Unless otherwise defined, capitalized terms used herein have the meanings assigned to them in the Merger Agreement.</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In connection with rendering our opinion, we have reviewed the Merger Agreement, including the Exhibits thereto, the Proxy Statement/Prospectus constituting part of the Registration Statement filed by ClearOne with the Securities and Exchange Commission on February 6, 2002, and such other documents and corporate records as we have deemed necessary or appropriate as a basis therefor. We have assumed that the representations and warranties contained in the Merger Agreement were true, correct and complete when made and will continue to be true, correct and complete through the Effective Time, and that the parties have complied with and, if applicable, will continue to comply with the covenants contained in the Merger Agreement. We also have assumed that statements as to factual matters contained in the Proxy Statement/Prospectus are true, correct, and complete and will continue to be true, correct, and complete through the Effective Time. Finally, we have relied on the factual representations made by officers of E.mergent and ClearOne in tax certificates provided to us dated March 15, 2002, and we have assumed that such representations will continue to be true, correct, and complete through the Effective Time.</w:t>
      </w:r>
    </w:p>
    <w:p>
      <w:pPr>
        <w:spacing w:after="0" w:line="183"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Based upon the foregoing, in reliance thereon and subject thereto, and based upon the Internal Revenue Code of 1986, as amended (the "Code"), the Treasury Regulations promulgated thereunder, judicial decisions, revenue rulings and revenue procedures of the Internal Revenue Service, and other administrative pronouncements, all as in effect on the date hereof, and assuming that the Merger and related transactions will be consummated in accordance with the terms of the Merger Agreement, it is our opinion that the Merger will qualify as a reorganization within the meaning of Section 368(a) by virtue of Section 368(a)(2)(D) of the Code, and that each of Emergent, ClearOne and Merger Sub will be a party to such reorganization within the meaning of Section 368(b) of the Code. Furthermore, we hereby confirm that the discussion set forth under the caption "Material U.S. Federal Income Tax Consequences" in the Proxy Statement/Prospectus, insofar as such discussion constitutes statements of United States federal income tax law or legal conclusions, subject to the assumptions, limitations and qualifications set forth therein, accurately reflects our opinion of the material United States federal income tax consequences of the Merger.</w:t>
      </w:r>
    </w:p>
    <w:p>
      <w:pPr>
        <w:spacing w:after="0" w:line="183" w:lineRule="exact"/>
        <w:rPr>
          <w:sz w:val="20"/>
          <w:szCs w:val="20"/>
          <w:color w:val="auto"/>
        </w:rPr>
      </w:pPr>
    </w:p>
    <w:p>
      <w:pPr>
        <w:ind w:right="3219" w:firstLine="710"/>
        <w:spacing w:after="0" w:line="261" w:lineRule="auto"/>
        <w:rPr>
          <w:sz w:val="20"/>
          <w:szCs w:val="20"/>
          <w:color w:val="auto"/>
        </w:rPr>
      </w:pPr>
      <w:r>
        <w:rPr>
          <w:rFonts w:ascii="Courier New" w:cs="Courier New" w:eastAsia="Courier New" w:hAnsi="Courier New"/>
          <w:sz w:val="14"/>
          <w:szCs w:val="14"/>
          <w:color w:val="auto"/>
        </w:rPr>
        <w:t>No opinion is expressed as to any matter not specifically addressed above, including the accuracy of the representations or reasonableness of the assumptions relied upon by us in rendering the opinion set forth above. Our opinion is based on current United States federal income tax law and administrative practice, and we do not undertake to advise you as to any future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3119"/>
        <w:spacing w:after="0" w:line="259" w:lineRule="auto"/>
        <w:rPr>
          <w:sz w:val="20"/>
          <w:szCs w:val="20"/>
          <w:color w:val="auto"/>
        </w:rPr>
      </w:pPr>
      <w:r>
        <w:rPr>
          <w:rFonts w:ascii="Courier New" w:cs="Courier New" w:eastAsia="Courier New" w:hAnsi="Courier New"/>
          <w:sz w:val="14"/>
          <w:szCs w:val="14"/>
          <w:color w:val="auto"/>
        </w:rPr>
        <w:t>changes in United States federal income tax law or administrative practice that may affect our opinion unless we are specifically retained to do so. We consent to the use of this opinion as an Exhibit to the Registration Statement that includes the Proxy Statement/Prospectus, and to the references to Fredrikson &amp; Byron, P.A. under the captions "The Transaction--Material Federal Income Tax Consequences" and "Legal Opinions" in the Proxy Statement/Prospectus. In giving our consent, we do not admit that we are "experts" within the meaning of Section 11 of the Securities Act of 1933 or within the category of persons whose consent is required by Section 7 of the Securities Act of 1933.</w:t>
      </w:r>
    </w:p>
    <w:p>
      <w:pPr>
        <w:sectPr>
          <w:pgSz w:w="11900" w:h="16862" w:orient="portrait"/>
          <w:cols w:equalWidth="0" w:num="1">
            <w:col w:w="10219"/>
          </w:cols>
          <w:pgMar w:left="240" w:top="139" w:right="1440" w:bottom="0" w:gutter="0" w:footer="0" w:header="0"/>
        </w:sectPr>
      </w:pPr>
    </w:p>
    <w:p>
      <w:pPr>
        <w:spacing w:after="0" w:line="337" w:lineRule="exact"/>
        <w:rPr>
          <w:sz w:val="20"/>
          <w:szCs w:val="20"/>
          <w:color w:val="auto"/>
        </w:rPr>
      </w:pPr>
    </w:p>
    <w:p>
      <w:pPr>
        <w:ind w:left="3980"/>
        <w:spacing w:after="0"/>
        <w:rPr>
          <w:sz w:val="20"/>
          <w:szCs w:val="20"/>
          <w:color w:val="auto"/>
        </w:rPr>
      </w:pPr>
      <w:r>
        <w:rPr>
          <w:rFonts w:ascii="Courier New" w:cs="Courier New" w:eastAsia="Courier New" w:hAnsi="Courier New"/>
          <w:sz w:val="14"/>
          <w:szCs w:val="14"/>
          <w:color w:val="auto"/>
        </w:rPr>
        <w:t>Very truly yours,</w:t>
      </w:r>
    </w:p>
    <w:p>
      <w:pPr>
        <w:sectPr>
          <w:pgSz w:w="11900" w:h="16862" w:orient="portrait"/>
          <w:cols w:equalWidth="0" w:num="1">
            <w:col w:w="10219"/>
          </w:cols>
          <w:pgMar w:left="240" w:top="139" w:right="1440" w:bottom="0" w:gutter="0" w:footer="0" w:header="0"/>
          <w:type w:val="continuous"/>
        </w:sectPr>
      </w:pPr>
    </w:p>
    <w:bookmarkStart w:id="153" w:name="page154"/>
    <w:bookmarkEnd w:id="153"/>
    <w:p>
      <w:pPr>
        <w:ind w:left="2780"/>
        <w:spacing w:after="0"/>
        <w:rPr>
          <w:sz w:val="20"/>
          <w:szCs w:val="20"/>
          <w:color w:val="auto"/>
        </w:rPr>
      </w:pPr>
      <w:r>
        <w:rPr>
          <w:rFonts w:ascii="Courier New" w:cs="Courier New" w:eastAsia="Courier New" w:hAnsi="Courier New"/>
          <w:sz w:val="14"/>
          <w:szCs w:val="14"/>
          <w:color w:val="auto"/>
        </w:rPr>
        <w:t>FREDRIKSON &amp; BYRON, P.A.</w:t>
      </w:r>
    </w:p>
    <w:p>
      <w:pPr>
        <w:spacing w:after="0" w:line="180"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/s/ Robert Riberio</w:t>
      </w:r>
    </w:p>
    <w:p>
      <w:pPr>
        <w:sectPr>
          <w:pgSz w:w="11900" w:h="16838" w:orient="portrait"/>
          <w:cols w:equalWidth="0" w:num="1">
            <w:col w:w="9019"/>
          </w:cols>
          <w:pgMar w:left="1440" w:top="312" w:right="1440" w:bottom="1440" w:gutter="0" w:footer="0" w:header="0"/>
        </w:sectPr>
      </w:pPr>
    </w:p>
    <w:bookmarkStart w:id="154" w:name="page155"/>
    <w:bookmarkEnd w:id="154"/>
    <w:p>
      <w:pPr>
        <w:jc w:val="right"/>
        <w:ind w:right="3119"/>
        <w:spacing w:after="0"/>
        <w:rPr>
          <w:sz w:val="20"/>
          <w:szCs w:val="20"/>
          <w:color w:val="auto"/>
        </w:rPr>
      </w:pPr>
      <w:r>
        <w:rPr>
          <w:rFonts w:ascii="Courier New" w:cs="Courier New" w:eastAsia="Courier New" w:hAnsi="Courier New"/>
          <w:sz w:val="15"/>
          <w:szCs w:val="15"/>
          <w:color w:val="auto"/>
        </w:rPr>
        <w:t>Exhibit 23.1</w:t>
      </w:r>
    </w:p>
    <w:p>
      <w:pPr>
        <w:spacing w:after="0" w:line="171"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174" w:lineRule="exact"/>
        <w:rPr>
          <w:sz w:val="20"/>
          <w:szCs w:val="20"/>
          <w:color w:val="auto"/>
        </w:rPr>
      </w:pPr>
    </w:p>
    <w:p>
      <w:pPr>
        <w:ind w:right="3119" w:firstLine="710"/>
        <w:spacing w:after="0"/>
        <w:rPr>
          <w:sz w:val="20"/>
          <w:szCs w:val="20"/>
          <w:color w:val="auto"/>
        </w:rPr>
      </w:pPr>
      <w:r>
        <w:rPr>
          <w:rFonts w:ascii="Courier New" w:cs="Courier New" w:eastAsia="Courier New" w:hAnsi="Courier New"/>
          <w:sz w:val="15"/>
          <w:szCs w:val="15"/>
          <w:color w:val="auto"/>
        </w:rPr>
        <w:t>We consent to the reference to our firm under the caption "Experts" in Amendment No. 3 to the Registration Statement (Form S-4, No. 333-82242) and related Prospectus of ClearOne Communications, Inc. for the registration of shares of its common stock and to the incorporation by reference therein of our report dated July 27, 2001 with respect to the consolidated financial statements of ClearOne Communications, Inc. (formerly Gentner Communications Corporation) included in its Annual Report (Form 10-K) for the year ended June 30, 2001, filed with the Securities and Exchange Commission.</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Salt Lake City, Utah</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3, 2002</w:t>
      </w:r>
    </w:p>
    <w:p>
      <w:pPr>
        <w:sectPr>
          <w:pgSz w:w="11900" w:h="16838" w:orient="portrait"/>
          <w:cols w:equalWidth="0" w:num="1">
            <w:col w:w="10219"/>
          </w:cols>
          <w:pgMar w:left="240" w:top="139" w:right="1440" w:bottom="1440" w:gutter="0" w:footer="0" w:header="0"/>
        </w:sectPr>
      </w:pPr>
    </w:p>
    <w:bookmarkStart w:id="155" w:name="page156"/>
    <w:bookmarkEnd w:id="155"/>
    <w:p>
      <w:pPr>
        <w:jc w:val="right"/>
        <w:ind w:right="3119"/>
        <w:spacing w:after="0"/>
        <w:rPr>
          <w:sz w:val="20"/>
          <w:szCs w:val="20"/>
          <w:color w:val="auto"/>
        </w:rPr>
      </w:pPr>
      <w:r>
        <w:rPr>
          <w:rFonts w:ascii="Courier New" w:cs="Courier New" w:eastAsia="Courier New" w:hAnsi="Courier New"/>
          <w:sz w:val="15"/>
          <w:szCs w:val="15"/>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 Communications, Inc.</w:t>
      </w:r>
    </w:p>
    <w:p>
      <w:pPr>
        <w:spacing w:after="0" w:line="345" w:lineRule="exact"/>
        <w:rPr>
          <w:sz w:val="20"/>
          <w:szCs w:val="20"/>
          <w:color w:val="auto"/>
        </w:rPr>
      </w:pPr>
    </w:p>
    <w:p>
      <w:pPr>
        <w:ind w:right="3299" w:firstLine="710"/>
        <w:spacing w:after="0" w:line="259" w:lineRule="auto"/>
        <w:rPr>
          <w:sz w:val="20"/>
          <w:szCs w:val="20"/>
          <w:color w:val="auto"/>
        </w:rPr>
      </w:pPr>
      <w:r>
        <w:rPr>
          <w:rFonts w:ascii="Courier New" w:cs="Courier New" w:eastAsia="Courier New" w:hAnsi="Courier New"/>
          <w:sz w:val="14"/>
          <w:szCs w:val="14"/>
          <w:color w:val="auto"/>
        </w:rPr>
        <w:t>We consent to the reference to our firm under the caption "Experts" in Amendment No. 3 to the Registration Statement (Form S-4, No. 333-82242) and related Prospectus of ClearOne Communications, Inc for the registration of its common stock and to the incorporation by reference therein of our report dated July 27, 2001, with respect to the financial statements of Ivron Systems Ltd. for the years ending December 31, 1998, 1999, and 2000, included in ClearOne Communications, Inc Current Report filed on Form 8-K/A on November 23, 2001, filed with the Securities and Exchange Commission, and which Form 8K/A is incorporated by reference into the Registration Statement.</w:t>
      </w:r>
    </w:p>
    <w:p>
      <w:pPr>
        <w:spacing w:after="0" w:line="334"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/s/</w:t>
        <w:tab/>
        <w:t>KPMG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KPMG</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Chartered Accountants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Dublin, Ireland</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7, 2002</w:t>
      </w:r>
    </w:p>
    <w:p>
      <w:pPr>
        <w:sectPr>
          <w:pgSz w:w="11900" w:h="16838" w:orient="portrait"/>
          <w:cols w:equalWidth="0" w:num="1">
            <w:col w:w="10219"/>
          </w:cols>
          <w:pgMar w:left="240" w:top="139" w:right="1440" w:bottom="1440" w:gutter="0" w:footer="0" w:header="0"/>
        </w:sectPr>
      </w:pPr>
    </w:p>
    <w:bookmarkStart w:id="156" w:name="page157"/>
    <w:bookmarkEnd w:id="156"/>
    <w:p>
      <w:pPr>
        <w:jc w:val="right"/>
        <w:ind w:right="3119"/>
        <w:spacing w:after="0"/>
        <w:rPr>
          <w:sz w:val="20"/>
          <w:szCs w:val="20"/>
          <w:color w:val="auto"/>
        </w:rPr>
      </w:pPr>
      <w:r>
        <w:rPr>
          <w:rFonts w:ascii="Courier New" w:cs="Courier New" w:eastAsia="Courier New" w:hAnsi="Courier New"/>
          <w:sz w:val="15"/>
          <w:szCs w:val="15"/>
          <w:color w:val="auto"/>
        </w:rPr>
        <w:t>Exhibit 23.3</w:t>
      </w:r>
    </w:p>
    <w:p>
      <w:pPr>
        <w:spacing w:after="0" w:line="34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AUDITORS' CONSENT</w:t>
      </w:r>
    </w:p>
    <w:p>
      <w:pPr>
        <w:spacing w:after="0" w:line="174" w:lineRule="exact"/>
        <w:rPr>
          <w:sz w:val="20"/>
          <w:szCs w:val="20"/>
          <w:color w:val="auto"/>
        </w:rPr>
      </w:pPr>
    </w:p>
    <w:p>
      <w:pPr>
        <w:ind w:right="3219" w:firstLine="710"/>
        <w:spacing w:after="0"/>
        <w:rPr>
          <w:sz w:val="20"/>
          <w:szCs w:val="20"/>
          <w:color w:val="auto"/>
        </w:rPr>
      </w:pPr>
      <w:r>
        <w:rPr>
          <w:rFonts w:ascii="Courier New" w:cs="Courier New" w:eastAsia="Courier New" w:hAnsi="Courier New"/>
          <w:sz w:val="15"/>
          <w:szCs w:val="15"/>
          <w:color w:val="auto"/>
        </w:rPr>
        <w:t>We consent to the incorporation by reference in this Amendment No. 3 to Registration Statement No. 333-82242 of ClearOne Communications, Inc. on Form S-4 of our report dated March 1, 2002, appearing in the Annual Report on Form 10-KSB of E.mergent, Inc. for the year ended December 31, 2001, and to the reference to us under the heading "Experts" in the prospectus, which is part of this Registration Statement.</w:t>
      </w:r>
    </w:p>
    <w:p>
      <w:pPr>
        <w:spacing w:after="0" w:line="3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Minneapolis, Minnesota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3, 2002</w:t>
      </w:r>
    </w:p>
    <w:p>
      <w:pPr>
        <w:sectPr>
          <w:pgSz w:w="11900" w:h="16838" w:orient="portrait"/>
          <w:cols w:equalWidth="0" w:num="1">
            <w:col w:w="10219"/>
          </w:cols>
          <w:pgMar w:left="240" w:top="139" w:right="1440" w:bottom="1440" w:gutter="0" w:footer="0" w:header="0"/>
        </w:sectPr>
      </w:pPr>
    </w:p>
    <w:bookmarkStart w:id="157" w:name="page158"/>
    <w:bookmarkEnd w:id="157"/>
    <w:p>
      <w:pPr>
        <w:jc w:val="right"/>
        <w:ind w:right="3119"/>
        <w:spacing w:after="0"/>
        <w:rPr>
          <w:sz w:val="20"/>
          <w:szCs w:val="20"/>
          <w:color w:val="auto"/>
        </w:rPr>
      </w:pPr>
      <w:r>
        <w:rPr>
          <w:rFonts w:ascii="Courier New" w:cs="Courier New" w:eastAsia="Courier New" w:hAnsi="Courier New"/>
          <w:sz w:val="15"/>
          <w:szCs w:val="15"/>
          <w:color w:val="auto"/>
        </w:rPr>
        <w:t>Exhibit 23.7</w:t>
      </w:r>
    </w:p>
    <w:p>
      <w:pPr>
        <w:spacing w:after="0" w:line="342" w:lineRule="exact"/>
        <w:rPr>
          <w:sz w:val="20"/>
          <w:szCs w:val="20"/>
          <w:color w:val="auto"/>
        </w:rPr>
      </w:pPr>
    </w:p>
    <w:p>
      <w:pPr>
        <w:ind w:left="2660"/>
        <w:spacing w:after="0"/>
        <w:rPr>
          <w:sz w:val="20"/>
          <w:szCs w:val="20"/>
          <w:color w:val="auto"/>
        </w:rPr>
      </w:pPr>
      <w:r>
        <w:rPr>
          <w:rFonts w:ascii="Courier New" w:cs="Courier New" w:eastAsia="Courier New" w:hAnsi="Courier New"/>
          <w:sz w:val="15"/>
          <w:szCs w:val="15"/>
          <w:color w:val="auto"/>
        </w:rPr>
        <w:t>CONSENT OF LECG, LLC</w:t>
      </w:r>
    </w:p>
    <w:p>
      <w:pPr>
        <w:spacing w:after="0" w:line="34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Directors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ClearOne Communications, Inc.</w:t>
      </w:r>
    </w:p>
    <w:p>
      <w:pPr>
        <w:spacing w:after="0" w:line="174" w:lineRule="exact"/>
        <w:rPr>
          <w:sz w:val="20"/>
          <w:szCs w:val="20"/>
          <w:color w:val="auto"/>
        </w:rPr>
      </w:pPr>
    </w:p>
    <w:p>
      <w:pPr>
        <w:ind w:right="3839"/>
        <w:spacing w:after="0" w:line="239" w:lineRule="auto"/>
        <w:rPr>
          <w:sz w:val="20"/>
          <w:szCs w:val="20"/>
          <w:color w:val="auto"/>
        </w:rPr>
      </w:pPr>
      <w:r>
        <w:rPr>
          <w:rFonts w:ascii="Courier New" w:cs="Courier New" w:eastAsia="Courier New" w:hAnsi="Courier New"/>
          <w:sz w:val="15"/>
          <w:szCs w:val="15"/>
          <w:color w:val="auto"/>
        </w:rPr>
        <w:t>We consent to the use of our name in Amendment No. 3 to the Registration Statement (Form S-4, No. 333-82242) and related Prospectus of ClearOne Communications, Inc.</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LECG</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LECG, LLC</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May 6, 2002</w:t>
      </w:r>
    </w:p>
    <w:p>
      <w:pPr>
        <w:sectPr>
          <w:pgSz w:w="11900" w:h="16838" w:orient="portrait"/>
          <w:cols w:equalWidth="0" w:num="1">
            <w:col w:w="10219"/>
          </w:cols>
          <w:pgMar w:left="240" w:top="139" w:right="1440" w:bottom="1440" w:gutter="0" w:footer="0" w:header="0"/>
        </w:sectPr>
      </w:pPr>
    </w:p>
    <w:bookmarkStart w:id="158" w:name="page159"/>
    <w:bookmarkEnd w:id="158"/>
    <w:p>
      <w:pPr>
        <w:spacing w:after="0" w:line="32" w:lineRule="exact"/>
        <w:rPr>
          <w:sz w:val="20"/>
          <w:szCs w:val="20"/>
          <w:color w:val="auto"/>
        </w:rPr>
      </w:pPr>
    </w:p>
    <w:p>
      <w:pPr>
        <w:ind w:left="6029"/>
        <w:spacing w:after="0"/>
        <w:rPr>
          <w:sz w:val="20"/>
          <w:szCs w:val="20"/>
          <w:color w:val="auto"/>
        </w:rPr>
      </w:pPr>
      <w:r>
        <w:rPr>
          <w:rFonts w:ascii="Courier New" w:cs="Courier New" w:eastAsia="Courier New" w:hAnsi="Courier New"/>
          <w:sz w:val="15"/>
          <w:szCs w:val="15"/>
          <w:color w:val="auto"/>
        </w:rPr>
        <w:t>Exhibit 99.1</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E.MERGENT, INC.</w:t>
      </w:r>
    </w:p>
    <w:p>
      <w:pPr>
        <w:spacing w:after="0" w:line="171" w:lineRule="exact"/>
        <w:rPr>
          <w:sz w:val="20"/>
          <w:szCs w:val="20"/>
          <w:color w:val="auto"/>
        </w:rPr>
      </w:pPr>
    </w:p>
    <w:p>
      <w:pPr>
        <w:ind w:left="2209"/>
        <w:spacing w:after="0"/>
        <w:rPr>
          <w:sz w:val="20"/>
          <w:szCs w:val="20"/>
          <w:color w:val="auto"/>
        </w:rPr>
      </w:pPr>
      <w:r>
        <w:rPr>
          <w:rFonts w:ascii="Courier New" w:cs="Courier New" w:eastAsia="Courier New" w:hAnsi="Courier New"/>
          <w:sz w:val="15"/>
          <w:szCs w:val="15"/>
          <w:color w:val="auto"/>
        </w:rPr>
        <w:t>SPECIAL MEETING OF STOCKHOLDERS</w:t>
      </w:r>
    </w:p>
    <w:p>
      <w:pPr>
        <w:spacing w:after="0" w:line="342" w:lineRule="exact"/>
        <w:rPr>
          <w:sz w:val="20"/>
          <w:szCs w:val="20"/>
          <w:color w:val="auto"/>
        </w:rPr>
      </w:pPr>
    </w:p>
    <w:p>
      <w:pPr>
        <w:ind w:left="3109"/>
        <w:spacing w:after="0"/>
        <w:rPr>
          <w:sz w:val="20"/>
          <w:szCs w:val="20"/>
          <w:color w:val="auto"/>
        </w:rPr>
      </w:pPr>
      <w:r>
        <w:rPr>
          <w:rFonts w:ascii="Courier New" w:cs="Courier New" w:eastAsia="Courier New" w:hAnsi="Courier New"/>
          <w:sz w:val="15"/>
          <w:szCs w:val="15"/>
          <w:color w:val="auto"/>
        </w:rPr>
        <w:t>10:00 a.m.</w:t>
      </w:r>
    </w:p>
    <w:p>
      <w:pPr>
        <w:spacing w:after="0" w:line="17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E.MERGENT, INC.</w:t>
      </w:r>
    </w:p>
    <w:p>
      <w:pPr>
        <w:spacing w:after="0" w:line="1" w:lineRule="exact"/>
        <w:rPr>
          <w:sz w:val="20"/>
          <w:szCs w:val="20"/>
          <w:color w:val="auto"/>
        </w:rPr>
      </w:pPr>
    </w:p>
    <w:p>
      <w:pPr>
        <w:jc w:val="center"/>
        <w:ind w:right="3030"/>
        <w:spacing w:after="0"/>
        <w:rPr>
          <w:sz w:val="20"/>
          <w:szCs w:val="20"/>
          <w:color w:val="auto"/>
        </w:rPr>
      </w:pPr>
      <w:r>
        <w:rPr>
          <w:rFonts w:ascii="Courier New" w:cs="Courier New" w:eastAsia="Courier New" w:hAnsi="Courier New"/>
          <w:sz w:val="15"/>
          <w:szCs w:val="15"/>
          <w:color w:val="auto"/>
        </w:rPr>
        <w:t>6110 Golden Hills Drive</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Golden Valley, MN, 55416</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E.mergent, Inc.</w:t>
      </w:r>
    </w:p>
    <w:p>
      <w:pPr>
        <w:spacing w:after="0" w:line="1" w:lineRule="exact"/>
        <w:rPr>
          <w:sz w:val="20"/>
          <w:szCs w:val="20"/>
          <w:color w:val="auto"/>
        </w:rPr>
      </w:pPr>
    </w:p>
    <w:p>
      <w:pPr>
        <w:ind w:left="9"/>
        <w:spacing w:after="0"/>
        <w:tabs>
          <w:tab w:leader="none" w:pos="3709" w:val="left"/>
          <w:tab w:leader="none" w:pos="6629" w:val="left"/>
        </w:tabs>
        <w:rPr>
          <w:sz w:val="20"/>
          <w:szCs w:val="20"/>
          <w:color w:val="auto"/>
        </w:rPr>
      </w:pPr>
      <w:r>
        <w:rPr>
          <w:rFonts w:ascii="Courier New" w:cs="Courier New" w:eastAsia="Courier New" w:hAnsi="Courier New"/>
          <w:sz w:val="15"/>
          <w:szCs w:val="15"/>
          <w:color w:val="auto"/>
        </w:rPr>
        <w:t>6110 Golden Hills Dr., Golden Valley, MN</w:t>
        <w:tab/>
        <w:t>55416</w:t>
      </w:r>
      <w:r>
        <w:rPr>
          <w:sz w:val="20"/>
          <w:szCs w:val="20"/>
          <w:color w:val="auto"/>
        </w:rPr>
        <w:tab/>
      </w:r>
      <w:r>
        <w:rPr>
          <w:rFonts w:ascii="Courier New" w:cs="Courier New" w:eastAsia="Courier New" w:hAnsi="Courier New"/>
          <w:sz w:val="15"/>
          <w:szCs w:val="15"/>
          <w:color w:val="auto"/>
        </w:rPr>
        <w:t>proxy</w:t>
      </w:r>
    </w:p>
    <w:p>
      <w:pPr>
        <w:spacing w:after="0" w:line="3" w:lineRule="exact"/>
        <w:rPr>
          <w:sz w:val="20"/>
          <w:szCs w:val="20"/>
          <w:color w:val="auto"/>
        </w:rPr>
      </w:pPr>
    </w:p>
    <w:p>
      <w:pPr>
        <w:ind w:left="169" w:hanging="169"/>
        <w:spacing w:after="0"/>
        <w:tabs>
          <w:tab w:leader="none" w:pos="169" w:val="left"/>
        </w:tabs>
        <w:numPr>
          <w:ilvl w:val="0"/>
          <w:numId w:val="2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80" w:lineRule="exact"/>
        <w:rPr>
          <w:rFonts w:ascii="Courier New" w:cs="Courier New" w:eastAsia="Courier New" w:hAnsi="Courier New"/>
          <w:sz w:val="14"/>
          <w:szCs w:val="14"/>
          <w:color w:val="auto"/>
        </w:rPr>
      </w:pPr>
    </w:p>
    <w:p>
      <w:pPr>
        <w:ind w:left="88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This Proxy is Solicited on Behalf of the Board of Directors.</w:t>
      </w:r>
    </w:p>
    <w:p>
      <w:pPr>
        <w:spacing w:after="0" w:line="174" w:lineRule="exact"/>
        <w:rPr>
          <w:sz w:val="20"/>
          <w:szCs w:val="20"/>
          <w:color w:val="auto"/>
        </w:rPr>
      </w:pPr>
    </w:p>
    <w:p>
      <w:pPr>
        <w:ind w:left="9" w:right="3119"/>
        <w:spacing w:after="0"/>
        <w:rPr>
          <w:sz w:val="20"/>
          <w:szCs w:val="20"/>
          <w:color w:val="auto"/>
        </w:rPr>
      </w:pPr>
      <w:r>
        <w:rPr>
          <w:rFonts w:ascii="Courier New" w:cs="Courier New" w:eastAsia="Courier New" w:hAnsi="Courier New"/>
          <w:sz w:val="15"/>
          <w:szCs w:val="15"/>
          <w:color w:val="auto"/>
        </w:rPr>
        <w:t>The undersigned, having duly received the Notice of Special Meeting, the Proxy Statement/ Prospectus, and the Form of Proxy dated May 7, 2002, hereby appoints James W. Hansen and Jill R. Larson proxies (each with the power to act alone and with the power of substitution and revocation), to represent the undersigned and to vote, as designated on the reverse side, all common shares of E.mergent, Inc., which the undersigned is entitled to vote at the Special Meeting of Shareholders of E.mergent, Inc., to be held at 10:00 a.m. on May 31, 2002, at E.mergent, Inc., located at 6110 Golden Hills Drive, Golden Valley, Minnesota 55416. Failures to vote and abstentions will have the same effect as a vote against the Merger.</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949"/>
        <w:spacing w:after="0"/>
        <w:rPr>
          <w:sz w:val="20"/>
          <w:szCs w:val="20"/>
          <w:color w:val="auto"/>
        </w:rPr>
      </w:pPr>
      <w:r>
        <w:rPr>
          <w:rFonts w:ascii="Courier New" w:cs="Courier New" w:eastAsia="Courier New" w:hAnsi="Courier New"/>
          <w:sz w:val="15"/>
          <w:szCs w:val="15"/>
          <w:color w:val="auto"/>
        </w:rPr>
        <w:t>See reverse for voting instructions.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7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5769"/>
        <w:spacing w:after="0"/>
        <w:rPr>
          <w:sz w:val="20"/>
          <w:szCs w:val="20"/>
          <w:color w:val="auto"/>
        </w:rPr>
      </w:pPr>
      <w:r>
        <w:rPr>
          <w:rFonts w:ascii="Courier New" w:cs="Courier New" w:eastAsia="Courier New" w:hAnsi="Courier New"/>
          <w:sz w:val="15"/>
          <w:szCs w:val="15"/>
          <w:color w:val="auto"/>
        </w:rPr>
        <w:t>COMPANY #</w:t>
      </w:r>
    </w:p>
    <w:p>
      <w:pPr>
        <w:spacing w:after="0" w:line="1" w:lineRule="exact"/>
        <w:rPr>
          <w:sz w:val="20"/>
          <w:szCs w:val="20"/>
          <w:color w:val="auto"/>
        </w:rPr>
      </w:pPr>
    </w:p>
    <w:p>
      <w:pPr>
        <w:ind w:left="5769"/>
        <w:spacing w:after="0"/>
        <w:rPr>
          <w:sz w:val="20"/>
          <w:szCs w:val="20"/>
          <w:color w:val="auto"/>
        </w:rPr>
      </w:pPr>
      <w:r>
        <w:rPr>
          <w:rFonts w:ascii="Courier New" w:cs="Courier New" w:eastAsia="Courier New" w:hAnsi="Courier New"/>
          <w:sz w:val="15"/>
          <w:szCs w:val="15"/>
          <w:color w:val="auto"/>
        </w:rPr>
        <w:t>CONTROL #</w:t>
      </w:r>
    </w:p>
    <w:p>
      <w:pPr>
        <w:spacing w:after="0" w:line="1" w:lineRule="exact"/>
        <w:rPr>
          <w:sz w:val="20"/>
          <w:szCs w:val="20"/>
          <w:color w:val="auto"/>
        </w:rPr>
      </w:pPr>
    </w:p>
    <w:p>
      <w:pPr>
        <w:ind w:left="5769"/>
        <w:spacing w:after="0"/>
        <w:rPr>
          <w:sz w:val="20"/>
          <w:szCs w:val="20"/>
          <w:color w:val="auto"/>
        </w:rPr>
      </w:pPr>
      <w:r>
        <w:rPr>
          <w:rFonts w:ascii="Courier New" w:cs="Courier New" w:eastAsia="Courier New" w:hAnsi="Courier New"/>
          <w:sz w:val="15"/>
          <w:szCs w:val="15"/>
          <w:color w:val="auto"/>
        </w:rPr>
        <w:t>---------------</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There are three ways to vote your Proxy</w:t>
      </w:r>
    </w:p>
    <w:p>
      <w:pPr>
        <w:spacing w:after="0" w:line="174" w:lineRule="exact"/>
        <w:rPr>
          <w:sz w:val="20"/>
          <w:szCs w:val="20"/>
          <w:color w:val="auto"/>
        </w:rPr>
      </w:pPr>
    </w:p>
    <w:p>
      <w:pPr>
        <w:ind w:left="9" w:right="3119"/>
        <w:spacing w:after="0" w:line="271" w:lineRule="auto"/>
        <w:rPr>
          <w:sz w:val="20"/>
          <w:szCs w:val="20"/>
          <w:color w:val="auto"/>
        </w:rPr>
      </w:pPr>
      <w:r>
        <w:rPr>
          <w:rFonts w:ascii="Courier New" w:cs="Courier New" w:eastAsia="Courier New" w:hAnsi="Courier New"/>
          <w:sz w:val="14"/>
          <w:szCs w:val="14"/>
          <w:color w:val="auto"/>
        </w:rPr>
        <w:t>Your telephone or Internet vote authorizes the Named Proxies to vote your shares in the same manner as if you marked, signed and returned your proxy card.</w:t>
      </w:r>
    </w:p>
    <w:p>
      <w:pPr>
        <w:spacing w:after="0" w:line="15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VOTE BY PHONE - TOLL FREE - 1-800-240-6326 - QUICK "' EASY "'IMMEDIATE</w:t>
      </w:r>
    </w:p>
    <w:p>
      <w:pPr>
        <w:spacing w:after="0" w:line="3" w:lineRule="exact"/>
        <w:rPr>
          <w:sz w:val="20"/>
          <w:szCs w:val="20"/>
          <w:color w:val="auto"/>
        </w:rPr>
      </w:pPr>
    </w:p>
    <w:p>
      <w:pPr>
        <w:ind w:left="349" w:right="3479" w:hanging="349"/>
        <w:spacing w:after="0" w:line="238" w:lineRule="auto"/>
        <w:tabs>
          <w:tab w:leader="none" w:pos="349"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any touch-tone telephone to vote your proxy 24 hours a day, 7 days a week, until 11:00 a.m. (CT) on May 30, 2002.</w:t>
      </w:r>
    </w:p>
    <w:p>
      <w:pPr>
        <w:spacing w:after="0" w:line="4" w:lineRule="exact"/>
        <w:rPr>
          <w:rFonts w:ascii="Courier New" w:cs="Courier New" w:eastAsia="Courier New" w:hAnsi="Courier New"/>
          <w:sz w:val="15"/>
          <w:szCs w:val="15"/>
          <w:color w:val="auto"/>
        </w:rPr>
      </w:pPr>
    </w:p>
    <w:p>
      <w:pPr>
        <w:ind w:left="349" w:right="3299" w:hanging="349"/>
        <w:spacing w:after="0" w:line="238" w:lineRule="auto"/>
        <w:tabs>
          <w:tab w:leader="none" w:pos="349"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be prompted to enter your 3-digit Company Number and your 7-digit Control Number which are located above.</w:t>
      </w:r>
    </w:p>
    <w:p>
      <w:pPr>
        <w:spacing w:after="0" w:line="1" w:lineRule="exact"/>
        <w:rPr>
          <w:rFonts w:ascii="Courier New" w:cs="Courier New" w:eastAsia="Courier New" w:hAnsi="Courier New"/>
          <w:sz w:val="15"/>
          <w:szCs w:val="15"/>
          <w:color w:val="auto"/>
        </w:rPr>
      </w:pPr>
    </w:p>
    <w:p>
      <w:pPr>
        <w:ind w:left="349" w:hanging="349"/>
        <w:spacing w:after="0"/>
        <w:tabs>
          <w:tab w:leader="none" w:pos="349" w:val="left"/>
        </w:tabs>
        <w:numPr>
          <w:ilvl w:val="0"/>
          <w:numId w:val="2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 the simple instructions the voice provides you.</w:t>
      </w:r>
    </w:p>
    <w:p>
      <w:pPr>
        <w:spacing w:after="0" w:line="171" w:lineRule="exact"/>
        <w:rPr>
          <w:sz w:val="20"/>
          <w:szCs w:val="20"/>
          <w:color w:val="auto"/>
        </w:rPr>
      </w:pPr>
    </w:p>
    <w:p>
      <w:pPr>
        <w:ind w:left="9"/>
        <w:spacing w:after="0"/>
        <w:tabs>
          <w:tab w:leader="none" w:pos="1749" w:val="left"/>
        </w:tabs>
        <w:rPr>
          <w:sz w:val="20"/>
          <w:szCs w:val="20"/>
          <w:color w:val="auto"/>
        </w:rPr>
      </w:pPr>
      <w:r>
        <w:rPr>
          <w:rFonts w:ascii="Courier New" w:cs="Courier New" w:eastAsia="Courier New" w:hAnsi="Courier New"/>
          <w:sz w:val="15"/>
          <w:szCs w:val="15"/>
          <w:color w:val="auto"/>
        </w:rPr>
        <w:t>VOTE BY INTERNET -</w:t>
      </w:r>
      <w:r>
        <w:rPr>
          <w:sz w:val="20"/>
          <w:szCs w:val="20"/>
          <w:color w:val="auto"/>
        </w:rPr>
        <w:tab/>
      </w:r>
      <w:r>
        <w:rPr>
          <w:rFonts w:ascii="Courier New" w:cs="Courier New" w:eastAsia="Courier New" w:hAnsi="Courier New"/>
          <w:sz w:val="14"/>
          <w:szCs w:val="14"/>
          <w:color w:val="auto"/>
        </w:rPr>
        <w:t>- QUICK "' EASY "'IMMEDIATE</w:t>
      </w:r>
    </w:p>
    <w:p>
      <w:pPr>
        <w:spacing w:after="0" w:line="3" w:lineRule="exact"/>
        <w:rPr>
          <w:sz w:val="20"/>
          <w:szCs w:val="20"/>
          <w:color w:val="auto"/>
        </w:rPr>
      </w:pPr>
    </w:p>
    <w:p>
      <w:pPr>
        <w:ind w:left="349" w:right="3479" w:hanging="349"/>
        <w:spacing w:after="0" w:line="238" w:lineRule="auto"/>
        <w:tabs>
          <w:tab w:leader="none" w:pos="349"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the Internet to vote your proxy 24 hours a day, 7 days a week, until 11:00 a.m. (CT) on May 30, 2002.</w:t>
      </w:r>
    </w:p>
    <w:p>
      <w:pPr>
        <w:spacing w:after="0" w:line="4" w:lineRule="exact"/>
        <w:rPr>
          <w:rFonts w:ascii="Courier New" w:cs="Courier New" w:eastAsia="Courier New" w:hAnsi="Courier New"/>
          <w:sz w:val="15"/>
          <w:szCs w:val="15"/>
          <w:color w:val="auto"/>
        </w:rPr>
      </w:pPr>
    </w:p>
    <w:p>
      <w:pPr>
        <w:ind w:left="349" w:right="3219" w:hanging="349"/>
        <w:spacing w:after="0" w:line="239" w:lineRule="auto"/>
        <w:tabs>
          <w:tab w:leader="none" w:pos="349"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You will be prompted to enter your 3-digit Company Number and your 7-digit Control Number which are located above to obtain your records and create an electronic ballot.</w:t>
      </w:r>
    </w:p>
    <w:p>
      <w:pPr>
        <w:spacing w:after="0" w:line="343"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rPr>
              <w:t>VOTE BY MAIL</w:t>
            </w:r>
          </w:p>
        </w:tc>
        <w:tc>
          <w:tcPr>
            <w:tcW w:w="1420" w:type="dxa"/>
            <w:vAlign w:val="bottom"/>
          </w:tcPr>
          <w:p>
            <w:pPr>
              <w:spacing w:after="0"/>
              <w:rPr>
                <w:sz w:val="14"/>
                <w:szCs w:val="14"/>
                <w:color w:val="auto"/>
              </w:rPr>
            </w:pPr>
          </w:p>
        </w:tc>
        <w:tc>
          <w:tcPr>
            <w:tcW w:w="4300" w:type="dxa"/>
            <w:vAlign w:val="bottom"/>
          </w:tcPr>
          <w:p>
            <w:pPr>
              <w:spacing w:after="0"/>
              <w:rPr>
                <w:sz w:val="14"/>
                <w:szCs w:val="14"/>
                <w:color w:val="auto"/>
              </w:rPr>
            </w:pP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Mark, sign</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and</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date your proxy</w:t>
            </w:r>
          </w:p>
        </w:tc>
        <w:tc>
          <w:tcPr>
            <w:tcW w:w="4300" w:type="dxa"/>
            <w:vAlign w:val="bottom"/>
          </w:tcPr>
          <w:p>
            <w:pPr>
              <w:ind w:left="40"/>
              <w:spacing w:after="0"/>
              <w:rPr>
                <w:sz w:val="20"/>
                <w:szCs w:val="20"/>
                <w:color w:val="auto"/>
              </w:rPr>
            </w:pPr>
            <w:r>
              <w:rPr>
                <w:rFonts w:ascii="Courier New" w:cs="Courier New" w:eastAsia="Courier New" w:hAnsi="Courier New"/>
                <w:sz w:val="15"/>
                <w:szCs w:val="15"/>
                <w:color w:val="auto"/>
              </w:rPr>
              <w:t>card and return it in the postage-paid envelope</w:t>
            </w:r>
          </w:p>
        </w:tc>
      </w:tr>
      <w:tr>
        <w:trPr>
          <w:trHeight w:val="171"/>
        </w:trPr>
        <w:tc>
          <w:tcPr>
            <w:tcW w:w="1280" w:type="dxa"/>
            <w:vAlign w:val="bottom"/>
            <w:gridSpan w:val="2"/>
          </w:tcPr>
          <w:p>
            <w:pPr>
              <w:spacing w:after="0"/>
              <w:rPr>
                <w:sz w:val="20"/>
                <w:szCs w:val="20"/>
                <w:color w:val="auto"/>
              </w:rPr>
            </w:pPr>
            <w:r>
              <w:rPr>
                <w:rFonts w:ascii="Courier New" w:cs="Courier New" w:eastAsia="Courier New" w:hAnsi="Courier New"/>
                <w:sz w:val="15"/>
                <w:szCs w:val="15"/>
                <w:color w:val="auto"/>
                <w:w w:val="99"/>
              </w:rPr>
              <w:t>we've provided</w:t>
            </w:r>
          </w:p>
        </w:tc>
        <w:tc>
          <w:tcPr>
            <w:tcW w:w="1420" w:type="dxa"/>
            <w:vAlign w:val="bottom"/>
          </w:tcPr>
          <w:p>
            <w:pPr>
              <w:ind w:left="40"/>
              <w:spacing w:after="0"/>
              <w:rPr>
                <w:sz w:val="20"/>
                <w:szCs w:val="20"/>
                <w:color w:val="auto"/>
              </w:rPr>
            </w:pPr>
            <w:r>
              <w:rPr>
                <w:rFonts w:ascii="Courier New" w:cs="Courier New" w:eastAsia="Courier New" w:hAnsi="Courier New"/>
                <w:sz w:val="15"/>
                <w:szCs w:val="15"/>
                <w:color w:val="auto"/>
              </w:rPr>
              <w:t>or return it to</w:t>
            </w:r>
          </w:p>
        </w:tc>
        <w:tc>
          <w:tcPr>
            <w:tcW w:w="4300" w:type="dxa"/>
            <w:vAlign w:val="bottom"/>
          </w:tcPr>
          <w:p>
            <w:pPr>
              <w:ind w:left="40"/>
              <w:spacing w:after="0"/>
              <w:rPr>
                <w:sz w:val="20"/>
                <w:szCs w:val="20"/>
                <w:color w:val="auto"/>
              </w:rPr>
            </w:pPr>
            <w:r>
              <w:rPr>
                <w:rFonts w:ascii="Courier New" w:cs="Courier New" w:eastAsia="Courier New" w:hAnsi="Courier New"/>
                <w:sz w:val="15"/>
                <w:szCs w:val="15"/>
                <w:color w:val="auto"/>
                <w:w w:val="98"/>
              </w:rPr>
              <w:t>E.mergent, Inc., c/o Shareowner ServicesSM, P.O.</w:t>
            </w:r>
          </w:p>
        </w:tc>
      </w:tr>
      <w:tr>
        <w:trPr>
          <w:trHeight w:val="171"/>
        </w:trPr>
        <w:tc>
          <w:tcPr>
            <w:tcW w:w="920" w:type="dxa"/>
            <w:vAlign w:val="bottom"/>
          </w:tcPr>
          <w:p>
            <w:pPr>
              <w:spacing w:after="0"/>
              <w:rPr>
                <w:sz w:val="20"/>
                <w:szCs w:val="20"/>
                <w:color w:val="auto"/>
              </w:rPr>
            </w:pPr>
            <w:r>
              <w:rPr>
                <w:rFonts w:ascii="Courier New" w:cs="Courier New" w:eastAsia="Courier New" w:hAnsi="Courier New"/>
                <w:sz w:val="15"/>
                <w:szCs w:val="15"/>
                <w:color w:val="auto"/>
                <w:w w:val="99"/>
              </w:rPr>
              <w:t>Box 64873,</w:t>
            </w:r>
          </w:p>
        </w:tc>
        <w:tc>
          <w:tcPr>
            <w:tcW w:w="360" w:type="dxa"/>
            <w:vAlign w:val="bottom"/>
          </w:tcPr>
          <w:p>
            <w:pPr>
              <w:ind w:left="40"/>
              <w:spacing w:after="0"/>
              <w:rPr>
                <w:sz w:val="20"/>
                <w:szCs w:val="20"/>
                <w:color w:val="auto"/>
              </w:rPr>
            </w:pPr>
            <w:r>
              <w:rPr>
                <w:rFonts w:ascii="Courier New" w:cs="Courier New" w:eastAsia="Courier New" w:hAnsi="Courier New"/>
                <w:sz w:val="15"/>
                <w:szCs w:val="15"/>
                <w:color w:val="auto"/>
              </w:rPr>
              <w:t>St.</w:t>
            </w:r>
          </w:p>
        </w:tc>
        <w:tc>
          <w:tcPr>
            <w:tcW w:w="57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Paul, MN 55164-0873.</w:t>
            </w:r>
          </w:p>
        </w:tc>
      </w:tr>
    </w:tbl>
    <w:p>
      <w:pPr>
        <w:spacing w:after="0" w:line="17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If you vote by Phone or Internet, please do not mail your Proxy Card</w:t>
      </w:r>
    </w:p>
    <w:p>
      <w:pPr>
        <w:spacing w:after="0" w:line="1" w:lineRule="exact"/>
        <w:rPr>
          <w:sz w:val="20"/>
          <w:szCs w:val="20"/>
          <w:color w:val="auto"/>
        </w:rPr>
      </w:pPr>
    </w:p>
    <w:p>
      <w:pPr>
        <w:jc w:val="center"/>
        <w:ind w:right="3110"/>
        <w:spacing w:after="0"/>
        <w:rPr>
          <w:sz w:val="20"/>
          <w:szCs w:val="20"/>
          <w:color w:val="auto"/>
        </w:rPr>
      </w:pPr>
      <w:r>
        <w:rPr>
          <w:rFonts w:ascii="Courier New" w:cs="Courier New" w:eastAsia="Courier New" w:hAnsi="Courier New"/>
          <w:sz w:val="15"/>
          <w:szCs w:val="15"/>
          <w:color w:val="auto"/>
        </w:rPr>
        <w:t>- Please detach here -</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[GRAPHIC OMITTED]</w:t>
      </w:r>
    </w:p>
    <w:p>
      <w:pPr>
        <w:spacing w:after="0" w:line="3" w:lineRule="exact"/>
        <w:rPr>
          <w:sz w:val="20"/>
          <w:szCs w:val="20"/>
          <w:color w:val="auto"/>
        </w:rPr>
      </w:pPr>
    </w:p>
    <w:p>
      <w:pPr>
        <w:ind w:left="169" w:hanging="169"/>
        <w:spacing w:after="0"/>
        <w:tabs>
          <w:tab w:leader="none" w:pos="169"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249"/>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The Board of Directors Recommends a Vote FOR Item 1.</w:t>
      </w:r>
    </w:p>
    <w:p>
      <w:pPr>
        <w:spacing w:after="0" w:line="174" w:lineRule="exact"/>
        <w:rPr>
          <w:sz w:val="20"/>
          <w:szCs w:val="20"/>
          <w:color w:val="auto"/>
        </w:rPr>
      </w:pPr>
    </w:p>
    <w:p>
      <w:pPr>
        <w:ind w:left="9" w:right="3299" w:hanging="9"/>
        <w:spacing w:after="0"/>
        <w:tabs>
          <w:tab w:leader="none" w:pos="719"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and approve the Agreement and Plan of Merger dated as of January 21, 2002, by and among ClearOne Communications, Inc., a Utah corporation, Tundra Acquisition Corporation, a Delaware corporation and wholly owned subsidiary of ClearOne Communications, Inc. and E.mergent, Inc., a Delaware corporation, and to approve the merger contemplated by the Merger Agreement.</w:t>
      </w:r>
    </w:p>
    <w:p>
      <w:pPr>
        <w:spacing w:after="0" w:line="172" w:lineRule="exact"/>
        <w:rPr>
          <w:sz w:val="20"/>
          <w:szCs w:val="20"/>
          <w:color w:val="auto"/>
        </w:rPr>
      </w:pPr>
    </w:p>
    <w:tbl>
      <w:tblPr>
        <w:tblLayout w:type="fixed"/>
        <w:tblInd w:w="9" w:type="dxa"/>
        <w:tblCellMar>
          <w:top w:w="0" w:type="dxa"/>
          <w:left w:w="0" w:type="dxa"/>
          <w:bottom w:w="0" w:type="dxa"/>
          <w:right w:w="0" w:type="dxa"/>
        </w:tblCellMar>
      </w:tblPr>
      <w:tr>
        <w:trPr>
          <w:trHeight w:val="170"/>
        </w:trPr>
        <w:tc>
          <w:tcPr>
            <w:tcW w:w="440" w:type="dxa"/>
            <w:vAlign w:val="bottom"/>
          </w:tcPr>
          <w:p>
            <w:pPr>
              <w:spacing w:after="0"/>
              <w:rPr>
                <w:sz w:val="14"/>
                <w:szCs w:val="14"/>
                <w:color w:val="auto"/>
              </w:rPr>
            </w:pPr>
          </w:p>
        </w:tc>
        <w:tc>
          <w:tcPr>
            <w:tcW w:w="3720" w:type="dxa"/>
            <w:vAlign w:val="bottom"/>
          </w:tcPr>
          <w:p>
            <w:pPr>
              <w:ind w:left="2560"/>
              <w:spacing w:after="0"/>
              <w:rPr>
                <w:sz w:val="20"/>
                <w:szCs w:val="20"/>
                <w:color w:val="auto"/>
              </w:rPr>
            </w:pPr>
            <w:r>
              <w:rPr>
                <w:rFonts w:ascii="Courier New" w:cs="Courier New" w:eastAsia="Courier New" w:hAnsi="Courier New"/>
                <w:sz w:val="15"/>
                <w:szCs w:val="15"/>
                <w:color w:val="auto"/>
              </w:rPr>
              <w:t>[ ]  For</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 ]  Against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w w:val="95"/>
              </w:rPr>
              <w:t>Abstain</w:t>
            </w:r>
          </w:p>
        </w:tc>
      </w:tr>
      <w:tr>
        <w:trPr>
          <w:trHeight w:val="341"/>
        </w:trPr>
        <w:tc>
          <w:tcPr>
            <w:tcW w:w="440" w:type="dxa"/>
            <w:vAlign w:val="bottom"/>
          </w:tcPr>
          <w:p>
            <w:pPr>
              <w:jc w:val="right"/>
              <w:ind w:right="206"/>
              <w:spacing w:after="0"/>
              <w:rPr>
                <w:sz w:val="20"/>
                <w:szCs w:val="20"/>
                <w:color w:val="auto"/>
              </w:rPr>
            </w:pPr>
            <w:r>
              <w:rPr>
                <w:rFonts w:ascii="Courier New" w:cs="Courier New" w:eastAsia="Courier New" w:hAnsi="Courier New"/>
                <w:sz w:val="15"/>
                <w:szCs w:val="15"/>
                <w:color w:val="auto"/>
                <w:w w:val="77"/>
              </w:rPr>
              <w:t>2.</w:t>
            </w:r>
          </w:p>
        </w:tc>
        <w:tc>
          <w:tcPr>
            <w:tcW w:w="3720" w:type="dxa"/>
            <w:vAlign w:val="bottom"/>
          </w:tcPr>
          <w:p>
            <w:pPr>
              <w:ind w:left="260"/>
              <w:spacing w:after="0"/>
              <w:rPr>
                <w:sz w:val="20"/>
                <w:szCs w:val="20"/>
                <w:color w:val="auto"/>
              </w:rPr>
            </w:pPr>
            <w:r>
              <w:rPr>
                <w:rFonts w:ascii="Courier New" w:cs="Courier New" w:eastAsia="Courier New" w:hAnsi="Courier New"/>
                <w:sz w:val="15"/>
                <w:szCs w:val="15"/>
                <w:color w:val="auto"/>
              </w:rPr>
              <w:t>In their  discretion,  the Proxies are</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authorized to</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vote upon</w:t>
            </w:r>
          </w:p>
        </w:tc>
        <w:tc>
          <w:tcPr>
            <w:tcW w:w="660" w:type="dxa"/>
            <w:vAlign w:val="bottom"/>
          </w:tcPr>
          <w:p>
            <w:pPr>
              <w:ind w:left="40"/>
              <w:spacing w:after="0"/>
              <w:rPr>
                <w:sz w:val="20"/>
                <w:szCs w:val="20"/>
                <w:color w:val="auto"/>
              </w:rPr>
            </w:pPr>
            <w:r>
              <w:rPr>
                <w:rFonts w:ascii="Courier New" w:cs="Courier New" w:eastAsia="Courier New" w:hAnsi="Courier New"/>
                <w:sz w:val="15"/>
                <w:szCs w:val="15"/>
                <w:color w:val="auto"/>
              </w:rPr>
              <w:t>such</w:t>
            </w:r>
          </w:p>
        </w:tc>
      </w:tr>
    </w:tbl>
    <w:p>
      <w:pPr>
        <w:sectPr>
          <w:pgSz w:w="11900" w:h="16870" w:orient="portrait"/>
          <w:cols w:equalWidth="0" w:num="1">
            <w:col w:w="10228"/>
          </w:cols>
          <w:pgMar w:left="231" w:top="139" w:right="1440" w:bottom="0" w:gutter="0" w:footer="0" w:header="0"/>
        </w:sectPr>
      </w:pPr>
    </w:p>
    <w:bookmarkStart w:id="159" w:name="page160"/>
    <w:bookmarkEnd w:id="159"/>
    <w:p>
      <w:pPr>
        <w:spacing w:after="0"/>
        <w:tabs>
          <w:tab w:leader="none" w:pos="600" w:val="left"/>
        </w:tabs>
        <w:rPr>
          <w:sz w:val="20"/>
          <w:szCs w:val="20"/>
          <w:color w:val="auto"/>
        </w:rPr>
      </w:pPr>
      <w:r>
        <w:rPr>
          <w:rFonts w:ascii="Courier New" w:cs="Courier New" w:eastAsia="Courier New" w:hAnsi="Courier New"/>
          <w:sz w:val="15"/>
          <w:szCs w:val="15"/>
          <w:color w:val="auto"/>
        </w:rPr>
        <w:t>other</w:t>
      </w:r>
      <w:r>
        <w:rPr>
          <w:sz w:val="20"/>
          <w:szCs w:val="20"/>
          <w:color w:val="auto"/>
        </w:rPr>
        <w:tab/>
      </w:r>
      <w:r>
        <w:rPr>
          <w:rFonts w:ascii="Courier New" w:cs="Courier New" w:eastAsia="Courier New" w:hAnsi="Courier New"/>
          <w:sz w:val="14"/>
          <w:szCs w:val="14"/>
          <w:color w:val="auto"/>
        </w:rPr>
        <w:t>business as may properlycome before the meeting.</w:t>
      </w:r>
    </w:p>
    <w:p>
      <w:pPr>
        <w:spacing w:after="0" w:line="171" w:lineRule="exact"/>
        <w:rPr>
          <w:sz w:val="20"/>
          <w:szCs w:val="20"/>
          <w:color w:val="auto"/>
        </w:rPr>
      </w:pPr>
    </w:p>
    <w:p>
      <w:pPr>
        <w:ind w:left="3000"/>
        <w:spacing w:after="0"/>
        <w:tabs>
          <w:tab w:leader="none" w:pos="3440" w:val="left"/>
          <w:tab w:leader="none" w:pos="4320" w:val="left"/>
          <w:tab w:leader="none" w:pos="4760" w:val="left"/>
          <w:tab w:leader="none" w:pos="6000" w:val="left"/>
        </w:tabs>
        <w:rPr>
          <w:sz w:val="20"/>
          <w:szCs w:val="20"/>
          <w:color w:val="auto"/>
        </w:rPr>
      </w:pPr>
      <w:r>
        <w:rPr>
          <w:rFonts w:ascii="Courier New" w:cs="Courier New" w:eastAsia="Courier New" w:hAnsi="Courier New"/>
          <w:sz w:val="15"/>
          <w:szCs w:val="15"/>
          <w:color w:val="auto"/>
        </w:rPr>
        <w:t>[ ]</w:t>
        <w:tab/>
        <w:t>For</w:t>
      </w:r>
      <w:r>
        <w:rPr>
          <w:sz w:val="20"/>
          <w:szCs w:val="20"/>
          <w:color w:val="auto"/>
        </w:rPr>
        <w:tab/>
      </w:r>
      <w:r>
        <w:rPr>
          <w:rFonts w:ascii="Courier New" w:cs="Courier New" w:eastAsia="Courier New" w:hAnsi="Courier New"/>
          <w:sz w:val="15"/>
          <w:szCs w:val="15"/>
          <w:color w:val="auto"/>
        </w:rPr>
        <w:t>[ ]</w:t>
        <w:tab/>
        <w:t>Against</w:t>
      </w:r>
      <w:r>
        <w:rPr>
          <w:sz w:val="20"/>
          <w:szCs w:val="20"/>
          <w:color w:val="auto"/>
        </w:rPr>
        <w:tab/>
      </w:r>
      <w:r>
        <w:rPr>
          <w:rFonts w:ascii="Courier New" w:cs="Courier New" w:eastAsia="Courier New" w:hAnsi="Courier New"/>
          <w:sz w:val="14"/>
          <w:szCs w:val="14"/>
          <w:color w:val="auto"/>
        </w:rPr>
        <w:t>[ ] Abstain</w:t>
      </w:r>
    </w:p>
    <w:p>
      <w:pPr>
        <w:spacing w:after="0" w:line="174" w:lineRule="exact"/>
        <w:rPr>
          <w:sz w:val="20"/>
          <w:szCs w:val="20"/>
          <w:color w:val="auto"/>
        </w:rPr>
      </w:pPr>
    </w:p>
    <w:p>
      <w:pPr>
        <w:ind w:right="3119"/>
        <w:spacing w:after="0" w:line="239" w:lineRule="auto"/>
        <w:rPr>
          <w:sz w:val="20"/>
          <w:szCs w:val="20"/>
          <w:color w:val="auto"/>
        </w:rPr>
      </w:pPr>
      <w:r>
        <w:rPr>
          <w:rFonts w:ascii="Courier New" w:cs="Courier New" w:eastAsia="Courier New" w:hAnsi="Courier New"/>
          <w:sz w:val="15"/>
          <w:szCs w:val="15"/>
          <w:color w:val="auto"/>
        </w:rPr>
        <w:t>This proxy when properly executed will be voted in the manner directed herein by the undersigned shareholder. If no direction is made, this proxy will be voted in favor of proposal in Item 1.</w:t>
      </w:r>
    </w:p>
    <w:p>
      <w:pPr>
        <w:spacing w:after="0" w:line="175" w:lineRule="exact"/>
        <w:rPr>
          <w:sz w:val="20"/>
          <w:szCs w:val="20"/>
          <w:color w:val="auto"/>
        </w:rPr>
      </w:pPr>
    </w:p>
    <w:p>
      <w:pPr>
        <w:ind w:right="3759"/>
        <w:spacing w:after="0" w:line="238" w:lineRule="auto"/>
        <w:rPr>
          <w:sz w:val="20"/>
          <w:szCs w:val="20"/>
          <w:color w:val="auto"/>
        </w:rPr>
      </w:pPr>
      <w:r>
        <w:rPr>
          <w:rFonts w:ascii="Courier New" w:cs="Courier New" w:eastAsia="Courier New" w:hAnsi="Courier New"/>
          <w:sz w:val="15"/>
          <w:szCs w:val="15"/>
          <w:color w:val="auto"/>
        </w:rPr>
        <w:t>PLEASE SIGN, DATE AND MAIL THIS PROXY STATEMENT IN THE ENCLOSED ADDRESSED ENVELOPE, WHICH REQUIRES NO POSTAGE IF MAILED IN THE U.S.</w:t>
      </w:r>
    </w:p>
    <w:p>
      <w:pPr>
        <w:sectPr>
          <w:pgSz w:w="11900" w:h="16838" w:orient="portrait"/>
          <w:cols w:equalWidth="0" w:num="1">
            <w:col w:w="10219"/>
          </w:cols>
          <w:pgMar w:left="240" w:top="139" w:right="1440" w:bottom="1440" w:gutter="0" w:footer="0" w:header="0"/>
        </w:sectPr>
      </w:pPr>
    </w:p>
    <w:p>
      <w:pPr>
        <w:spacing w:after="0" w:line="172"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Address Change?</w:t>
      </w:r>
      <w:r>
        <w:rPr>
          <w:sz w:val="20"/>
          <w:szCs w:val="20"/>
          <w:color w:val="auto"/>
        </w:rPr>
        <w:tab/>
      </w:r>
      <w:r>
        <w:rPr>
          <w:rFonts w:ascii="Courier New" w:cs="Courier New" w:eastAsia="Courier New" w:hAnsi="Courier New"/>
          <w:sz w:val="14"/>
          <w:szCs w:val="14"/>
          <w:color w:val="auto"/>
        </w:rPr>
        <w:t>Mark Box</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1" w:lineRule="exact"/>
        <w:rPr>
          <w:sz w:val="20"/>
          <w:szCs w:val="20"/>
          <w:color w:val="auto"/>
        </w:rPr>
      </w:pPr>
    </w:p>
    <w:p>
      <w:pPr>
        <w:sectPr>
          <w:pgSz w:w="11900" w:h="16838" w:orient="portrait"/>
          <w:cols w:equalWidth="0" w:num="2">
            <w:col w:w="2200" w:space="280"/>
            <w:col w:w="7739"/>
          </w:cols>
          <w:pgMar w:left="240" w:top="13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Indicate changes below:</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Date________________________, 2002</w:t>
      </w:r>
    </w:p>
    <w:p>
      <w:pPr>
        <w:spacing w:after="0" w:line="200" w:lineRule="exact"/>
        <w:rPr>
          <w:sz w:val="20"/>
          <w:szCs w:val="20"/>
          <w:color w:val="auto"/>
        </w:rPr>
      </w:pPr>
    </w:p>
    <w:p>
      <w:pPr>
        <w:sectPr>
          <w:pgSz w:w="11900" w:h="16838" w:orient="portrait"/>
          <w:cols w:equalWidth="0" w:num="2">
            <w:col w:w="3360" w:space="720"/>
            <w:col w:w="6139"/>
          </w:cols>
          <w:pgMar w:left="240" w:top="139" w:right="1440" w:bottom="1440" w:gutter="0" w:footer="0" w:header="0"/>
          <w:type w:val="continuous"/>
        </w:sectPr>
      </w:pPr>
    </w:p>
    <w:p>
      <w:pPr>
        <w:spacing w:after="0" w:line="200" w:lineRule="exact"/>
        <w:rPr>
          <w:sz w:val="20"/>
          <w:szCs w:val="20"/>
          <w:color w:val="auto"/>
        </w:rPr>
      </w:pPr>
    </w:p>
    <w:p>
      <w:pPr>
        <w:spacing w:after="0" w:line="292"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Signature(s) in Box</w:t>
      </w:r>
    </w:p>
    <w:p>
      <w:pPr>
        <w:spacing w:after="0" w:line="3"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4"/>
          <w:szCs w:val="14"/>
          <w:color w:val="auto"/>
        </w:rPr>
        <w:t>Please sign exactly as your name appears at left; in the case</w:t>
      </w:r>
    </w:p>
    <w:p>
      <w:pPr>
        <w:spacing w:after="0" w:line="9" w:lineRule="exact"/>
        <w:rPr>
          <w:sz w:val="20"/>
          <w:szCs w:val="20"/>
          <w:color w:val="auto"/>
        </w:rPr>
      </w:pPr>
    </w:p>
    <w:p>
      <w:pPr>
        <w:jc w:val="right"/>
        <w:ind w:right="3119"/>
        <w:spacing w:after="0"/>
        <w:rPr>
          <w:sz w:val="20"/>
          <w:szCs w:val="20"/>
          <w:color w:val="auto"/>
        </w:rPr>
      </w:pPr>
      <w:r>
        <w:rPr>
          <w:rFonts w:ascii="Courier New" w:cs="Courier New" w:eastAsia="Courier New" w:hAnsi="Courier New"/>
          <w:sz w:val="15"/>
          <w:szCs w:val="15"/>
          <w:color w:val="auto"/>
        </w:rPr>
        <w:t>of joint tenancy, both tenants must sign; fiduciaries please</w:t>
      </w:r>
    </w:p>
    <w:p>
      <w:pPr>
        <w:spacing w:after="0" w:line="1" w:lineRule="exact"/>
        <w:rPr>
          <w:sz w:val="20"/>
          <w:szCs w:val="20"/>
          <w:color w:val="auto"/>
        </w:rPr>
      </w:pPr>
    </w:p>
    <w:p>
      <w:pPr>
        <w:jc w:val="both"/>
        <w:ind w:left="4260"/>
        <w:spacing w:after="0"/>
        <w:tabs>
          <w:tab w:leader="none" w:pos="5200" w:val="left"/>
          <w:tab w:leader="none" w:pos="5820" w:val="left"/>
        </w:tabs>
        <w:rPr>
          <w:sz w:val="20"/>
          <w:szCs w:val="20"/>
          <w:color w:val="auto"/>
        </w:rPr>
      </w:pPr>
      <w:r>
        <w:rPr>
          <w:rFonts w:ascii="Courier New" w:cs="Courier New" w:eastAsia="Courier New" w:hAnsi="Courier New"/>
          <w:sz w:val="15"/>
          <w:szCs w:val="15"/>
          <w:color w:val="auto"/>
        </w:rPr>
        <w:t>indicate</w:t>
        <w:tab/>
        <w:t>title</w:t>
      </w:r>
      <w:r>
        <w:rPr>
          <w:sz w:val="20"/>
          <w:szCs w:val="20"/>
          <w:color w:val="auto"/>
        </w:rPr>
        <w:tab/>
      </w:r>
      <w:r>
        <w:rPr>
          <w:rFonts w:ascii="Courier New" w:cs="Courier New" w:eastAsia="Courier New" w:hAnsi="Courier New"/>
          <w:sz w:val="14"/>
          <w:szCs w:val="14"/>
          <w:color w:val="auto"/>
        </w:rPr>
        <w:t>and authority.</w:t>
      </w:r>
    </w:p>
    <w:p>
      <w:pPr>
        <w:sectPr>
          <w:pgSz w:w="11900" w:h="16838" w:orient="portrait"/>
          <w:cols w:equalWidth="0" w:num="1">
            <w:col w:w="10219"/>
          </w:cols>
          <w:pgMar w:left="240" w:top="139" w:right="1440" w:bottom="1440" w:gutter="0" w:footer="0" w:header="0"/>
          <w:type w:val="continuous"/>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sectPr>
      <w:pgSz w:w="11900" w:h="16838" w:orient="portrait"/>
      <w:cols w:equalWidth="0" w:num="1">
        <w:col w:w="10219"/>
      </w:cols>
      <w:pgMar w:left="240" w:top="13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5C55B5"/>
    <w:multiLevelType w:val="hybridMultilevel"/>
    <w:lvl w:ilvl="0">
      <w:lvlJc w:val="left"/>
      <w:lvlText w:val="-"/>
      <w:numFmt w:val="bullet"/>
      <w:start w:val="1"/>
    </w:lvl>
  </w:abstractNum>
  <w:abstractNum w:abstractNumId="1">
    <w:nsid w:val="3FA62ACA"/>
    <w:multiLevelType w:val="hybridMultilevel"/>
    <w:lvl w:ilvl="0">
      <w:lvlJc w:val="left"/>
      <w:lvlText w:val="(%1)"/>
      <w:numFmt w:val="decimal"/>
      <w:start w:val="1"/>
    </w:lvl>
  </w:abstractNum>
  <w:abstractNum w:abstractNumId="2">
    <w:nsid w:val="14FCE74E"/>
    <w:multiLevelType w:val="hybridMultilevel"/>
    <w:lvl w:ilvl="0">
      <w:lvlJc w:val="left"/>
      <w:lvlText w:val="-"/>
      <w:numFmt w:val="bullet"/>
      <w:start w:val="1"/>
    </w:lvl>
  </w:abstractNum>
  <w:abstractNum w:abstractNumId="3">
    <w:nsid w:val="6A3DD3E8"/>
    <w:multiLevelType w:val="hybridMultilevel"/>
    <w:lvl w:ilvl="0">
      <w:lvlJc w:val="left"/>
      <w:lvlText w:val="%1."/>
      <w:numFmt w:val="decimal"/>
      <w:start w:val="1"/>
    </w:lvl>
  </w:abstractNum>
  <w:abstractNum w:abstractNumId="4">
    <w:nsid w:val="71C91298"/>
    <w:multiLevelType w:val="hybridMultilevel"/>
    <w:lvl w:ilvl="0">
      <w:lvlJc w:val="left"/>
      <w:lvlText w:val="(%1)"/>
      <w:numFmt w:val="decimal"/>
      <w:start w:val="24"/>
    </w:lvl>
  </w:abstractNum>
  <w:abstractNum w:abstractNumId="5">
    <w:nsid w:val="9DAF632"/>
    <w:multiLevelType w:val="hybridMultilevel"/>
    <w:lvl w:ilvl="0">
      <w:lvlJc w:val="left"/>
      <w:lvlText w:val="%1:"/>
      <w:numFmt w:val="upperLetter"/>
      <w:start w:val="17"/>
    </w:lvl>
  </w:abstractNum>
  <w:abstractNum w:abstractNumId="6">
    <w:nsid w:val="53299938"/>
    <w:multiLevelType w:val="hybridMultilevel"/>
    <w:lvl w:ilvl="0">
      <w:lvlJc w:val="left"/>
      <w:lvlText w:val="%1:"/>
      <w:numFmt w:val="upperLetter"/>
      <w:start w:val="1"/>
    </w:lvl>
  </w:abstractNum>
  <w:abstractNum w:abstractNumId="7">
    <w:nsid w:val="1FBFE8E0"/>
    <w:multiLevelType w:val="hybridMultilevel"/>
    <w:lvl w:ilvl="0">
      <w:lvlJc w:val="left"/>
      <w:lvlText w:val="%1:"/>
      <w:numFmt w:val="upperLetter"/>
      <w:start w:val="17"/>
    </w:lvl>
  </w:abstractNum>
  <w:abstractNum w:abstractNumId="8">
    <w:nsid w:val="5092CA79"/>
    <w:multiLevelType w:val="hybridMultilevel"/>
    <w:lvl w:ilvl="0">
      <w:lvlJc w:val="left"/>
      <w:lvlText w:val="%1:"/>
      <w:numFmt w:val="upperLetter"/>
      <w:start w:val="1"/>
    </w:lvl>
  </w:abstractNum>
  <w:abstractNum w:abstractNumId="9">
    <w:nsid w:val="1D545C4D"/>
    <w:multiLevelType w:val="hybridMultilevel"/>
    <w:lvl w:ilvl="0">
      <w:lvlJc w:val="left"/>
      <w:lvlText w:val="%1:"/>
      <w:numFmt w:val="upperLetter"/>
      <w:start w:val="17"/>
    </w:lvl>
  </w:abstractNum>
  <w:abstractNum w:abstractNumId="10">
    <w:nsid w:val="59ADEA3D"/>
    <w:multiLevelType w:val="hybridMultilevel"/>
    <w:lvl w:ilvl="0">
      <w:lvlJc w:val="left"/>
      <w:lvlText w:val="%1:"/>
      <w:numFmt w:val="upperLetter"/>
      <w:start w:val="1"/>
    </w:lvl>
  </w:abstractNum>
  <w:abstractNum w:abstractNumId="11">
    <w:nsid w:val="288F1A34"/>
    <w:multiLevelType w:val="hybridMultilevel"/>
    <w:lvl w:ilvl="0">
      <w:lvlJc w:val="left"/>
      <w:lvlText w:val="%1:"/>
      <w:numFmt w:val="upperLetter"/>
      <w:start w:val="17"/>
    </w:lvl>
  </w:abstractNum>
  <w:abstractNum w:abstractNumId="12">
    <w:nsid w:val="2A155DBC"/>
    <w:multiLevelType w:val="hybridMultilevel"/>
    <w:lvl w:ilvl="0">
      <w:lvlJc w:val="left"/>
      <w:lvlText w:val="%1:"/>
      <w:numFmt w:val="upperLetter"/>
      <w:start w:val="1"/>
    </w:lvl>
  </w:abstractNum>
  <w:abstractNum w:abstractNumId="13">
    <w:nsid w:val="1D9F6E5F"/>
    <w:multiLevelType w:val="hybridMultilevel"/>
    <w:lvl w:ilvl="0">
      <w:lvlJc w:val="left"/>
      <w:lvlText w:val="%1:"/>
      <w:numFmt w:val="upperLetter"/>
      <w:start w:val="17"/>
    </w:lvl>
  </w:abstractNum>
  <w:abstractNum w:abstractNumId="14">
    <w:nsid w:val="97E1B4E"/>
    <w:multiLevelType w:val="hybridMultilevel"/>
    <w:lvl w:ilvl="0">
      <w:lvlJc w:val="left"/>
      <w:lvlText w:val="%1:"/>
      <w:numFmt w:val="upperLetter"/>
      <w:start w:val="1"/>
    </w:lvl>
  </w:abstractNum>
  <w:abstractNum w:abstractNumId="15">
    <w:nsid w:val="51088277"/>
    <w:multiLevelType w:val="hybridMultilevel"/>
    <w:lvl w:ilvl="0">
      <w:lvlJc w:val="left"/>
      <w:lvlText w:val="%1:"/>
      <w:numFmt w:val="upperLetter"/>
      <w:start w:val="17"/>
    </w:lvl>
  </w:abstractNum>
  <w:abstractNum w:abstractNumId="16">
    <w:nsid w:val="1CA0C5FA"/>
    <w:multiLevelType w:val="hybridMultilevel"/>
    <w:lvl w:ilvl="0">
      <w:lvlJc w:val="left"/>
      <w:lvlText w:val="%1:"/>
      <w:numFmt w:val="upperLetter"/>
      <w:start w:val="1"/>
    </w:lvl>
  </w:abstractNum>
  <w:abstractNum w:abstractNumId="17">
    <w:nsid w:val="53584BCB"/>
    <w:multiLevelType w:val="hybridMultilevel"/>
    <w:lvl w:ilvl="0">
      <w:lvlJc w:val="left"/>
      <w:lvlText w:val="%1:"/>
      <w:numFmt w:val="upperLetter"/>
      <w:start w:val="17"/>
    </w:lvl>
  </w:abstractNum>
  <w:abstractNum w:abstractNumId="18">
    <w:nsid w:val="415E286C"/>
    <w:multiLevelType w:val="hybridMultilevel"/>
    <w:lvl w:ilvl="0">
      <w:lvlJc w:val="left"/>
      <w:lvlText w:val="%1:"/>
      <w:numFmt w:val="upperLetter"/>
      <w:start w:val="1"/>
    </w:lvl>
  </w:abstractNum>
  <w:abstractNum w:abstractNumId="19">
    <w:nsid w:val="7C58FD05"/>
    <w:multiLevelType w:val="hybridMultilevel"/>
    <w:lvl w:ilvl="0">
      <w:lvlJc w:val="left"/>
      <w:lvlText w:val="%1:"/>
      <w:numFmt w:val="upperLetter"/>
      <w:start w:val="16"/>
    </w:lvl>
    <w:lvl w:ilvl="1">
      <w:lvlJc w:val="left"/>
      <w:lvlText w:val="o"/>
      <w:numFmt w:val="bullet"/>
      <w:start w:val="1"/>
    </w:lvl>
  </w:abstractNum>
  <w:abstractNum w:abstractNumId="20">
    <w:nsid w:val="23D86AAC"/>
    <w:multiLevelType w:val="hybridMultilevel"/>
    <w:lvl w:ilvl="0">
      <w:lvlJc w:val="left"/>
      <w:lvlText w:val="%1:"/>
      <w:numFmt w:val="upperLetter"/>
      <w:start w:val="1"/>
    </w:lvl>
  </w:abstractNum>
  <w:abstractNum w:abstractNumId="21">
    <w:nsid w:val="45E6D486"/>
    <w:multiLevelType w:val="hybridMultilevel"/>
    <w:lvl w:ilvl="0">
      <w:lvlJc w:val="left"/>
      <w:lvlText w:val="%1:"/>
      <w:numFmt w:val="upperLetter"/>
      <w:start w:val="17"/>
    </w:lvl>
  </w:abstractNum>
  <w:abstractNum w:abstractNumId="22">
    <w:nsid w:val="5C10FE21"/>
    <w:multiLevelType w:val="hybridMultilevel"/>
    <w:lvl w:ilvl="0">
      <w:lvlJc w:val="left"/>
      <w:lvlText w:val="%1:"/>
      <w:numFmt w:val="upperLetter"/>
      <w:start w:val="1"/>
    </w:lvl>
  </w:abstractNum>
  <w:abstractNum w:abstractNumId="23">
    <w:nsid w:val="E7FFA2B"/>
    <w:multiLevelType w:val="hybridMultilevel"/>
    <w:lvl w:ilvl="0">
      <w:lvlJc w:val="left"/>
      <w:lvlText w:val="o"/>
      <w:numFmt w:val="bullet"/>
      <w:start w:val="1"/>
    </w:lvl>
  </w:abstractNum>
  <w:abstractNum w:abstractNumId="24">
    <w:nsid w:val="3C5991AA"/>
    <w:multiLevelType w:val="hybridMultilevel"/>
    <w:lvl w:ilvl="0">
      <w:lvlJc w:val="left"/>
      <w:lvlText w:val="o"/>
      <w:numFmt w:val="bullet"/>
      <w:start w:val="1"/>
    </w:lvl>
  </w:abstractNum>
  <w:abstractNum w:abstractNumId="25">
    <w:nsid w:val="4BD8591A"/>
    <w:multiLevelType w:val="hybridMultilevel"/>
    <w:lvl w:ilvl="0">
      <w:lvlJc w:val="left"/>
      <w:lvlText w:val="o"/>
      <w:numFmt w:val="bullet"/>
      <w:start w:val="1"/>
    </w:lvl>
    <w:lvl w:ilvl="1">
      <w:lvlJc w:val="left"/>
      <w:lvlText w:val="(%2)"/>
      <w:numFmt w:val="decimal"/>
      <w:start w:val="15"/>
    </w:lvl>
  </w:abstractNum>
  <w:abstractNum w:abstractNumId="26">
    <w:nsid w:val="78DF6A55"/>
    <w:multiLevelType w:val="hybridMultilevel"/>
    <w:lvl w:ilvl="0">
      <w:lvlJc w:val="left"/>
      <w:lvlText w:val="o"/>
      <w:numFmt w:val="bullet"/>
      <w:start w:val="1"/>
    </w:lvl>
  </w:abstractNum>
  <w:abstractNum w:abstractNumId="27">
    <w:nsid w:val="39B7AAA2"/>
    <w:multiLevelType w:val="hybridMultilevel"/>
    <w:lvl w:ilvl="0">
      <w:lvlJc w:val="left"/>
      <w:lvlText w:val="(%1)"/>
      <w:numFmt w:val="upperLetter"/>
      <w:start w:val="1"/>
    </w:lvl>
  </w:abstractNum>
  <w:abstractNum w:abstractNumId="28">
    <w:nsid w:val="2B0D8DBE"/>
    <w:multiLevelType w:val="hybridMultilevel"/>
    <w:lvl w:ilvl="0">
      <w:lvlJc w:val="left"/>
      <w:lvlText w:val="%1"/>
      <w:numFmt w:val="upperLetter"/>
      <w:start w:val="1"/>
    </w:lvl>
    <w:lvl w:ilvl="1">
      <w:lvlJc w:val="left"/>
      <w:lvlText w:val="(%2)"/>
      <w:numFmt w:val="lowerRoman"/>
      <w:start w:val="1"/>
    </w:lvl>
  </w:abstractNum>
  <w:abstractNum w:abstractNumId="29">
    <w:nsid w:val="6C80EC70"/>
    <w:multiLevelType w:val="hybridMultilevel"/>
    <w:lvl w:ilvl="0">
      <w:lvlJc w:val="left"/>
      <w:lvlText w:val="(%1)"/>
      <w:numFmt w:val="upperLetter"/>
      <w:start w:val="4"/>
    </w:lvl>
    <w:lvl w:ilvl="1">
      <w:lvlJc w:val="left"/>
      <w:lvlText w:val="%2"/>
      <w:numFmt w:val="lowerRoman"/>
      <w:start w:val="1"/>
    </w:lvl>
  </w:abstractNum>
  <w:abstractNum w:abstractNumId="30">
    <w:nsid w:val="379E21B5"/>
    <w:multiLevelType w:val="hybridMultilevel"/>
    <w:lvl w:ilvl="0">
      <w:lvlJc w:val="left"/>
      <w:lvlText w:val="(%1)"/>
      <w:numFmt w:val="upperLetter"/>
      <w:start w:val="11"/>
    </w:lvl>
  </w:abstractNum>
  <w:abstractNum w:abstractNumId="31">
    <w:nsid w:val="69E373"/>
    <w:multiLevelType w:val="hybridMultilevel"/>
    <w:lvl w:ilvl="0">
      <w:lvlJc w:val="left"/>
      <w:lvlText w:val="(%1)"/>
      <w:numFmt w:val="upperLetter"/>
      <w:start w:val="12"/>
    </w:lvl>
  </w:abstractNum>
  <w:abstractNum w:abstractNumId="32">
    <w:nsid w:val="2C27173B"/>
    <w:multiLevelType w:val="hybridMultilevel"/>
    <w:lvl w:ilvl="0">
      <w:lvlJc w:val="left"/>
      <w:lvlText w:val="$"/>
      <w:numFmt w:val="bullet"/>
      <w:start w:val="1"/>
    </w:lvl>
  </w:abstractNum>
  <w:abstractNum w:abstractNumId="33">
    <w:nsid w:val="4C9B0904"/>
    <w:multiLevelType w:val="hybridMultilevel"/>
    <w:lvl w:ilvl="0">
      <w:lvlJc w:val="left"/>
      <w:lvlText w:val="(%1)"/>
      <w:numFmt w:val="decimal"/>
      <w:start w:val="1"/>
    </w:lvl>
  </w:abstractNum>
  <w:abstractNum w:abstractNumId="34">
    <w:nsid w:val="6AA7B75C"/>
    <w:multiLevelType w:val="hybridMultilevel"/>
    <w:lvl w:ilvl="0">
      <w:lvlJc w:val="left"/>
      <w:lvlText w:val="o"/>
      <w:numFmt w:val="bullet"/>
      <w:start w:val="1"/>
    </w:lvl>
  </w:abstractNum>
  <w:abstractNum w:abstractNumId="35">
    <w:nsid w:val="1DF029D3"/>
    <w:multiLevelType w:val="hybridMultilevel"/>
    <w:lvl w:ilvl="0">
      <w:lvlJc w:val="left"/>
      <w:lvlText w:val="o"/>
      <w:numFmt w:val="bullet"/>
      <w:start w:val="1"/>
    </w:lvl>
  </w:abstractNum>
  <w:abstractNum w:abstractNumId="36">
    <w:nsid w:val="5675FF36"/>
    <w:multiLevelType w:val="hybridMultilevel"/>
    <w:lvl w:ilvl="0">
      <w:lvlJc w:val="left"/>
      <w:lvlText w:val="o"/>
      <w:numFmt w:val="bullet"/>
      <w:start w:val="1"/>
    </w:lvl>
  </w:abstractNum>
  <w:abstractNum w:abstractNumId="37">
    <w:nsid w:val="3DD15094"/>
    <w:multiLevelType w:val="hybridMultilevel"/>
    <w:lvl w:ilvl="0">
      <w:lvlJc w:val="left"/>
      <w:lvlText w:val="o"/>
      <w:numFmt w:val="bullet"/>
      <w:start w:val="1"/>
    </w:lvl>
  </w:abstractNum>
  <w:abstractNum w:abstractNumId="38">
    <w:nsid w:val="3DB012B3"/>
    <w:multiLevelType w:val="hybridMultilevel"/>
    <w:lvl w:ilvl="0">
      <w:lvlJc w:val="left"/>
      <w:lvlText w:val="o"/>
      <w:numFmt w:val="bullet"/>
      <w:start w:val="1"/>
    </w:lvl>
  </w:abstractNum>
  <w:abstractNum w:abstractNumId="39">
    <w:nsid w:val="2708C9AF"/>
    <w:multiLevelType w:val="hybridMultilevel"/>
    <w:lvl w:ilvl="0">
      <w:lvlJc w:val="left"/>
      <w:lvlText w:val="%1."/>
      <w:numFmt w:val="decimal"/>
      <w:start w:val="1"/>
    </w:lvl>
  </w:abstractNum>
  <w:abstractNum w:abstractNumId="40">
    <w:nsid w:val="5B25ACE2"/>
    <w:multiLevelType w:val="hybridMultilevel"/>
    <w:lvl w:ilvl="0">
      <w:lvlJc w:val="left"/>
      <w:lvlText w:val="o"/>
      <w:numFmt w:val="bullet"/>
      <w:start w:val="1"/>
    </w:lvl>
  </w:abstractNum>
  <w:abstractNum w:abstractNumId="41">
    <w:nsid w:val="175DFCF0"/>
    <w:multiLevelType w:val="hybridMultilevel"/>
    <w:lvl w:ilvl="0">
      <w:lvlJc w:val="left"/>
      <w:lvlText w:val="o"/>
      <w:numFmt w:val="bullet"/>
      <w:start w:val="1"/>
    </w:lvl>
  </w:abstractNum>
  <w:abstractNum w:abstractNumId="42">
    <w:nsid w:val="4F97E3E4"/>
    <w:multiLevelType w:val="hybridMultilevel"/>
    <w:lvl w:ilvl="0">
      <w:lvlJc w:val="left"/>
      <w:lvlText w:val="o"/>
      <w:numFmt w:val="bullet"/>
      <w:start w:val="1"/>
    </w:lvl>
  </w:abstractNum>
  <w:abstractNum w:abstractNumId="43">
    <w:nsid w:val="53B0A9E"/>
    <w:multiLevelType w:val="hybridMultilevel"/>
    <w:lvl w:ilvl="0">
      <w:lvlJc w:val="left"/>
      <w:lvlText w:val="o"/>
      <w:numFmt w:val="bullet"/>
      <w:start w:val="1"/>
    </w:lvl>
  </w:abstractNum>
  <w:abstractNum w:abstractNumId="44">
    <w:nsid w:val="34FD6B4F"/>
    <w:multiLevelType w:val="hybridMultilevel"/>
    <w:lvl w:ilvl="0">
      <w:lvlJc w:val="left"/>
      <w:lvlText w:val="o"/>
      <w:numFmt w:val="bullet"/>
      <w:start w:val="1"/>
    </w:lvl>
  </w:abstractNum>
  <w:abstractNum w:abstractNumId="45">
    <w:nsid w:val="5915FF32"/>
    <w:multiLevelType w:val="hybridMultilevel"/>
    <w:lvl w:ilvl="0">
      <w:lvlJc w:val="left"/>
      <w:lvlText w:val="o"/>
      <w:numFmt w:val="bullet"/>
      <w:start w:val="1"/>
    </w:lvl>
  </w:abstractNum>
  <w:abstractNum w:abstractNumId="46">
    <w:nsid w:val="56438D15"/>
    <w:multiLevelType w:val="hybridMultilevel"/>
    <w:lvl w:ilvl="0">
      <w:lvlJc w:val="left"/>
      <w:lvlText w:val="o"/>
      <w:numFmt w:val="bullet"/>
      <w:start w:val="1"/>
    </w:lvl>
  </w:abstractNum>
  <w:abstractNum w:abstractNumId="47">
    <w:nsid w:val="519E3149"/>
    <w:multiLevelType w:val="hybridMultilevel"/>
    <w:lvl w:ilvl="0">
      <w:lvlJc w:val="left"/>
      <w:lvlText w:val="o"/>
      <w:numFmt w:val="bullet"/>
      <w:start w:val="1"/>
    </w:lvl>
  </w:abstractNum>
  <w:abstractNum w:abstractNumId="48">
    <w:nsid w:val="2C6E4AFD"/>
    <w:multiLevelType w:val="hybridMultilevel"/>
    <w:lvl w:ilvl="0">
      <w:lvlJc w:val="left"/>
      <w:lvlText w:val="o"/>
      <w:numFmt w:val="bullet"/>
      <w:start w:val="1"/>
    </w:lvl>
  </w:abstractNum>
  <w:abstractNum w:abstractNumId="49">
    <w:nsid w:val="17A1B582"/>
    <w:multiLevelType w:val="hybridMultilevel"/>
    <w:lvl w:ilvl="0">
      <w:lvlJc w:val="left"/>
      <w:lvlText w:val="o"/>
      <w:numFmt w:val="bullet"/>
      <w:start w:val="1"/>
    </w:lvl>
  </w:abstractNum>
  <w:abstractNum w:abstractNumId="50">
    <w:nsid w:val="4DF72E4E"/>
    <w:multiLevelType w:val="hybridMultilevel"/>
    <w:lvl w:ilvl="0">
      <w:lvlJc w:val="left"/>
      <w:lvlText w:val="o"/>
      <w:numFmt w:val="bullet"/>
      <w:start w:val="1"/>
    </w:lvl>
  </w:abstractNum>
  <w:abstractNum w:abstractNumId="51">
    <w:nsid w:val="5046B5A9"/>
    <w:multiLevelType w:val="hybridMultilevel"/>
    <w:lvl w:ilvl="0">
      <w:lvlJc w:val="left"/>
      <w:lvlText w:val="o"/>
      <w:numFmt w:val="bullet"/>
      <w:start w:val="1"/>
    </w:lvl>
    <w:lvl w:ilvl="1">
      <w:lvlJc w:val="left"/>
      <w:lvlText w:val="(%2)"/>
      <w:numFmt w:val="upperLetter"/>
      <w:start w:val="2"/>
    </w:lvl>
  </w:abstractNum>
  <w:abstractNum w:abstractNumId="52">
    <w:nsid w:val="5D888A08"/>
    <w:multiLevelType w:val="hybridMultilevel"/>
    <w:lvl w:ilvl="0">
      <w:lvlJc w:val="left"/>
      <w:lvlText w:val="o"/>
      <w:numFmt w:val="bullet"/>
      <w:start w:val="1"/>
    </w:lvl>
  </w:abstractNum>
  <w:abstractNum w:abstractNumId="53">
    <w:nsid w:val="2A082C70"/>
    <w:multiLevelType w:val="hybridMultilevel"/>
    <w:lvl w:ilvl="0">
      <w:lvlJc w:val="left"/>
      <w:lvlText w:val="o"/>
      <w:numFmt w:val="bullet"/>
      <w:start w:val="1"/>
    </w:lvl>
  </w:abstractNum>
  <w:abstractNum w:abstractNumId="54">
    <w:nsid w:val="5EC6AFD4"/>
    <w:multiLevelType w:val="hybridMultilevel"/>
    <w:lvl w:ilvl="0">
      <w:lvlJc w:val="left"/>
      <w:lvlText w:val="o"/>
      <w:numFmt w:val="bullet"/>
      <w:start w:val="1"/>
    </w:lvl>
  </w:abstractNum>
  <w:abstractNum w:abstractNumId="55">
    <w:nsid w:val="19E21BB2"/>
    <w:multiLevelType w:val="hybridMultilevel"/>
    <w:lvl w:ilvl="0">
      <w:lvlJc w:val="left"/>
      <w:lvlText w:val="o"/>
      <w:numFmt w:val="bullet"/>
      <w:start w:val="1"/>
    </w:lvl>
  </w:abstractNum>
  <w:abstractNum w:abstractNumId="56">
    <w:nsid w:val="75E0858A"/>
    <w:multiLevelType w:val="hybridMultilevel"/>
    <w:lvl w:ilvl="0">
      <w:lvlJc w:val="left"/>
      <w:lvlText w:val="%1"/>
      <w:numFmt w:val="upperLetter"/>
      <w:start w:val="35"/>
    </w:lvl>
  </w:abstractNum>
  <w:abstractNum w:abstractNumId="57">
    <w:nsid w:val="57A61A29"/>
    <w:multiLevelType w:val="hybridMultilevel"/>
    <w:lvl w:ilvl="0">
      <w:lvlJc w:val="left"/>
      <w:lvlText w:val="o"/>
      <w:numFmt w:val="bullet"/>
      <w:start w:val="1"/>
    </w:lvl>
  </w:abstractNum>
  <w:abstractNum w:abstractNumId="58">
    <w:nsid w:val="5399C654"/>
    <w:multiLevelType w:val="hybridMultilevel"/>
    <w:lvl w:ilvl="0">
      <w:lvlJc w:val="left"/>
      <w:lvlText w:val="o"/>
      <w:numFmt w:val="bullet"/>
      <w:start w:val="1"/>
    </w:lvl>
  </w:abstractNum>
  <w:abstractNum w:abstractNumId="59">
    <w:nsid w:val="20EE1348"/>
    <w:multiLevelType w:val="hybridMultilevel"/>
    <w:lvl w:ilvl="0">
      <w:lvlJc w:val="left"/>
      <w:lvlText w:val="o"/>
      <w:numFmt w:val="bullet"/>
      <w:start w:val="1"/>
    </w:lvl>
  </w:abstractNum>
  <w:abstractNum w:abstractNumId="60">
    <w:nsid w:val="4427069A"/>
    <w:multiLevelType w:val="hybridMultilevel"/>
    <w:lvl w:ilvl="0">
      <w:lvlJc w:val="left"/>
      <w:lvlText w:val="o"/>
      <w:numFmt w:val="bullet"/>
      <w:start w:val="1"/>
    </w:lvl>
  </w:abstractNum>
  <w:abstractNum w:abstractNumId="61">
    <w:nsid w:val="B37E80A"/>
    <w:multiLevelType w:val="hybridMultilevel"/>
    <w:lvl w:ilvl="0">
      <w:lvlJc w:val="left"/>
      <w:lvlText w:val="o"/>
      <w:numFmt w:val="bullet"/>
      <w:start w:val="1"/>
    </w:lvl>
  </w:abstractNum>
  <w:abstractNum w:abstractNumId="62">
    <w:nsid w:val="2157F6BC"/>
    <w:multiLevelType w:val="hybridMultilevel"/>
    <w:lvl w:ilvl="0">
      <w:lvlJc w:val="left"/>
      <w:lvlText w:val="o"/>
      <w:numFmt w:val="bullet"/>
      <w:start w:val="1"/>
    </w:lvl>
  </w:abstractNum>
  <w:abstractNum w:abstractNumId="63">
    <w:nsid w:val="704E1DD5"/>
    <w:multiLevelType w:val="hybridMultilevel"/>
    <w:lvl w:ilvl="0">
      <w:lvlJc w:val="left"/>
      <w:lvlText w:val="o"/>
      <w:numFmt w:val="bullet"/>
      <w:start w:val="1"/>
    </w:lvl>
  </w:abstractNum>
  <w:abstractNum w:abstractNumId="64">
    <w:nsid w:val="57D2F10E"/>
    <w:multiLevelType w:val="hybridMultilevel"/>
    <w:lvl w:ilvl="0">
      <w:lvlJc w:val="left"/>
      <w:lvlText w:val="o"/>
      <w:numFmt w:val="bullet"/>
      <w:start w:val="1"/>
    </w:lvl>
  </w:abstractNum>
  <w:abstractNum w:abstractNumId="65">
    <w:nsid w:val="BFFAE18"/>
    <w:multiLevelType w:val="hybridMultilevel"/>
    <w:lvl w:ilvl="0">
      <w:lvlJc w:val="left"/>
      <w:lvlText w:val="o"/>
      <w:numFmt w:val="bullet"/>
      <w:start w:val="1"/>
    </w:lvl>
  </w:abstractNum>
  <w:abstractNum w:abstractNumId="66">
    <w:nsid w:val="E3E47A8"/>
    <w:multiLevelType w:val="hybridMultilevel"/>
    <w:lvl w:ilvl="0">
      <w:lvlJc w:val="left"/>
      <w:lvlText w:val="o"/>
      <w:numFmt w:val="bullet"/>
      <w:start w:val="1"/>
    </w:lvl>
  </w:abstractNum>
  <w:abstractNum w:abstractNumId="67">
    <w:nsid w:val="2E48F044"/>
    <w:multiLevelType w:val="hybridMultilevel"/>
    <w:lvl w:ilvl="0">
      <w:lvlJc w:val="left"/>
      <w:lvlText w:val="o"/>
      <w:numFmt w:val="bullet"/>
      <w:start w:val="1"/>
    </w:lvl>
  </w:abstractNum>
  <w:abstractNum w:abstractNumId="68">
    <w:nsid w:val="49D0FEAC"/>
    <w:multiLevelType w:val="hybridMultilevel"/>
    <w:lvl w:ilvl="0">
      <w:lvlJc w:val="left"/>
      <w:lvlText w:val="o"/>
      <w:numFmt w:val="bullet"/>
      <w:start w:val="1"/>
    </w:lvl>
  </w:abstractNum>
  <w:abstractNum w:abstractNumId="69">
    <w:nsid w:val="4BEE5A5B"/>
    <w:multiLevelType w:val="hybridMultilevel"/>
    <w:lvl w:ilvl="0">
      <w:lvlJc w:val="left"/>
      <w:lvlText w:val="o"/>
      <w:numFmt w:val="bullet"/>
      <w:start w:val="1"/>
    </w:lvl>
  </w:abstractNum>
  <w:abstractNum w:abstractNumId="70">
    <w:nsid w:val="5551B9F3"/>
    <w:multiLevelType w:val="hybridMultilevel"/>
    <w:lvl w:ilvl="0">
      <w:lvlJc w:val="left"/>
      <w:lvlText w:val="o"/>
      <w:numFmt w:val="bullet"/>
      <w:start w:val="1"/>
    </w:lvl>
  </w:abstractNum>
  <w:abstractNum w:abstractNumId="71">
    <w:nsid w:val="24F6AB8E"/>
    <w:multiLevelType w:val="hybridMultilevel"/>
    <w:lvl w:ilvl="0">
      <w:lvlJc w:val="left"/>
      <w:lvlText w:val="o"/>
      <w:numFmt w:val="bullet"/>
      <w:start w:val="1"/>
    </w:lvl>
  </w:abstractNum>
  <w:abstractNum w:abstractNumId="72">
    <w:nsid w:val="634C574C"/>
    <w:multiLevelType w:val="hybridMultilevel"/>
    <w:lvl w:ilvl="0">
      <w:lvlJc w:val="left"/>
      <w:lvlText w:val="o"/>
      <w:numFmt w:val="bullet"/>
      <w:start w:val="1"/>
    </w:lvl>
  </w:abstractNum>
  <w:abstractNum w:abstractNumId="73">
    <w:nsid w:val="24E99DD7"/>
    <w:multiLevelType w:val="hybridMultilevel"/>
    <w:lvl w:ilvl="0">
      <w:lvlJc w:val="left"/>
      <w:lvlText w:val="o"/>
      <w:numFmt w:val="bullet"/>
      <w:start w:val="1"/>
    </w:lvl>
  </w:abstractNum>
  <w:abstractNum w:abstractNumId="74">
    <w:nsid w:val="2A31B62D"/>
    <w:multiLevelType w:val="hybridMultilevel"/>
    <w:lvl w:ilvl="0">
      <w:lvlJc w:val="left"/>
      <w:lvlText w:val="o"/>
      <w:numFmt w:val="bullet"/>
      <w:start w:val="1"/>
    </w:lvl>
  </w:abstractNum>
  <w:abstractNum w:abstractNumId="75">
    <w:nsid w:val="1849C29B"/>
    <w:multiLevelType w:val="hybridMultilevel"/>
    <w:lvl w:ilvl="0">
      <w:lvlJc w:val="left"/>
      <w:lvlText w:val="o"/>
      <w:numFmt w:val="bullet"/>
      <w:start w:val="1"/>
    </w:lvl>
  </w:abstractNum>
  <w:abstractNum w:abstractNumId="76">
    <w:nsid w:val="7DFF9D09"/>
    <w:multiLevelType w:val="hybridMultilevel"/>
    <w:lvl w:ilvl="0">
      <w:lvlJc w:val="left"/>
      <w:lvlText w:val="o"/>
      <w:numFmt w:val="bullet"/>
      <w:start w:val="1"/>
    </w:lvl>
  </w:abstractNum>
  <w:abstractNum w:abstractNumId="77">
    <w:nsid w:val="754342"/>
    <w:multiLevelType w:val="hybridMultilevel"/>
    <w:lvl w:ilvl="0">
      <w:lvlJc w:val="left"/>
      <w:lvlText w:val="o"/>
      <w:numFmt w:val="bullet"/>
      <w:start w:val="1"/>
    </w:lvl>
  </w:abstractNum>
  <w:abstractNum w:abstractNumId="78">
    <w:nsid w:val="69E7F3E5"/>
    <w:multiLevelType w:val="hybridMultilevel"/>
    <w:lvl w:ilvl="0">
      <w:lvlJc w:val="left"/>
      <w:lvlText w:val="o"/>
      <w:numFmt w:val="bullet"/>
      <w:start w:val="1"/>
    </w:lvl>
  </w:abstractNum>
  <w:abstractNum w:abstractNumId="79">
    <w:nsid w:val="2A6DE806"/>
    <w:multiLevelType w:val="hybridMultilevel"/>
    <w:lvl w:ilvl="0">
      <w:lvlJc w:val="left"/>
      <w:lvlText w:val="o"/>
      <w:numFmt w:val="bullet"/>
      <w:start w:val="1"/>
    </w:lvl>
  </w:abstractNum>
  <w:abstractNum w:abstractNumId="80">
    <w:nsid w:val="1816F8C4"/>
    <w:multiLevelType w:val="hybridMultilevel"/>
    <w:lvl w:ilvl="0">
      <w:lvlJc w:val="left"/>
      <w:lvlText w:val="o"/>
      <w:numFmt w:val="bullet"/>
      <w:start w:val="1"/>
    </w:lvl>
  </w:abstractNum>
  <w:abstractNum w:abstractNumId="81">
    <w:nsid w:val="37DF2233"/>
    <w:multiLevelType w:val="hybridMultilevel"/>
    <w:lvl w:ilvl="0">
      <w:lvlJc w:val="left"/>
      <w:lvlText w:val="o"/>
      <w:numFmt w:val="bullet"/>
      <w:start w:val="1"/>
    </w:lvl>
  </w:abstractNum>
  <w:abstractNum w:abstractNumId="82">
    <w:nsid w:val="7AB49DAF"/>
    <w:multiLevelType w:val="hybridMultilevel"/>
    <w:lvl w:ilvl="0">
      <w:lvlJc w:val="left"/>
      <w:lvlText w:val="o"/>
      <w:numFmt w:val="bullet"/>
      <w:start w:val="1"/>
    </w:lvl>
  </w:abstractNum>
  <w:abstractNum w:abstractNumId="83">
    <w:nsid w:val="759F82CD"/>
    <w:multiLevelType w:val="hybridMultilevel"/>
    <w:lvl w:ilvl="0">
      <w:lvlJc w:val="left"/>
      <w:lvlText w:val="o"/>
      <w:numFmt w:val="bullet"/>
      <w:start w:val="1"/>
    </w:lvl>
  </w:abstractNum>
  <w:abstractNum w:abstractNumId="84">
    <w:nsid w:val="61E74EA3"/>
    <w:multiLevelType w:val="hybridMultilevel"/>
    <w:lvl w:ilvl="0">
      <w:lvlJc w:val="left"/>
      <w:lvlText w:val="o"/>
      <w:numFmt w:val="bullet"/>
      <w:start w:val="1"/>
    </w:lvl>
  </w:abstractNum>
  <w:abstractNum w:abstractNumId="85">
    <w:nsid w:val="597B4D84"/>
    <w:multiLevelType w:val="hybridMultilevel"/>
    <w:lvl w:ilvl="0">
      <w:lvlJc w:val="left"/>
      <w:lvlText w:val="(%1)"/>
      <w:numFmt w:val="lowerRoman"/>
      <w:start w:val="4"/>
    </w:lvl>
  </w:abstractNum>
  <w:abstractNum w:abstractNumId="86">
    <w:nsid w:val="F819E7F"/>
    <w:multiLevelType w:val="hybridMultilevel"/>
    <w:lvl w:ilvl="0">
      <w:lvlJc w:val="left"/>
      <w:lvlText w:val="o"/>
      <w:numFmt w:val="bullet"/>
      <w:start w:val="1"/>
    </w:lvl>
  </w:abstractNum>
  <w:abstractNum w:abstractNumId="87">
    <w:nsid w:val="57C7D42D"/>
    <w:multiLevelType w:val="hybridMultilevel"/>
    <w:lvl w:ilvl="0">
      <w:lvlJc w:val="left"/>
      <w:lvlText w:val="(%1)"/>
      <w:numFmt w:val="lowerRoman"/>
      <w:start w:val="2"/>
    </w:lvl>
  </w:abstractNum>
  <w:abstractNum w:abstractNumId="88">
    <w:nsid w:val="312167AD"/>
    <w:multiLevelType w:val="hybridMultilevel"/>
    <w:lvl w:ilvl="0">
      <w:lvlJc w:val="left"/>
      <w:lvlText w:val="(%1)"/>
      <w:numFmt w:val="lowerRoman"/>
      <w:start w:val="3"/>
    </w:lvl>
  </w:abstractNum>
  <w:abstractNum w:abstractNumId="89">
    <w:nsid w:val="631B64D4"/>
    <w:multiLevelType w:val="hybridMultilevel"/>
    <w:lvl w:ilvl="0">
      <w:lvlJc w:val="left"/>
      <w:lvlText w:val="o"/>
      <w:numFmt w:val="bullet"/>
      <w:start w:val="1"/>
    </w:lvl>
  </w:abstractNum>
  <w:abstractNum w:abstractNumId="90">
    <w:nsid w:val="78B5E776"/>
    <w:multiLevelType w:val="hybridMultilevel"/>
    <w:lvl w:ilvl="0">
      <w:lvlJc w:val="left"/>
      <w:lvlText w:val="(%1)"/>
      <w:numFmt w:val="lowerRoman"/>
      <w:start w:val="1"/>
    </w:lvl>
    <w:lvl w:ilvl="1">
      <w:lvlJc w:val="left"/>
      <w:lvlText w:val="%2."/>
      <w:numFmt w:val="upperLetter"/>
      <w:start w:val="2"/>
    </w:lvl>
  </w:abstractNum>
  <w:abstractNum w:abstractNumId="91">
    <w:nsid w:val="75486E47"/>
    <w:multiLevelType w:val="hybridMultilevel"/>
    <w:lvl w:ilvl="0">
      <w:lvlJc w:val="left"/>
      <w:lvlText w:val="(%1)"/>
      <w:numFmt w:val="lowerLetter"/>
      <w:start w:val="1"/>
    </w:lvl>
  </w:abstractNum>
  <w:abstractNum w:abstractNumId="92">
    <w:nsid w:val="6E534CDE"/>
    <w:multiLevelType w:val="hybridMultilevel"/>
    <w:lvl w:ilvl="0">
      <w:lvlJc w:val="left"/>
      <w:lvlText w:val="(%1)"/>
      <w:numFmt w:val="lowerLetter"/>
      <w:start w:val="1"/>
    </w:lvl>
  </w:abstractNum>
  <w:abstractNum w:abstractNumId="93">
    <w:nsid w:val="1A0DDE32"/>
    <w:multiLevelType w:val="hybridMultilevel"/>
    <w:lvl w:ilvl="0">
      <w:lvlJc w:val="left"/>
      <w:lvlText w:val="(%1)"/>
      <w:numFmt w:val="lowerLetter"/>
      <w:start w:val="2"/>
    </w:lvl>
  </w:abstractNum>
  <w:abstractNum w:abstractNumId="94">
    <w:nsid w:val="65968C1C"/>
    <w:multiLevelType w:val="hybridMultilevel"/>
    <w:lvl w:ilvl="0">
      <w:lvlJc w:val="left"/>
      <w:lvlText w:val="(%1)"/>
      <w:numFmt w:val="lowerLetter"/>
      <w:start w:val="1"/>
    </w:lvl>
  </w:abstractNum>
  <w:abstractNum w:abstractNumId="95">
    <w:nsid w:val="46263DEC"/>
    <w:multiLevelType w:val="hybridMultilevel"/>
    <w:lvl w:ilvl="0">
      <w:lvlJc w:val="left"/>
      <w:lvlText w:val="(%1)"/>
      <w:numFmt w:val="lowerLetter"/>
      <w:start w:val="4"/>
    </w:lvl>
  </w:abstractNum>
  <w:abstractNum w:abstractNumId="96">
    <w:nsid w:val="260D8C4A"/>
    <w:multiLevelType w:val="hybridMultilevel"/>
    <w:lvl w:ilvl="0">
      <w:lvlJc w:val="left"/>
      <w:lvlText w:val="(%1)"/>
      <w:numFmt w:val="lowerLetter"/>
      <w:start w:val="1"/>
    </w:lvl>
  </w:abstractNum>
  <w:abstractNum w:abstractNumId="97">
    <w:nsid w:val="73D4D3C4"/>
    <w:multiLevelType w:val="hybridMultilevel"/>
    <w:lvl w:ilvl="0">
      <w:lvlJc w:val="left"/>
      <w:lvlText w:val="(%1)"/>
      <w:numFmt w:val="lowerLetter"/>
      <w:start w:val="1"/>
    </w:lvl>
  </w:abstractNum>
  <w:abstractNum w:abstractNumId="98">
    <w:nsid w:val="746F2E30"/>
    <w:multiLevelType w:val="hybridMultilevel"/>
    <w:lvl w:ilvl="0">
      <w:lvlJc w:val="left"/>
      <w:lvlText w:val="(%1)"/>
      <w:numFmt w:val="lowerLetter"/>
      <w:start w:val="1"/>
    </w:lvl>
  </w:abstractNum>
  <w:abstractNum w:abstractNumId="99">
    <w:nsid w:val="6FDE8AF6"/>
    <w:multiLevelType w:val="hybridMultilevel"/>
    <w:lvl w:ilvl="0">
      <w:lvlJc w:val="left"/>
      <w:lvlText w:val="(%1)"/>
      <w:numFmt w:val="lowerLetter"/>
      <w:start w:val="2"/>
    </w:lvl>
  </w:abstractNum>
  <w:abstractNum w:abstractNumId="100">
    <w:nsid w:val="3FC32E20"/>
    <w:multiLevelType w:val="hybridMultilevel"/>
    <w:lvl w:ilvl="0">
      <w:lvlJc w:val="left"/>
      <w:lvlText w:val="(%1)"/>
      <w:numFmt w:val="lowerLetter"/>
      <w:start w:val="1"/>
    </w:lvl>
  </w:abstractNum>
  <w:abstractNum w:abstractNumId="101">
    <w:nsid w:val="49C0E823"/>
    <w:multiLevelType w:val="hybridMultilevel"/>
    <w:lvl w:ilvl="0">
      <w:lvlJc w:val="left"/>
      <w:lvlText w:val="(%1)"/>
      <w:numFmt w:val="lowerLetter"/>
      <w:start w:val="2"/>
    </w:lvl>
  </w:abstractNum>
  <w:abstractNum w:abstractNumId="102">
    <w:nsid w:val="14D53685"/>
    <w:multiLevelType w:val="hybridMultilevel"/>
    <w:lvl w:ilvl="0">
      <w:lvlJc w:val="left"/>
      <w:lvlText w:val="(%1)"/>
      <w:numFmt w:val="lowerLetter"/>
      <w:start w:val="1"/>
    </w:lvl>
  </w:abstractNum>
  <w:abstractNum w:abstractNumId="103">
    <w:nsid w:val="230F856C"/>
    <w:multiLevelType w:val="hybridMultilevel"/>
    <w:lvl w:ilvl="0">
      <w:lvlJc w:val="left"/>
      <w:lvlText w:val="(%1)"/>
      <w:numFmt w:val="lowerLetter"/>
      <w:start w:val="2"/>
    </w:lvl>
  </w:abstractNum>
  <w:abstractNum w:abstractNumId="104">
    <w:nsid w:val="6EAA85FB"/>
    <w:multiLevelType w:val="hybridMultilevel"/>
    <w:lvl w:ilvl="0">
      <w:lvlJc w:val="left"/>
      <w:lvlText w:val="(%1)"/>
      <w:numFmt w:val="lowerLetter"/>
      <w:start w:val="1"/>
    </w:lvl>
    <w:lvl w:ilvl="1">
      <w:lvlJc w:val="left"/>
      <w:lvlText w:val="(%2)"/>
      <w:numFmt w:val="lowerRoman"/>
      <w:start w:val="1"/>
    </w:lvl>
  </w:abstractNum>
  <w:abstractNum w:abstractNumId="105">
    <w:nsid w:val="3F06ECB2"/>
    <w:multiLevelType w:val="hybridMultilevel"/>
    <w:lvl w:ilvl="0">
      <w:lvlJc w:val="left"/>
      <w:lvlText w:val="(%1)"/>
      <w:numFmt w:val="lowerLetter"/>
      <w:start w:val="4"/>
    </w:lvl>
  </w:abstractNum>
  <w:abstractNum w:abstractNumId="106">
    <w:nsid w:val="3B594807"/>
    <w:multiLevelType w:val="hybridMultilevel"/>
    <w:lvl w:ilvl="0">
      <w:lvlJc w:val="left"/>
      <w:lvlText w:val="(%1)"/>
      <w:numFmt w:val="lowerLetter"/>
      <w:start w:val="1"/>
    </w:lvl>
  </w:abstractNum>
  <w:abstractNum w:abstractNumId="107">
    <w:nsid w:val="6CAA2304"/>
    <w:multiLevelType w:val="hybridMultilevel"/>
    <w:lvl w:ilvl="0">
      <w:lvlJc w:val="left"/>
      <w:lvlText w:val="(%1)"/>
      <w:numFmt w:val="lowerLetter"/>
      <w:start w:val="1"/>
    </w:lvl>
  </w:abstractNum>
  <w:abstractNum w:abstractNumId="108">
    <w:nsid w:val="3F7C2FF4"/>
    <w:multiLevelType w:val="hybridMultilevel"/>
    <w:lvl w:ilvl="0">
      <w:lvlJc w:val="left"/>
      <w:lvlText w:val="(%1)"/>
      <w:numFmt w:val="lowerLetter"/>
      <w:start w:val="9"/>
    </w:lvl>
  </w:abstractNum>
  <w:abstractNum w:abstractNumId="109">
    <w:nsid w:val="25413BEC"/>
    <w:multiLevelType w:val="hybridMultilevel"/>
    <w:lvl w:ilvl="0">
      <w:lvlJc w:val="left"/>
      <w:lvlText w:val="(%1)"/>
      <w:numFmt w:val="lowerLetter"/>
      <w:start w:val="15"/>
    </w:lvl>
  </w:abstractNum>
  <w:abstractNum w:abstractNumId="110">
    <w:nsid w:val="17180B0B"/>
    <w:multiLevelType w:val="hybridMultilevel"/>
    <w:lvl w:ilvl="0">
      <w:lvlJc w:val="left"/>
      <w:lvlText w:val="(%1)"/>
      <w:numFmt w:val="lowerRoman"/>
      <w:start w:val="2"/>
    </w:lvl>
  </w:abstractNum>
  <w:abstractNum w:abstractNumId="111">
    <w:nsid w:val="579328B9"/>
    <w:multiLevelType w:val="hybridMultilevel"/>
    <w:lvl w:ilvl="0">
      <w:lvlJc w:val="left"/>
      <w:lvlText w:val="(%1)"/>
      <w:numFmt w:val="lowerRoman"/>
      <w:start w:val="7"/>
    </w:lvl>
  </w:abstractNum>
  <w:abstractNum w:abstractNumId="112">
    <w:nsid w:val="5D205E20"/>
    <w:multiLevelType w:val="hybridMultilevel"/>
    <w:lvl w:ilvl="0">
      <w:lvlJc w:val="left"/>
      <w:lvlText w:val="%1"/>
      <w:numFmt w:val="lowerLetter"/>
      <w:start w:val="1"/>
    </w:lvl>
    <w:lvl w:ilvl="1">
      <w:lvlJc w:val="left"/>
      <w:lvlText w:val="(%2)"/>
      <w:numFmt w:val="lowerRoman"/>
      <w:start w:val="10"/>
    </w:lvl>
  </w:abstractNum>
  <w:abstractNum w:abstractNumId="113">
    <w:nsid w:val="11CCA8BA"/>
    <w:multiLevelType w:val="hybridMultilevel"/>
    <w:lvl w:ilvl="0">
      <w:lvlJc w:val="left"/>
      <w:lvlText w:val="(%1)"/>
      <w:numFmt w:val="lowerLetter"/>
      <w:start w:val="2"/>
    </w:lvl>
    <w:lvl w:ilvl="1">
      <w:lvlJc w:val="left"/>
      <w:lvlText w:val="%2"/>
      <w:numFmt w:val="lowerRoman"/>
      <w:start w:val="1"/>
    </w:lvl>
  </w:abstractNum>
  <w:abstractNum w:abstractNumId="114">
    <w:nsid w:val="4D32AB86"/>
    <w:multiLevelType w:val="hybridMultilevel"/>
    <w:lvl w:ilvl="0">
      <w:lvlJc w:val="left"/>
      <w:lvlText w:val="(%1)"/>
      <w:numFmt w:val="lowerRoman"/>
      <w:start w:val="7"/>
    </w:lvl>
  </w:abstractNum>
  <w:abstractNum w:abstractNumId="115">
    <w:nsid w:val="3F07ACC3"/>
    <w:multiLevelType w:val="hybridMultilevel"/>
    <w:lvl w:ilvl="0">
      <w:lvlJc w:val="left"/>
      <w:lvlText w:val="(%1)"/>
      <w:numFmt w:val="lowerLetter"/>
      <w:start w:val="5"/>
    </w:lvl>
    <w:lvl w:ilvl="1">
      <w:lvlJc w:val="left"/>
      <w:lvlText w:val="(%2)"/>
      <w:numFmt w:val="lowerRoman"/>
      <w:start w:val="1"/>
    </w:lvl>
  </w:abstractNum>
  <w:abstractNum w:abstractNumId="116">
    <w:nsid w:val="6B47F63E"/>
    <w:multiLevelType w:val="hybridMultilevel"/>
    <w:lvl w:ilvl="0">
      <w:lvlJc w:val="left"/>
      <w:lvlText w:val="(%1)"/>
      <w:numFmt w:val="lowerLetter"/>
      <w:start w:val="9"/>
    </w:lvl>
    <w:lvl w:ilvl="1">
      <w:lvlJc w:val="left"/>
      <w:lvlText w:val="%2"/>
      <w:numFmt w:val="lowerRoman"/>
      <w:start w:val="1"/>
    </w:lvl>
  </w:abstractNum>
  <w:abstractNum w:abstractNumId="117">
    <w:nsid w:val="5CB44A05"/>
    <w:multiLevelType w:val="hybridMultilevel"/>
    <w:lvl w:ilvl="0">
      <w:lvlJc w:val="left"/>
      <w:lvlText w:val="(%1)"/>
      <w:numFmt w:val="lowerLetter"/>
      <w:start w:val="61"/>
    </w:lvl>
    <w:lvl w:ilvl="1">
      <w:lvlJc w:val="left"/>
      <w:lvlText w:val="%2"/>
      <w:numFmt w:val="lowerRoman"/>
      <w:start w:val="1"/>
    </w:lvl>
  </w:abstractNum>
  <w:abstractNum w:abstractNumId="118">
    <w:nsid w:val="16CF80F1"/>
    <w:multiLevelType w:val="hybridMultilevel"/>
    <w:lvl w:ilvl="0">
      <w:lvlJc w:val="left"/>
      <w:lvlText w:val="(%1)"/>
      <w:numFmt w:val="lowerLetter"/>
      <w:start w:val="11"/>
    </w:lvl>
  </w:abstractNum>
  <w:abstractNum w:abstractNumId="119">
    <w:nsid w:val="1C695DEC"/>
    <w:multiLevelType w:val="hybridMultilevel"/>
    <w:lvl w:ilvl="0">
      <w:lvlJc w:val="left"/>
      <w:lvlText w:val="(%1)"/>
      <w:numFmt w:val="lowerLetter"/>
      <w:start w:val="1"/>
    </w:lvl>
  </w:abstractNum>
  <w:abstractNum w:abstractNumId="120">
    <w:nsid w:val="3FCFAED9"/>
    <w:multiLevelType w:val="hybridMultilevel"/>
    <w:lvl w:ilvl="0">
      <w:lvlJc w:val="left"/>
      <w:lvlText w:val="(%1)"/>
      <w:numFmt w:val="lowerLetter"/>
      <w:start w:val="5"/>
    </w:lvl>
  </w:abstractNum>
  <w:abstractNum w:abstractNumId="121">
    <w:nsid w:val="F856867"/>
    <w:multiLevelType w:val="hybridMultilevel"/>
    <w:lvl w:ilvl="0">
      <w:lvlJc w:val="left"/>
      <w:lvlText w:val="(%1)"/>
      <w:numFmt w:val="lowerLetter"/>
      <w:start w:val="1"/>
    </w:lvl>
    <w:lvl w:ilvl="1">
      <w:lvlJc w:val="left"/>
      <w:lvlText w:val="(%2)"/>
      <w:numFmt w:val="lowerRoman"/>
      <w:start w:val="1"/>
    </w:lvl>
  </w:abstractNum>
  <w:abstractNum w:abstractNumId="122">
    <w:nsid w:val="11B1CC33"/>
    <w:multiLevelType w:val="hybridMultilevel"/>
    <w:lvl w:ilvl="0">
      <w:lvlJc w:val="left"/>
      <w:lvlText w:val="(%1)"/>
      <w:numFmt w:val="lowerRoman"/>
      <w:start w:val="3"/>
    </w:lvl>
  </w:abstractNum>
  <w:abstractNum w:abstractNumId="123">
    <w:nsid w:val="2E22FBB7"/>
    <w:multiLevelType w:val="hybridMultilevel"/>
    <w:lvl w:ilvl="0">
      <w:lvlJc w:val="left"/>
      <w:lvlText w:val="(%1)"/>
      <w:numFmt w:val="lowerLetter"/>
      <w:start w:val="1"/>
    </w:lvl>
  </w:abstractNum>
  <w:abstractNum w:abstractNumId="124">
    <w:nsid w:val="29934699"/>
    <w:multiLevelType w:val="hybridMultilevel"/>
    <w:lvl w:ilvl="0">
      <w:lvlJc w:val="left"/>
      <w:lvlText w:val="(%1)"/>
      <w:numFmt w:val="lowerLetter"/>
      <w:start w:val="61"/>
    </w:lvl>
  </w:abstractNum>
  <w:abstractNum w:abstractNumId="125">
    <w:nsid w:val="77485850"/>
    <w:multiLevelType w:val="hybridMultilevel"/>
    <w:lvl w:ilvl="0">
      <w:lvlJc w:val="left"/>
      <w:lvlText w:val="(%1)"/>
      <w:numFmt w:val="lowerLetter"/>
      <w:start w:val="5"/>
    </w:lvl>
  </w:abstractNum>
  <w:abstractNum w:abstractNumId="126">
    <w:nsid w:val="744939A3"/>
    <w:multiLevelType w:val="hybridMultilevel"/>
    <w:lvl w:ilvl="0">
      <w:lvlJc w:val="left"/>
      <w:lvlText w:val="(%1)"/>
      <w:numFmt w:val="lowerLetter"/>
      <w:start w:val="11"/>
    </w:lvl>
  </w:abstractNum>
  <w:abstractNum w:abstractNumId="127">
    <w:nsid w:val="4FA0D2E3"/>
    <w:multiLevelType w:val="hybridMultilevel"/>
    <w:lvl w:ilvl="0">
      <w:lvlJc w:val="left"/>
      <w:lvlText w:val="(%1)"/>
      <w:numFmt w:val="lowerLetter"/>
      <w:start w:val="1"/>
    </w:lvl>
    <w:lvl w:ilvl="1">
      <w:lvlJc w:val="left"/>
      <w:lvlText w:val="(%2)"/>
      <w:numFmt w:val="lowerRoman"/>
      <w:start w:val="1"/>
    </w:lvl>
  </w:abstractNum>
  <w:abstractNum w:abstractNumId="128">
    <w:nsid w:val="6B1D2C14"/>
    <w:multiLevelType w:val="hybridMultilevel"/>
    <w:lvl w:ilvl="0">
      <w:lvlJc w:val="left"/>
      <w:lvlText w:val="%1"/>
      <w:numFmt w:val="lowerLetter"/>
      <w:start w:val="1"/>
    </w:lvl>
    <w:lvl w:ilvl="1">
      <w:lvlJc w:val="left"/>
      <w:lvlText w:val="(%2)"/>
      <w:numFmt w:val="lowerRoman"/>
      <w:start w:val="3"/>
    </w:lvl>
  </w:abstractNum>
  <w:abstractNum w:abstractNumId="129">
    <w:nsid w:val="68B867D3"/>
    <w:multiLevelType w:val="hybridMultilevel"/>
    <w:lvl w:ilvl="0">
      <w:lvlJc w:val="left"/>
      <w:lvlText w:val="(%1)"/>
      <w:numFmt w:val="lowerLetter"/>
      <w:start w:val="2"/>
    </w:lvl>
    <w:lvl w:ilvl="1">
      <w:lvlJc w:val="left"/>
      <w:lvlText w:val="%2"/>
      <w:numFmt w:val="lowerRoman"/>
      <w:start w:val="1"/>
    </w:lvl>
  </w:abstractNum>
  <w:abstractNum w:abstractNumId="130">
    <w:nsid w:val="3F7F5DD9"/>
    <w:multiLevelType w:val="hybridMultilevel"/>
    <w:lvl w:ilvl="0">
      <w:lvlJc w:val="left"/>
      <w:lvlText w:val="(%1)"/>
      <w:numFmt w:val="lowerRoman"/>
      <w:start w:val="1"/>
    </w:lvl>
  </w:abstractNum>
  <w:abstractNum w:abstractNumId="131">
    <w:nsid w:val="2AE05A34"/>
    <w:multiLevelType w:val="hybridMultilevel"/>
    <w:lvl w:ilvl="0">
      <w:lvlJc w:val="left"/>
      <w:lvlText w:val="(%1)"/>
      <w:numFmt w:val="lowerRoman"/>
      <w:start w:val="2"/>
    </w:lvl>
  </w:abstractNum>
  <w:abstractNum w:abstractNumId="132">
    <w:nsid w:val="32794FF7"/>
    <w:multiLevelType w:val="hybridMultilevel"/>
    <w:lvl w:ilvl="0">
      <w:lvlJc w:val="left"/>
      <w:lvlText w:val="(%1)"/>
      <w:numFmt w:val="lowerLetter"/>
      <w:start w:val="1"/>
    </w:lvl>
  </w:abstractNum>
  <w:abstractNum w:abstractNumId="133">
    <w:nsid w:val="5454945E"/>
    <w:multiLevelType w:val="hybridMultilevel"/>
    <w:lvl w:ilvl="0">
      <w:lvlJc w:val="left"/>
      <w:lvlText w:val="(%1)"/>
      <w:numFmt w:val="lowerLetter"/>
      <w:start w:val="2"/>
    </w:lvl>
  </w:abstractNum>
  <w:abstractNum w:abstractNumId="134">
    <w:nsid w:val="4DEFDFA0"/>
    <w:multiLevelType w:val="hybridMultilevel"/>
    <w:lvl w:ilvl="0">
      <w:lvlJc w:val="left"/>
      <w:lvlText w:val="(%1)"/>
      <w:numFmt w:val="lowerLetter"/>
      <w:start w:val="1"/>
    </w:lvl>
  </w:abstractNum>
  <w:abstractNum w:abstractNumId="135">
    <w:nsid w:val="2123D5F2"/>
    <w:multiLevelType w:val="hybridMultilevel"/>
    <w:lvl w:ilvl="0">
      <w:lvlJc w:val="left"/>
      <w:lvlText w:val="(%1)"/>
      <w:numFmt w:val="lowerRoman"/>
      <w:start w:val="1"/>
    </w:lvl>
  </w:abstractNum>
  <w:abstractNum w:abstractNumId="136">
    <w:nsid w:val="135B8110"/>
    <w:multiLevelType w:val="hybridMultilevel"/>
    <w:lvl w:ilvl="0">
      <w:lvlJc w:val="left"/>
      <w:lvlText w:val="(%1)"/>
      <w:numFmt w:val="lowerLetter"/>
      <w:start w:val="1"/>
    </w:lvl>
    <w:lvl w:ilvl="1">
      <w:lvlJc w:val="left"/>
      <w:lvlText w:val="(%2)"/>
      <w:numFmt w:val="lowerRoman"/>
      <w:start w:val="1"/>
    </w:lvl>
  </w:abstractNum>
  <w:abstractNum w:abstractNumId="137">
    <w:nsid w:val="94927A8"/>
    <w:multiLevelType w:val="hybridMultilevel"/>
    <w:lvl w:ilvl="0">
      <w:lvlJc w:val="left"/>
      <w:lvlText w:val="(%1)"/>
      <w:numFmt w:val="lowerRoman"/>
      <w:start w:val="3"/>
    </w:lvl>
  </w:abstractNum>
  <w:abstractNum w:abstractNumId="138">
    <w:nsid w:val="DCDF8F6"/>
    <w:multiLevelType w:val="hybridMultilevel"/>
    <w:lvl w:ilvl="0">
      <w:lvlJc w:val="left"/>
      <w:lvlText w:val="(%1)"/>
      <w:numFmt w:val="lowerRoman"/>
      <w:start w:val="12"/>
    </w:lvl>
  </w:abstractNum>
  <w:abstractNum w:abstractNumId="139">
    <w:nsid w:val="52D7B105"/>
    <w:multiLevelType w:val="hybridMultilevel"/>
    <w:lvl w:ilvl="0">
      <w:lvlJc w:val="left"/>
      <w:lvlText w:val="(%1)"/>
      <w:numFmt w:val="lowerLetter"/>
      <w:start w:val="1"/>
    </w:lvl>
  </w:abstractNum>
  <w:abstractNum w:abstractNumId="140">
    <w:nsid w:val="2E8A6394"/>
    <w:multiLevelType w:val="hybridMultilevel"/>
    <w:lvl w:ilvl="0">
      <w:lvlJc w:val="left"/>
      <w:lvlText w:val="(%1)"/>
      <w:numFmt w:val="lowerLetter"/>
      <w:start w:val="2"/>
    </w:lvl>
  </w:abstractNum>
  <w:abstractNum w:abstractNumId="141">
    <w:nsid w:val="24E60401"/>
    <w:multiLevelType w:val="hybridMultilevel"/>
    <w:lvl w:ilvl="0">
      <w:lvlJc w:val="left"/>
      <w:lvlText w:val="(%1)"/>
      <w:numFmt w:val="lowerLetter"/>
      <w:start w:val="9"/>
    </w:lvl>
  </w:abstractNum>
  <w:abstractNum w:abstractNumId="142">
    <w:nsid w:val="2A6AD9BE"/>
    <w:multiLevelType w:val="hybridMultilevel"/>
    <w:lvl w:ilvl="0">
      <w:lvlJc w:val="left"/>
      <w:lvlText w:val="(%1)"/>
      <w:numFmt w:val="lowerLetter"/>
      <w:start w:val="1"/>
    </w:lvl>
  </w:abstractNum>
  <w:abstractNum w:abstractNumId="143">
    <w:nsid w:val="BAAC1B4"/>
    <w:multiLevelType w:val="hybridMultilevel"/>
    <w:lvl w:ilvl="0">
      <w:lvlJc w:val="left"/>
      <w:lvlText w:val="(%1)"/>
      <w:numFmt w:val="decimal"/>
      <w:start w:val="48"/>
    </w:lvl>
  </w:abstractNum>
  <w:abstractNum w:abstractNumId="144">
    <w:nsid w:val="36B2ACBC"/>
    <w:multiLevelType w:val="hybridMultilevel"/>
    <w:lvl w:ilvl="0">
      <w:lvlJc w:val="left"/>
      <w:lvlText w:val="(%1)"/>
      <w:numFmt w:val="lowerLetter"/>
      <w:start w:val="3"/>
    </w:lvl>
  </w:abstractNum>
  <w:abstractNum w:abstractNumId="145">
    <w:nsid w:val="779D8544"/>
    <w:multiLevelType w:val="hybridMultilevel"/>
    <w:lvl w:ilvl="0">
      <w:lvlJc w:val="left"/>
      <w:lvlText w:val="(%1)"/>
      <w:numFmt w:val="lowerLetter"/>
      <w:start w:val="1"/>
    </w:lvl>
  </w:abstractNum>
  <w:abstractNum w:abstractNumId="146">
    <w:nsid w:val="4AB26E78"/>
    <w:multiLevelType w:val="hybridMultilevel"/>
    <w:lvl w:ilvl="0">
      <w:lvlJc w:val="left"/>
      <w:lvlText w:val="(%1)"/>
      <w:numFmt w:val="lowerLetter"/>
      <w:start w:val="1"/>
    </w:lvl>
    <w:lvl w:ilvl="1">
      <w:lvlJc w:val="left"/>
      <w:lvlText w:val="(%2)"/>
      <w:numFmt w:val="lowerRoman"/>
      <w:start w:val="1"/>
    </w:lvl>
  </w:abstractNum>
  <w:abstractNum w:abstractNumId="147">
    <w:nsid w:val="21FAA2FA"/>
    <w:multiLevelType w:val="hybridMultilevel"/>
    <w:lvl w:ilvl="0">
      <w:lvlJc w:val="left"/>
      <w:lvlText w:val="(%1)"/>
      <w:numFmt w:val="lowerLetter"/>
      <w:start w:val="2"/>
    </w:lvl>
  </w:abstractNum>
  <w:abstractNum w:abstractNumId="148">
    <w:nsid w:val="5451CF49"/>
    <w:multiLevelType w:val="hybridMultilevel"/>
    <w:lvl w:ilvl="0">
      <w:lvlJc w:val="left"/>
      <w:lvlText w:val="(%1)"/>
      <w:numFmt w:val="lowerLetter"/>
      <w:start w:val="1"/>
    </w:lvl>
  </w:abstractNum>
  <w:abstractNum w:abstractNumId="149">
    <w:nsid w:val="6181EF69"/>
    <w:multiLevelType w:val="hybridMultilevel"/>
    <w:lvl w:ilvl="0">
      <w:lvlJc w:val="left"/>
      <w:lvlText w:val="(%1)"/>
      <w:numFmt w:val="lowerLetter"/>
      <w:start w:val="1"/>
    </w:lvl>
  </w:abstractNum>
  <w:abstractNum w:abstractNumId="150">
    <w:nsid w:val="3E6400E6"/>
    <w:multiLevelType w:val="hybridMultilevel"/>
    <w:lvl w:ilvl="0">
      <w:lvlJc w:val="left"/>
      <w:lvlText w:val="(%1)"/>
      <w:numFmt w:val="lowerLetter"/>
      <w:start w:val="1"/>
    </w:lvl>
  </w:abstractNum>
  <w:abstractNum w:abstractNumId="151">
    <w:nsid w:val="14217E23"/>
    <w:multiLevelType w:val="hybridMultilevel"/>
    <w:lvl w:ilvl="0">
      <w:lvlJc w:val="left"/>
      <w:lvlText w:val="(%1)"/>
      <w:numFmt w:val="lowerLetter"/>
      <w:start w:val="1"/>
    </w:lvl>
  </w:abstractNum>
  <w:abstractNum w:abstractNumId="152">
    <w:nsid w:val="710757D0"/>
    <w:multiLevelType w:val="hybridMultilevel"/>
    <w:lvl w:ilvl="0">
      <w:lvlJc w:val="left"/>
      <w:lvlText w:val="(%1)"/>
      <w:numFmt w:val="lowerLetter"/>
      <w:start w:val="26"/>
    </w:lvl>
  </w:abstractNum>
  <w:abstractNum w:abstractNumId="153">
    <w:nsid w:val="5015CD1A"/>
    <w:multiLevelType w:val="hybridMultilevel"/>
    <w:lvl w:ilvl="0">
      <w:lvlJc w:val="left"/>
      <w:lvlText w:val="(%1)"/>
      <w:numFmt w:val="lowerLetter"/>
      <w:start w:val="1"/>
    </w:lvl>
  </w:abstractNum>
  <w:abstractNum w:abstractNumId="154">
    <w:nsid w:val="424479DA"/>
    <w:multiLevelType w:val="hybridMultilevel"/>
    <w:lvl w:ilvl="0">
      <w:lvlJc w:val="left"/>
      <w:lvlText w:val="(%1)"/>
      <w:numFmt w:val="lowerLetter"/>
      <w:start w:val="3"/>
    </w:lvl>
  </w:abstractNum>
  <w:abstractNum w:abstractNumId="155">
    <w:nsid w:val="1A9A9E69"/>
    <w:multiLevelType w:val="hybridMultilevel"/>
    <w:lvl w:ilvl="0">
      <w:lvlJc w:val="left"/>
      <w:lvlText w:val="(%1)"/>
      <w:numFmt w:val="lowerLetter"/>
      <w:start w:val="35"/>
    </w:lvl>
  </w:abstractNum>
  <w:abstractNum w:abstractNumId="156">
    <w:nsid w:val="475E256A"/>
    <w:multiLevelType w:val="hybridMultilevel"/>
    <w:lvl w:ilvl="0">
      <w:lvlJc w:val="left"/>
      <w:lvlText w:val="(%1)"/>
      <w:numFmt w:val="lowerRoman"/>
      <w:start w:val="6"/>
    </w:lvl>
  </w:abstractNum>
  <w:abstractNum w:abstractNumId="157">
    <w:nsid w:val="368DB37E"/>
    <w:multiLevelType w:val="hybridMultilevel"/>
    <w:lvl w:ilvl="0">
      <w:lvlJc w:val="left"/>
      <w:lvlText w:val="(%1)"/>
      <w:numFmt w:val="lowerLetter"/>
      <w:start w:val="10"/>
    </w:lvl>
  </w:abstractNum>
  <w:abstractNum w:abstractNumId="158">
    <w:nsid w:val="6A3B714C"/>
    <w:multiLevelType w:val="hybridMultilevel"/>
    <w:lvl w:ilvl="0">
      <w:lvlJc w:val="left"/>
      <w:lvlText w:val="(%1)"/>
      <w:numFmt w:val="lowerRoman"/>
      <w:start w:val="2"/>
    </w:lvl>
  </w:abstractNum>
  <w:abstractNum w:abstractNumId="159">
    <w:nsid w:val="327B517E"/>
    <w:multiLevelType w:val="hybridMultilevel"/>
    <w:lvl w:ilvl="0">
      <w:lvlJc w:val="left"/>
      <w:lvlText w:val="(%1)"/>
      <w:numFmt w:val="lowerLetter"/>
      <w:start w:val="1"/>
    </w:lvl>
    <w:lvl w:ilvl="1">
      <w:lvlJc w:val="left"/>
      <w:lvlText w:val="(%2)"/>
      <w:numFmt w:val="lowerLetter"/>
      <w:start w:val="9"/>
    </w:lvl>
  </w:abstractNum>
  <w:abstractNum w:abstractNumId="160">
    <w:nsid w:val="1F461B51"/>
    <w:multiLevelType w:val="hybridMultilevel"/>
    <w:lvl w:ilvl="0">
      <w:lvlJc w:val="left"/>
      <w:lvlText w:val="(%1)"/>
      <w:numFmt w:val="lowerRoman"/>
      <w:start w:val="2"/>
    </w:lvl>
  </w:abstractNum>
  <w:abstractNum w:abstractNumId="161">
    <w:nsid w:val="29BACF25"/>
    <w:multiLevelType w:val="hybridMultilevel"/>
    <w:lvl w:ilvl="0">
      <w:lvlJc w:val="left"/>
      <w:lvlText w:val="(%1)"/>
      <w:numFmt w:val="decimal"/>
      <w:start w:val="763"/>
    </w:lvl>
  </w:abstractNum>
  <w:abstractNum w:abstractNumId="162">
    <w:nsid w:val="5D5BABB3"/>
    <w:multiLevelType w:val="hybridMultilevel"/>
    <w:lvl w:ilvl="0">
      <w:lvlJc w:val="left"/>
      <w:lvlText w:val="(%1)"/>
      <w:numFmt w:val="lowerLetter"/>
      <w:start w:val="1"/>
    </w:lvl>
  </w:abstractNum>
  <w:abstractNum w:abstractNumId="163">
    <w:nsid w:val="51BF6B48"/>
    <w:multiLevelType w:val="hybridMultilevel"/>
    <w:lvl w:ilvl="0">
      <w:lvlJc w:val="left"/>
      <w:lvlText w:val="%1"/>
      <w:numFmt w:val="decimal"/>
      <w:start w:val="1"/>
    </w:lvl>
    <w:lvl w:ilvl="1">
      <w:lvlJc w:val="left"/>
      <w:lvlText w:val="(%2)"/>
      <w:numFmt w:val="lowerRoman"/>
      <w:start w:val="2"/>
    </w:lvl>
  </w:abstractNum>
  <w:abstractNum w:abstractNumId="164">
    <w:nsid w:val="7E0F6384"/>
    <w:multiLevelType w:val="hybridMultilevel"/>
    <w:lvl w:ilvl="0">
      <w:lvlJc w:val="left"/>
      <w:lvlText w:val="%1."/>
      <w:numFmt w:val="decimal"/>
      <w:start w:val="2"/>
    </w:lvl>
    <w:lvl w:ilvl="1">
      <w:lvlJc w:val="left"/>
      <w:lvlText w:val="%2"/>
      <w:numFmt w:val="lowerRoman"/>
      <w:start w:val="1"/>
    </w:lvl>
  </w:abstractNum>
  <w:abstractNum w:abstractNumId="165">
    <w:nsid w:val="2B4B8B53"/>
    <w:multiLevelType w:val="hybridMultilevel"/>
    <w:lvl w:ilvl="0">
      <w:lvlJc w:val="left"/>
      <w:lvlText w:val="(%1)"/>
      <w:numFmt w:val="lowerRoman"/>
      <w:start w:val="1"/>
    </w:lvl>
  </w:abstractNum>
  <w:abstractNum w:abstractNumId="166">
    <w:nsid w:val="72E3413A"/>
    <w:multiLevelType w:val="hybridMultilevel"/>
    <w:lvl w:ilvl="0">
      <w:lvlJc w:val="left"/>
      <w:lvlText w:val="(%1)"/>
      <w:numFmt w:val="lowerLetter"/>
      <w:start w:val="1"/>
    </w:lvl>
  </w:abstractNum>
  <w:abstractNum w:abstractNumId="167">
    <w:nsid w:val="116AE494"/>
    <w:multiLevelType w:val="hybridMultilevel"/>
    <w:lvl w:ilvl="0">
      <w:lvlJc w:val="left"/>
      <w:lvlText w:val="(%1)"/>
      <w:numFmt w:val="lowerLetter"/>
      <w:start w:val="6"/>
    </w:lvl>
  </w:abstractNum>
  <w:abstractNum w:abstractNumId="168">
    <w:nsid w:val="3494B2FB"/>
    <w:multiLevelType w:val="hybridMultilevel"/>
    <w:lvl w:ilvl="0">
      <w:lvlJc w:val="left"/>
      <w:lvlText w:val="-"/>
      <w:numFmt w:val="bullet"/>
      <w:start w:val="1"/>
    </w:lvl>
  </w:abstractNum>
  <w:abstractNum w:abstractNumId="169">
    <w:nsid w:val="B13A31"/>
    <w:multiLevelType w:val="hybridMultilevel"/>
    <w:lvl w:ilvl="0">
      <w:lvlJc w:val="left"/>
      <w:lvlText w:val="(%1)"/>
      <w:numFmt w:val="lowerRoman"/>
      <w:start w:val="1"/>
    </w:lvl>
  </w:abstractNum>
  <w:abstractNum w:abstractNumId="170">
    <w:nsid w:val="64429599"/>
    <w:multiLevelType w:val="hybridMultilevel"/>
    <w:lvl w:ilvl="0">
      <w:lvlJc w:val="left"/>
      <w:lvlText w:val="(%1)"/>
      <w:numFmt w:val="lowerRoman"/>
      <w:start w:val="3"/>
    </w:lvl>
    <w:lvl w:ilvl="1">
      <w:lvlJc w:val="left"/>
      <w:lvlText w:val="(%2)"/>
      <w:numFmt w:val="upperLetter"/>
      <w:start w:val="2"/>
    </w:lvl>
  </w:abstractNum>
  <w:abstractNum w:abstractNumId="171">
    <w:nsid w:val="631F1690"/>
    <w:multiLevelType w:val="hybridMultilevel"/>
    <w:lvl w:ilvl="0">
      <w:lvlJc w:val="left"/>
      <w:lvlText w:val="(%1)"/>
      <w:numFmt w:val="lowerRoman"/>
      <w:start w:val="9"/>
    </w:lvl>
  </w:abstractNum>
  <w:abstractNum w:abstractNumId="172">
    <w:nsid w:val="25973E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73">
    <w:nsid w:val="EAD6F57"/>
    <w:multiLevelType w:val="hybridMultilevel"/>
    <w:lvl w:ilvl="0">
      <w:lvlJc w:val="left"/>
      <w:lvlText w:val="%1"/>
      <w:numFmt w:val="lowerLetter"/>
      <w:start w:val="1"/>
    </w:lvl>
    <w:lvl w:ilvl="1">
      <w:lvlJc w:val="left"/>
      <w:lvlText w:val="(%2)"/>
      <w:numFmt w:val="lowerLetter"/>
      <w:start w:val="3"/>
    </w:lvl>
    <w:lvl w:ilvl="2">
      <w:lvlJc w:val="left"/>
      <w:lvlText w:val="%3"/>
      <w:numFmt w:val="decimal"/>
      <w:start w:val="1"/>
    </w:lvl>
  </w:abstractNum>
  <w:abstractNum w:abstractNumId="174">
    <w:nsid w:val="6EC9D844"/>
    <w:multiLevelType w:val="hybridMultilevel"/>
    <w:lvl w:ilvl="0">
      <w:lvlJc w:val="left"/>
      <w:lvlText w:val="(%1)"/>
      <w:numFmt w:val="lowerLetter"/>
      <w:start w:val="5"/>
    </w:lvl>
    <w:lvl w:ilvl="1">
      <w:lvlJc w:val="left"/>
      <w:lvlText w:val="(%2)"/>
      <w:numFmt w:val="lowerLetter"/>
      <w:start w:val="4"/>
    </w:lvl>
    <w:lvl w:ilvl="2">
      <w:lvlJc w:val="left"/>
      <w:lvlText w:val="(%3)"/>
      <w:numFmt w:val="decimal"/>
      <w:start w:val="1"/>
    </w:lvl>
  </w:abstractNum>
  <w:abstractNum w:abstractNumId="175">
    <w:nsid w:val="5C49EAEE"/>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abstractNum>
  <w:abstractNum w:abstractNumId="176">
    <w:nsid w:val="64AF49B"/>
    <w:multiLevelType w:val="hybridMultilevel"/>
    <w:lvl w:ilvl="0">
      <w:lvlJc w:val="left"/>
      <w:lvlText w:val="(%1)"/>
      <w:numFmt w:val="lowerLetter"/>
      <w:start w:val="5"/>
    </w:lvl>
  </w:abstractNum>
  <w:abstractNum w:abstractNumId="177">
    <w:nsid w:val="397C46BC"/>
    <w:multiLevelType w:val="hybridMultilevel"/>
    <w:lvl w:ilvl="0">
      <w:lvlJc w:val="left"/>
      <w:lvlText w:val="(%1)"/>
      <w:numFmt w:val="lowerLetter"/>
      <w:start w:val="10"/>
    </w:lvl>
    <w:lvl w:ilvl="1">
      <w:lvlJc w:val="left"/>
      <w:lvlText w:val="(%2)"/>
      <w:numFmt w:val="decimal"/>
      <w:start w:val="1"/>
    </w:lvl>
  </w:abstractNum>
  <w:abstractNum w:abstractNumId="178">
    <w:nsid w:val="7E448DE9"/>
    <w:multiLevelType w:val="hybridMultilevel"/>
    <w:lvl w:ilvl="0">
      <w:lvlJc w:val="left"/>
      <w:lvlText w:val="-"/>
      <w:numFmt w:val="bullet"/>
      <w:start w:val="1"/>
    </w:lvl>
  </w:abstractNum>
  <w:abstractNum w:abstractNumId="179">
    <w:nsid w:val="5A9CC3E5"/>
    <w:multiLevelType w:val="hybridMultilevel"/>
    <w:lvl w:ilvl="0">
      <w:lvlJc w:val="left"/>
      <w:lvlText w:val="-"/>
      <w:numFmt w:val="bullet"/>
      <w:start w:val="1"/>
    </w:lvl>
  </w:abstractNum>
  <w:abstractNum w:abstractNumId="180">
    <w:nsid w:val="1AFE3625"/>
    <w:multiLevelType w:val="hybridMultilevel"/>
    <w:lvl w:ilvl="0">
      <w:lvlJc w:val="left"/>
      <w:lvlText w:val="-"/>
      <w:numFmt w:val="bullet"/>
      <w:start w:val="1"/>
    </w:lvl>
  </w:abstractNum>
  <w:abstractNum w:abstractNumId="181">
    <w:nsid w:val="3CA88ECF"/>
    <w:multiLevelType w:val="hybridMultilevel"/>
    <w:lvl w:ilvl="0">
      <w:lvlJc w:val="left"/>
      <w:lvlText w:val="-"/>
      <w:numFmt w:val="bullet"/>
      <w:start w:val="1"/>
    </w:lvl>
  </w:abstractNum>
  <w:abstractNum w:abstractNumId="182">
    <w:nsid w:val="6EBE4208"/>
    <w:multiLevelType w:val="hybridMultilevel"/>
    <w:lvl w:ilvl="0">
      <w:lvlJc w:val="left"/>
      <w:lvlText w:val="-"/>
      <w:numFmt w:val="bullet"/>
      <w:start w:val="1"/>
    </w:lvl>
  </w:abstractNum>
  <w:abstractNum w:abstractNumId="183">
    <w:nsid w:val="C058DF5"/>
    <w:multiLevelType w:val="hybridMultilevel"/>
    <w:lvl w:ilvl="0">
      <w:lvlJc w:val="left"/>
      <w:lvlText w:val="-"/>
      <w:numFmt w:val="bullet"/>
      <w:start w:val="1"/>
    </w:lvl>
  </w:abstractNum>
  <w:abstractNum w:abstractNumId="184">
    <w:nsid w:val="CBE5BE9"/>
    <w:multiLevelType w:val="hybridMultilevel"/>
    <w:lvl w:ilvl="0">
      <w:lvlJc w:val="left"/>
      <w:lvlText w:val="(%1)"/>
      <w:numFmt w:val="decimal"/>
      <w:start w:val="1"/>
    </w:lvl>
  </w:abstractNum>
  <w:abstractNum w:abstractNumId="185">
    <w:nsid w:val="3102BBE2"/>
    <w:multiLevelType w:val="hybridMultilevel"/>
    <w:lvl w:ilvl="0">
      <w:lvlJc w:val="left"/>
      <w:lvlText w:val="(%1)"/>
      <w:numFmt w:val="decimal"/>
      <w:start w:val="1"/>
    </w:lvl>
  </w:abstractNum>
  <w:abstractNum w:abstractNumId="186">
    <w:nsid w:val="26A02C5E"/>
    <w:multiLevelType w:val="hybridMultilevel"/>
    <w:lvl w:ilvl="0">
      <w:lvlJc w:val="left"/>
      <w:lvlText w:val="-"/>
      <w:numFmt w:val="bullet"/>
      <w:start w:val="1"/>
    </w:lvl>
  </w:abstractNum>
  <w:abstractNum w:abstractNumId="187">
    <w:nsid w:val="541C8153"/>
    <w:multiLevelType w:val="hybridMultilevel"/>
    <w:lvl w:ilvl="0">
      <w:lvlJc w:val="left"/>
      <w:lvlText w:val="-"/>
      <w:numFmt w:val="bullet"/>
      <w:start w:val="1"/>
    </w:lvl>
  </w:abstractNum>
  <w:abstractNum w:abstractNumId="188">
    <w:nsid w:val="67906F60"/>
    <w:multiLevelType w:val="hybridMultilevel"/>
    <w:lvl w:ilvl="0">
      <w:lvlJc w:val="left"/>
      <w:lvlText w:val="-"/>
      <w:numFmt w:val="bullet"/>
      <w:start w:val="1"/>
    </w:lvl>
  </w:abstractNum>
  <w:abstractNum w:abstractNumId="189">
    <w:nsid w:val="10DB9DAA"/>
    <w:multiLevelType w:val="hybridMultilevel"/>
    <w:lvl w:ilvl="0">
      <w:lvlJc w:val="left"/>
      <w:lvlText w:val="-"/>
      <w:numFmt w:val="bullet"/>
      <w:start w:val="1"/>
    </w:lvl>
  </w:abstractNum>
  <w:abstractNum w:abstractNumId="190">
    <w:nsid w:val="697D2D2"/>
    <w:multiLevelType w:val="hybridMultilevel"/>
    <w:lvl w:ilvl="0">
      <w:lvlJc w:val="left"/>
      <w:lvlText w:val="-"/>
      <w:numFmt w:val="bullet"/>
      <w:start w:val="1"/>
    </w:lvl>
  </w:abstractNum>
  <w:abstractNum w:abstractNumId="191">
    <w:nsid w:val="6D68AB2"/>
    <w:multiLevelType w:val="hybridMultilevel"/>
    <w:lvl w:ilvl="0">
      <w:lvlJc w:val="left"/>
      <w:lvlText w:val="-"/>
      <w:numFmt w:val="bullet"/>
      <w:start w:val="1"/>
    </w:lvl>
  </w:abstractNum>
  <w:abstractNum w:abstractNumId="192">
    <w:nsid w:val="3A966CD0"/>
    <w:multiLevelType w:val="hybridMultilevel"/>
    <w:lvl w:ilvl="0">
      <w:lvlJc w:val="left"/>
      <w:lvlText w:val="-"/>
      <w:numFmt w:val="bullet"/>
      <w:start w:val="1"/>
    </w:lvl>
  </w:abstractNum>
  <w:abstractNum w:abstractNumId="193">
    <w:nsid w:val="63F37E85"/>
    <w:multiLevelType w:val="hybridMultilevel"/>
    <w:lvl w:ilvl="0">
      <w:lvlJc w:val="left"/>
      <w:lvlText w:val="-"/>
      <w:numFmt w:val="bullet"/>
      <w:start w:val="1"/>
    </w:lvl>
  </w:abstractNum>
  <w:abstractNum w:abstractNumId="194">
    <w:nsid w:val="5895F5FA"/>
    <w:multiLevelType w:val="hybridMultilevel"/>
    <w:lvl w:ilvl="0">
      <w:lvlJc w:val="left"/>
      <w:lvlText w:val="-"/>
      <w:numFmt w:val="bullet"/>
      <w:start w:val="1"/>
    </w:lvl>
  </w:abstractNum>
  <w:abstractNum w:abstractNumId="195">
    <w:nsid w:val="38A5D054"/>
    <w:multiLevelType w:val="hybridMultilevel"/>
    <w:lvl w:ilvl="0">
      <w:lvlJc w:val="left"/>
      <w:lvlText w:val="-"/>
      <w:numFmt w:val="bullet"/>
      <w:start w:val="1"/>
    </w:lvl>
  </w:abstractNum>
  <w:abstractNum w:abstractNumId="196">
    <w:nsid w:val="F3F09D8"/>
    <w:multiLevelType w:val="hybridMultilevel"/>
    <w:lvl w:ilvl="0">
      <w:lvlJc w:val="left"/>
      <w:lvlText w:val="-"/>
      <w:numFmt w:val="bullet"/>
      <w:start w:val="1"/>
    </w:lvl>
  </w:abstractNum>
  <w:abstractNum w:abstractNumId="197">
    <w:nsid w:val="4B793735"/>
    <w:multiLevelType w:val="hybridMultilevel"/>
    <w:lvl w:ilvl="0">
      <w:lvlJc w:val="left"/>
      <w:lvlText w:val="-"/>
      <w:numFmt w:val="bullet"/>
      <w:start w:val="1"/>
    </w:lvl>
  </w:abstractNum>
  <w:abstractNum w:abstractNumId="198">
    <w:nsid w:val="4A10B4E8"/>
    <w:multiLevelType w:val="hybridMultilevel"/>
    <w:lvl w:ilvl="0">
      <w:lvlJc w:val="left"/>
      <w:lvlText w:val="(%1)"/>
      <w:numFmt w:val="decimal"/>
      <w:start w:val="1"/>
    </w:lvl>
  </w:abstractNum>
  <w:abstractNum w:abstractNumId="199">
    <w:nsid w:val="43D3BCD4"/>
    <w:multiLevelType w:val="hybridMultilevel"/>
    <w:lvl w:ilvl="0">
      <w:lvlJc w:val="left"/>
      <w:lvlText w:val="-"/>
      <w:numFmt w:val="bullet"/>
      <w:start w:val="1"/>
    </w:lvl>
  </w:abstractNum>
  <w:abstractNum w:abstractNumId="200">
    <w:nsid w:val="4C2A7166"/>
    <w:multiLevelType w:val="hybridMultilevel"/>
    <w:lvl w:ilvl="0">
      <w:lvlJc w:val="left"/>
      <w:lvlText w:val="o"/>
      <w:numFmt w:val="bullet"/>
      <w:start w:val="1"/>
    </w:lvl>
  </w:abstractNum>
  <w:abstractNum w:abstractNumId="201">
    <w:nsid w:val="2E534A82"/>
    <w:multiLevelType w:val="hybridMultilevel"/>
    <w:lvl w:ilvl="0">
      <w:lvlJc w:val="left"/>
      <w:lvlText w:val="o"/>
      <w:numFmt w:val="bullet"/>
      <w:start w:val="1"/>
    </w:lvl>
  </w:abstractNum>
  <w:abstractNum w:abstractNumId="202">
    <w:nsid w:val="26F2D364"/>
    <w:multiLevelType w:val="hybridMultilevel"/>
    <w:lvl w:ilvl="0">
      <w:lvlJc w:val="left"/>
      <w:lvlText w:val="-"/>
      <w:numFmt w:val="bullet"/>
      <w:start w:val="1"/>
    </w:lvl>
  </w:abstractNum>
  <w:abstractNum w:abstractNumId="203">
    <w:nsid w:val="71C1AF9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2019-12-13T17:40:27Z</dcterms:created>
  <dcterms:modified xsi:type="dcterms:W3CDTF">2019-12-13T17:40:27Z</dcterms:modified>
</cp:coreProperties>
</file>