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0" w:right="1680" w:hanging="372"/>
        <w:spacing w:after="0" w:line="286" w:lineRule="auto"/>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u w:val="single" w:color="auto"/>
          <w:color w:val="auto"/>
        </w:rPr>
        <w:t>March 31, 2022</w:t>
      </w:r>
    </w:p>
    <w:p>
      <w:pPr>
        <w:spacing w:after="0" w:line="155" w:lineRule="exact"/>
        <w:rPr>
          <w:sz w:val="24"/>
          <w:szCs w:val="24"/>
          <w:color w:val="auto"/>
        </w:rPr>
      </w:pPr>
    </w:p>
    <w:p>
      <w:pPr>
        <w:ind w:left="380" w:right="1700" w:hanging="372"/>
        <w:spacing w:after="0" w:line="286" w:lineRule="auto"/>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_______ to _______</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u w:val="single" w:color="auto"/>
          <w:color w:val="auto"/>
        </w:rPr>
        <w:t>001-33660</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87-0398877</w:t>
            </w:r>
          </w:p>
        </w:tc>
      </w:tr>
      <w:tr>
        <w:trPr>
          <w:trHeight w:val="228"/>
        </w:trPr>
        <w:tc>
          <w:tcPr>
            <w:tcW w:w="4920" w:type="dxa"/>
            <w:vAlign w:val="bottom"/>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540" w:type="dxa"/>
            <w:vAlign w:val="bottom"/>
            <w:gridSpan w:val="3"/>
          </w:tcPr>
          <w:p>
            <w:pPr>
              <w:jc w:val="center"/>
              <w:ind w:right="870"/>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r>
        <w:trPr>
          <w:trHeight w:val="414"/>
        </w:trPr>
        <w:tc>
          <w:tcPr>
            <w:tcW w:w="4920" w:type="dxa"/>
            <w:vAlign w:val="bottom"/>
            <w:tcBorders>
              <w:bottom w:val="single" w:sz="8" w:color="auto"/>
            </w:tcBorders>
            <w:gridSpan w:val="4"/>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5225 Wiley Post Way, Suite 500, Salt Lake City, Utah</w:t>
            </w:r>
          </w:p>
        </w:tc>
        <w:tc>
          <w:tcPr>
            <w:tcW w:w="6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3"/>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4920" w:type="dxa"/>
            <w:vAlign w:val="bottom"/>
            <w:gridSpan w:val="4"/>
          </w:tcPr>
          <w:p>
            <w:pPr>
              <w:jc w:val="center"/>
              <w:ind w:left="5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 (801) 975-7200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800" w:type="dxa"/>
            <w:vAlign w:val="bottom"/>
            <w:gridSpan w:val="2"/>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r>
        <w:trPr>
          <w:trHeight w:val="453"/>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4920" w:type="dxa"/>
            <w:vAlign w:val="bottom"/>
            <w:gridSpan w:val="4"/>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7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CLRO</w:t>
            </w: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220" w:hanging="212"/>
        <w:spacing w:after="0" w:line="207" w:lineRule="exact"/>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1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216" w:right="339" w:bottom="1440" w:gutter="0" w:footer="0" w:header="0"/>
        </w:sectPr>
      </w:pPr>
    </w:p>
    <w:p>
      <w:pPr>
        <w:spacing w:after="0" w:line="14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Larger Accelerated Filer </w:t>
      </w:r>
      <w:r>
        <w:rPr>
          <w:rFonts w:ascii="MS PGothic" w:cs="MS PGothic" w:eastAsia="MS PGothic" w:hAnsi="MS PGothic"/>
          <w:sz w:val="17"/>
          <w:szCs w:val="17"/>
          <w:color w:val="auto"/>
        </w:rPr>
        <w:t>☐</w:t>
      </w:r>
    </w:p>
    <w:p>
      <w:pPr>
        <w:spacing w:after="0" w:line="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sectPr>
          <w:pgSz w:w="11900" w:h="16838" w:orient="portrait"/>
          <w:cols w:equalWidth="0" w:num="2">
            <w:col w:w="4900" w:space="720"/>
            <w:col w:w="5620"/>
          </w:cols>
          <w:pgMar w:left="320" w:top="216" w:right="339" w:bottom="1440" w:gutter="0" w:footer="0" w:header="0"/>
          <w:type w:val="continuous"/>
        </w:sectPr>
      </w:pPr>
    </w:p>
    <w:p>
      <w:pPr>
        <w:spacing w:after="0" w:line="19"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ClearOne common stock outstanding as of May 18, 2022 was 23,948,587.</w:t>
      </w:r>
    </w:p>
    <w:p>
      <w:pPr>
        <w:spacing w:after="0" w:line="36"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 FOR THE QUARTER ENDED MARCH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INDEX</w:t>
            </w:r>
            <w:r>
              <w:rPr>
                <w:rFonts w:ascii="Times New Roman" w:cs="Times New Roman" w:eastAsia="Times New Roman" w:hAnsi="Times New Roman"/>
                <w:sz w:val="18"/>
                <w:szCs w:val="18"/>
                <w:color w:val="auto"/>
              </w:rPr>
              <w: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Balance Sheets as of March 31, 2022 and December 31,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920" w:type="dxa"/>
            <w:vAlign w:val="bottom"/>
            <w:shd w:val="clear" w:color="auto" w:fill="CCEEFF"/>
          </w:tcPr>
          <w:p>
            <w:pPr>
              <w:spacing w:after="0"/>
              <w:rPr>
                <w:sz w:val="15"/>
                <w:szCs w:val="15"/>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months ended March 31,</w:t>
            </w:r>
          </w:p>
        </w:tc>
        <w:tc>
          <w:tcPr>
            <w:tcW w:w="9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28"/>
        </w:trPr>
        <w:tc>
          <w:tcPr>
            <w:tcW w:w="920" w:type="dxa"/>
            <w:vAlign w:val="bottom"/>
            <w:tcBorders>
              <w:top w:val="single" w:sz="8" w:color="CCEEFF"/>
            </w:tcBorders>
            <w:shd w:val="clear" w:color="auto" w:fill="CCEEFF"/>
          </w:tcPr>
          <w:p>
            <w:pPr>
              <w:spacing w:after="0"/>
              <w:rPr>
                <w:sz w:val="11"/>
                <w:szCs w:val="11"/>
                <w:color w:val="auto"/>
              </w:rPr>
            </w:pPr>
          </w:p>
        </w:tc>
        <w:tc>
          <w:tcPr>
            <w:tcW w:w="9060" w:type="dxa"/>
            <w:vAlign w:val="bottom"/>
            <w:tcBorders>
              <w:top w:val="single" w:sz="8" w:color="0000EE"/>
            </w:tcBorders>
            <w:gridSpan w:val="17"/>
            <w:vMerge w:val="restart"/>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360" w:type="dxa"/>
            <w:vAlign w:val="bottom"/>
            <w:tcBorders>
              <w:top w:val="single" w:sz="8" w:color="CCEEFF"/>
            </w:tcBorders>
            <w:vMerge w:val="restart"/>
            <w:shd w:val="clear" w:color="auto" w:fill="CCEEFF"/>
          </w:tcPr>
          <w:p>
            <w:pPr>
              <w:spacing w:after="0"/>
              <w:rPr>
                <w:sz w:val="11"/>
                <w:szCs w:val="11"/>
                <w:color w:val="auto"/>
              </w:rPr>
            </w:pPr>
          </w:p>
        </w:tc>
        <w:tc>
          <w:tcPr>
            <w:tcW w:w="900" w:type="dxa"/>
            <w:vAlign w:val="bottom"/>
            <w:tcBorders>
              <w:top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920" w:type="dxa"/>
            <w:vAlign w:val="bottom"/>
            <w:shd w:val="clear" w:color="auto" w:fill="CCEEFF"/>
          </w:tcPr>
          <w:p>
            <w:pPr>
              <w:spacing w:after="0"/>
              <w:rPr>
                <w:sz w:val="7"/>
                <w:szCs w:val="7"/>
                <w:color w:val="auto"/>
              </w:rPr>
            </w:pPr>
          </w:p>
        </w:tc>
        <w:tc>
          <w:tcPr>
            <w:tcW w:w="9060" w:type="dxa"/>
            <w:vAlign w:val="bottom"/>
            <w:gridSpan w:val="17"/>
            <w:vMerge w:val="continue"/>
            <w:shd w:val="clear" w:color="auto" w:fill="CCEEFF"/>
          </w:tcPr>
          <w:p>
            <w:pPr>
              <w:spacing w:after="0"/>
              <w:rPr>
                <w:sz w:val="7"/>
                <w:szCs w:val="7"/>
                <w:color w:val="auto"/>
              </w:rPr>
            </w:pPr>
          </w:p>
        </w:tc>
        <w:tc>
          <w:tcPr>
            <w:tcW w:w="360" w:type="dxa"/>
            <w:vAlign w:val="bottom"/>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2022 and 2021</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1320" w:type="dxa"/>
            <w:vAlign w:val="bottom"/>
            <w:tcBorders>
              <w:top w:val="single" w:sz="8" w:color="0000EE"/>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Condensed Consolidated Financial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68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rPr>
                <w:sz w:val="18"/>
                <w:szCs w:val="18"/>
                <w:color w:val="auto"/>
              </w:rPr>
            </w:pP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2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29"/>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4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c>
          <w:tcPr>
            <w:tcW w:w="0" w:type="dxa"/>
            <w:vAlign w:val="bottom"/>
          </w:tcPr>
          <w:p>
            <w:pPr>
              <w:spacing w:after="0"/>
              <w:rPr>
                <w:sz w:val="1"/>
                <w:szCs w:val="1"/>
                <w:color w:val="auto"/>
              </w:rPr>
            </w:pPr>
          </w:p>
        </w:tc>
      </w:tr>
      <w:tr>
        <w:trPr>
          <w:trHeight w:val="230"/>
        </w:trPr>
        <w:tc>
          <w:tcPr>
            <w:tcW w:w="920" w:type="dxa"/>
            <w:vAlign w:val="bottom"/>
            <w:tcBorders>
              <w:top w:val="single" w:sz="8" w:color="CCEEFF"/>
            </w:tcBorders>
          </w:tcPr>
          <w:p>
            <w:pPr>
              <w:spacing w:after="0"/>
              <w:rPr>
                <w:sz w:val="19"/>
                <w:szCs w:val="19"/>
                <w:color w:val="auto"/>
              </w:rPr>
            </w:pPr>
          </w:p>
        </w:tc>
        <w:tc>
          <w:tcPr>
            <w:tcW w:w="60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5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spacing w:after="0"/>
              <w:rPr>
                <w:sz w:val="19"/>
                <w:szCs w:val="19"/>
                <w:color w:val="auto"/>
              </w:rPr>
            </w:pPr>
          </w:p>
        </w:tc>
        <w:tc>
          <w:tcPr>
            <w:tcW w:w="6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9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8820" w:type="dxa"/>
            <w:vAlign w:val="bottom"/>
            <w:tcBorders>
              <w:bottom w:val="single" w:sz="8" w:color="CCEEFF"/>
            </w:tcBorders>
            <w:gridSpan w:val="17"/>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c>
          <w:tcPr>
            <w:tcW w:w="0" w:type="dxa"/>
            <w:vAlign w:val="bottom"/>
          </w:tcPr>
          <w:p>
            <w:pPr>
              <w:spacing w:after="0"/>
              <w:rPr>
                <w:sz w:val="1"/>
                <w:szCs w:val="1"/>
                <w:color w:val="auto"/>
              </w:rPr>
            </w:pPr>
          </w:p>
        </w:tc>
      </w:tr>
      <w:tr>
        <w:trPr>
          <w:trHeight w:val="459"/>
        </w:trPr>
        <w:tc>
          <w:tcPr>
            <w:tcW w:w="920" w:type="dxa"/>
            <w:vAlign w:val="bottom"/>
          </w:tcPr>
          <w:p>
            <w:pPr>
              <w:spacing w:after="0"/>
              <w:rPr>
                <w:sz w:val="24"/>
                <w:szCs w:val="24"/>
                <w:color w:val="auto"/>
              </w:rPr>
            </w:pPr>
          </w:p>
        </w:tc>
        <w:tc>
          <w:tcPr>
            <w:tcW w:w="4780" w:type="dxa"/>
            <w:vAlign w:val="bottom"/>
            <w:gridSpan w:val="13"/>
          </w:tcPr>
          <w:p>
            <w:pPr>
              <w:ind w:left="466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9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200" w:type="dxa"/>
            <w:vAlign w:val="bottom"/>
            <w:tcBorders>
              <w:top w:val="single" w:sz="8" w:color="CCEEFF"/>
            </w:tcBorders>
            <w:shd w:val="clear" w:color="auto" w:fill="CCEEFF"/>
          </w:tcPr>
          <w:p>
            <w:pPr>
              <w:ind w:left="38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net of allowance for doubtful accounts of $326 and $326, respectively</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10,033</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receivable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7,535</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3,370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4,021</w:t>
            </w:r>
          </w:p>
        </w:tc>
      </w:tr>
      <w:tr>
        <w:trPr>
          <w:trHeight w:val="209"/>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securities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inventories, net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 right of use assets, net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1,537</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25,086</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4,596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4,597</w:t>
            </w:r>
          </w:p>
        </w:tc>
      </w:tr>
      <w:tr>
        <w:trPr>
          <w:trHeight w:val="263"/>
        </w:trPr>
        <w:tc>
          <w:tcPr>
            <w:tcW w:w="8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tcPr>
          <w:p>
            <w:pPr>
              <w:spacing w:after="0"/>
              <w:rPr>
                <w:sz w:val="22"/>
                <w:szCs w:val="22"/>
                <w:color w:val="auto"/>
              </w:rPr>
            </w:pPr>
          </w:p>
        </w:tc>
      </w:tr>
      <w:tr>
        <w:trPr>
          <w:trHeight w:val="197"/>
        </w:trPr>
        <w:tc>
          <w:tcPr>
            <w:tcW w:w="8200" w:type="dxa"/>
            <w:vAlign w:val="bottom"/>
            <w:shd w:val="clear" w:color="auto" w:fill="CCEEFF"/>
          </w:tcPr>
          <w:p>
            <w:pPr>
              <w:ind w:left="22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5,388</w:t>
            </w:r>
          </w:p>
        </w:tc>
      </w:tr>
      <w:tr>
        <w:trPr>
          <w:trHeight w:val="22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2,549</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product revenue</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r>
      <w:tr>
        <w:trPr>
          <w:trHeight w:val="210"/>
        </w:trPr>
        <w:tc>
          <w:tcPr>
            <w:tcW w:w="8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1,535</w:t>
            </w: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net of current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r>
      <w:tr>
        <w:trPr>
          <w:trHeight w:val="243"/>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14,688</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8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8"/>
        </w:trPr>
        <w:tc>
          <w:tcPr>
            <w:tcW w:w="8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50,000,000 shares authorized, 23,948,587 and 22,410,126 shares issued and</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respectively</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74,831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72,795</w:t>
            </w:r>
          </w:p>
        </w:tc>
      </w:tr>
      <w:tr>
        <w:trPr>
          <w:trHeight w:val="230"/>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(241)</w:t>
            </w:r>
          </w:p>
        </w:tc>
      </w:tr>
      <w:tr>
        <w:trPr>
          <w:trHeight w:val="243"/>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(23,039)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(21,072)</w:t>
            </w:r>
          </w:p>
        </w:tc>
      </w:tr>
      <w:tr>
        <w:trPr>
          <w:trHeight w:val="223"/>
        </w:trPr>
        <w:tc>
          <w:tcPr>
            <w:tcW w:w="8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51,536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51,504</w:t>
            </w:r>
          </w:p>
        </w:tc>
        <w:tc>
          <w:tcPr>
            <w:tcW w:w="100" w:type="dxa"/>
            <w:vAlign w:val="bottom"/>
            <w:tcBorders>
              <w:bottom w:val="single" w:sz="8" w:color="CCEEFF"/>
            </w:tcBorders>
          </w:tcPr>
          <w:p>
            <w:pPr>
              <w:spacing w:after="0"/>
              <w:rPr>
                <w:sz w:val="19"/>
                <w:szCs w:val="19"/>
                <w:color w:val="auto"/>
              </w:rPr>
            </w:pPr>
          </w:p>
        </w:tc>
      </w:tr>
      <w:tr>
        <w:trPr>
          <w:trHeight w:val="223"/>
        </w:trPr>
        <w:tc>
          <w:tcPr>
            <w:tcW w:w="82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62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shd w:val="clear" w:color="auto" w:fill="CCEEFF"/>
          </w:tcPr>
          <w:p>
            <w:pPr>
              <w:spacing w:after="0"/>
              <w:rPr>
                <w:sz w:val="18"/>
                <w:szCs w:val="18"/>
                <w:color w:val="auto"/>
              </w:rPr>
            </w:pP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4,729</w:t>
            </w: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r>
      <w:tr>
        <w:trPr>
          <w:trHeight w:val="223"/>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tcBorders>
              <w:top w:val="single" w:sz="8" w:color="CCEEFF"/>
            </w:tcBorders>
            <w:shd w:val="clear" w:color="auto" w:fill="CCEEFF"/>
          </w:tcPr>
          <w:p>
            <w:pPr>
              <w:spacing w:after="0"/>
              <w:rPr>
                <w:sz w:val="19"/>
                <w:szCs w:val="19"/>
                <w:color w:val="auto"/>
              </w:rPr>
            </w:pPr>
          </w:p>
        </w:tc>
      </w:tr>
      <w:tr>
        <w:trPr>
          <w:trHeight w:val="210"/>
        </w:trPr>
        <w:tc>
          <w:tcPr>
            <w:tcW w:w="6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1,560</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1,756</w:t>
            </w: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r>
      <w:tr>
        <w:trPr>
          <w:trHeight w:val="223"/>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2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00" w:type="dxa"/>
            <w:vAlign w:val="bottom"/>
            <w:tcBorders>
              <w:top w:val="single" w:sz="8" w:color="CCEEFF"/>
            </w:tcBorders>
            <w:shd w:val="clear" w:color="auto" w:fill="CCEEFF"/>
          </w:tcPr>
          <w:p>
            <w:pPr>
              <w:spacing w:after="0"/>
              <w:rPr>
                <w:sz w:val="19"/>
                <w:szCs w:val="19"/>
                <w:color w:val="auto"/>
              </w:rPr>
            </w:pPr>
          </w:p>
        </w:tc>
      </w:tr>
      <w:tr>
        <w:trPr>
          <w:trHeight w:val="209"/>
        </w:trPr>
        <w:tc>
          <w:tcPr>
            <w:tcW w:w="66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(1,853)</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w:t>
            </w:r>
          </w:p>
        </w:tc>
      </w:tr>
      <w:tr>
        <w:trPr>
          <w:trHeight w:val="229"/>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66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(1,951)</w:t>
            </w: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(1,641)</w:t>
            </w:r>
          </w:p>
        </w:tc>
      </w:tr>
      <w:tr>
        <w:trPr>
          <w:trHeight w:val="229"/>
        </w:trPr>
        <w:tc>
          <w:tcPr>
            <w:tcW w:w="66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66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50"/>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00" w:type="dxa"/>
            <w:vAlign w:val="bottom"/>
            <w:tcBorders>
              <w:bottom w:val="single" w:sz="8" w:color="CCEEFF"/>
            </w:tcBorders>
          </w:tcPr>
          <w:p>
            <w:pPr>
              <w:spacing w:after="0"/>
              <w:rPr>
                <w:sz w:val="21"/>
                <w:szCs w:val="21"/>
                <w:color w:val="auto"/>
              </w:rPr>
            </w:pPr>
          </w:p>
        </w:tc>
      </w:tr>
      <w:tr>
        <w:trPr>
          <w:trHeight w:val="197"/>
        </w:trPr>
        <w:tc>
          <w:tcPr>
            <w:tcW w:w="66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23,897,305</w:t>
            </w: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23,897,305</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r>
      <w:tr>
        <w:trPr>
          <w:trHeight w:val="230"/>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r>
      <w:tr>
        <w:trPr>
          <w:trHeight w:val="22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(0.08)</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66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6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(1,967)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29"/>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(loss) on available-for-sale securities, net of tax</w:t>
            </w: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6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8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6"/>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37"/>
        </w:trPr>
        <w:tc>
          <w:tcPr>
            <w:tcW w:w="8000" w:type="dxa"/>
            <w:vAlign w:val="bottom"/>
            <w:tcBorders>
              <w:bottom w:val="single" w:sz="8" w:color="CCEEFF"/>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6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20"/>
                <w:szCs w:val="20"/>
                <w:color w:val="auto"/>
              </w:rPr>
            </w:pPr>
          </w:p>
        </w:tc>
      </w:tr>
      <w:tr>
        <w:trPr>
          <w:trHeight w:val="22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4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w w:val="95"/>
              </w:rPr>
              <w:t>(1,967)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(1,655)</w:t>
            </w: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840" w:type="dxa"/>
            <w:vAlign w:val="bottom"/>
          </w:tcPr>
          <w:p>
            <w:pPr>
              <w:spacing w:after="0"/>
              <w:rPr>
                <w:sz w:val="21"/>
                <w:szCs w:val="21"/>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794</w:t>
            </w:r>
          </w:p>
        </w:tc>
        <w:tc>
          <w:tcPr>
            <w:tcW w:w="28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661</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149</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40" w:type="dxa"/>
            <w:vAlign w:val="bottom"/>
          </w:tcPr>
          <w:p>
            <w:pPr>
              <w:spacing w:after="0"/>
              <w:rPr>
                <w:sz w:val="21"/>
                <w:szCs w:val="21"/>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of inventory to net realizable value</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375</w:t>
            </w: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264</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840" w:type="dxa"/>
            <w:vAlign w:val="bottom"/>
          </w:tcPr>
          <w:p>
            <w:pPr>
              <w:spacing w:after="0"/>
              <w:rPr>
                <w:sz w:val="21"/>
                <w:szCs w:val="21"/>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525</w:t>
            </w:r>
          </w:p>
        </w:tc>
        <w:tc>
          <w:tcPr>
            <w:tcW w:w="280" w:type="dxa"/>
            <w:vAlign w:val="bottom"/>
          </w:tcPr>
          <w:p>
            <w:pPr>
              <w:spacing w:after="0"/>
              <w:rPr>
                <w:sz w:val="21"/>
                <w:szCs w:val="21"/>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736</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651</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tcPr>
          <w:p>
            <w:pPr>
              <w:spacing w:after="0"/>
              <w:rPr>
                <w:sz w:val="21"/>
                <w:szCs w:val="21"/>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w w:val="95"/>
              </w:rPr>
              <w:t>(1,263)</w:t>
            </w:r>
          </w:p>
        </w:tc>
        <w:tc>
          <w:tcPr>
            <w:tcW w:w="28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(1,043)</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286</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446</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receivable</w:t>
            </w:r>
          </w:p>
        </w:tc>
        <w:tc>
          <w:tcPr>
            <w:tcW w:w="840" w:type="dxa"/>
            <w:vAlign w:val="bottom"/>
          </w:tcPr>
          <w:p>
            <w:pPr>
              <w:spacing w:after="0"/>
              <w:rPr>
                <w:sz w:val="21"/>
                <w:szCs w:val="21"/>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product revenue</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840" w:type="dxa"/>
            <w:vAlign w:val="bottom"/>
          </w:tcPr>
          <w:p>
            <w:pPr>
              <w:spacing w:after="0"/>
              <w:rPr>
                <w:sz w:val="21"/>
                <w:szCs w:val="21"/>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80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3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5"/>
              </w:rPr>
              <w:t>(1,043)</w:t>
            </w: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0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84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40" w:type="dxa"/>
            <w:vAlign w:val="bottom"/>
          </w:tcPr>
          <w:p>
            <w:pPr>
              <w:spacing w:after="0"/>
              <w:rPr>
                <w:sz w:val="21"/>
                <w:szCs w:val="21"/>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r>
      <w:tr>
        <w:trPr>
          <w:trHeight w:val="25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intangibles</w:t>
            </w:r>
          </w:p>
        </w:tc>
        <w:tc>
          <w:tcPr>
            <w:tcW w:w="84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(70)</w:t>
            </w:r>
          </w:p>
        </w:tc>
        <w:tc>
          <w:tcPr>
            <w:tcW w:w="2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patent defense costs</w:t>
            </w:r>
          </w:p>
        </w:tc>
        <w:tc>
          <w:tcPr>
            <w:tcW w:w="840" w:type="dxa"/>
            <w:vAlign w:val="bottom"/>
          </w:tcPr>
          <w:p>
            <w:pPr>
              <w:spacing w:after="0"/>
              <w:rPr>
                <w:sz w:val="19"/>
                <w:szCs w:val="19"/>
                <w:color w:val="auto"/>
              </w:rPr>
            </w:pPr>
          </w:p>
        </w:tc>
        <w:tc>
          <w:tcPr>
            <w:tcW w:w="8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(189)</w:t>
            </w:r>
          </w:p>
        </w:tc>
        <w:tc>
          <w:tcPr>
            <w:tcW w:w="280" w:type="dxa"/>
            <w:vAlign w:val="bottom"/>
          </w:tcPr>
          <w:p>
            <w:pPr>
              <w:spacing w:after="0"/>
              <w:rPr>
                <w:sz w:val="19"/>
                <w:szCs w:val="19"/>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(1,678)</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marketable securities</w:t>
            </w:r>
          </w:p>
        </w:tc>
        <w:tc>
          <w:tcPr>
            <w:tcW w:w="8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2,042</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413</w:t>
            </w:r>
          </w:p>
        </w:tc>
      </w:tr>
      <w:tr>
        <w:trPr>
          <w:trHeight w:val="24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840" w:type="dxa"/>
            <w:vAlign w:val="bottom"/>
          </w:tcPr>
          <w:p>
            <w:pPr>
              <w:spacing w:after="0"/>
              <w:rPr>
                <w:sz w:val="21"/>
                <w:szCs w:val="21"/>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(310)</w:t>
            </w:r>
          </w:p>
        </w:tc>
      </w:tr>
      <w:tr>
        <w:trPr>
          <w:trHeight w:val="223"/>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4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equity-based compensation programs</w:t>
            </w:r>
          </w:p>
        </w:tc>
        <w:tc>
          <w:tcPr>
            <w:tcW w:w="840" w:type="dxa"/>
            <w:vAlign w:val="bottom"/>
          </w:tcPr>
          <w:p>
            <w:pPr>
              <w:spacing w:after="0"/>
              <w:rPr>
                <w:sz w:val="19"/>
                <w:szCs w:val="19"/>
                <w:color w:val="auto"/>
              </w:rPr>
            </w:pPr>
          </w:p>
        </w:tc>
        <w:tc>
          <w:tcPr>
            <w:tcW w:w="8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19"/>
                <w:szCs w:val="19"/>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r>
      <w:tr>
        <w:trPr>
          <w:trHeight w:val="243"/>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8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(370)</w:t>
            </w:r>
          </w:p>
        </w:tc>
        <w:tc>
          <w:tcPr>
            <w:tcW w:w="2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(90)</w:t>
            </w: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4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Borders>
              <w:bottom w:val="single" w:sz="8" w:color="CCEEFF"/>
            </w:tcBorders>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Borders>
              <w:bottom w:val="single" w:sz="8" w:color="CCEEFF"/>
            </w:tcBorders>
          </w:tcPr>
          <w:p>
            <w:pPr>
              <w:spacing w:after="0"/>
              <w:rPr>
                <w:sz w:val="19"/>
                <w:szCs w:val="19"/>
                <w:color w:val="auto"/>
              </w:rPr>
            </w:pPr>
          </w:p>
        </w:tc>
      </w:tr>
      <w:tr>
        <w:trPr>
          <w:trHeight w:val="223"/>
        </w:trPr>
        <w:tc>
          <w:tcPr>
            <w:tcW w:w="800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p>
      <w:pPr>
        <w:spacing w:after="0" w:line="3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Cash and cash equivalents at the beginning of the period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2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351</w:t>
            </w:r>
          </w:p>
        </w:tc>
        <w:tc>
          <w:tcPr>
            <w:tcW w:w="4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38"/>
        </w:trPr>
        <w:tc>
          <w:tcPr>
            <w:tcW w:w="50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1,071</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3,803</w:t>
            </w:r>
          </w:p>
        </w:tc>
        <w:tc>
          <w:tcPr>
            <w:tcW w:w="60" w:type="dxa"/>
            <w:vAlign w:val="bottom"/>
          </w:tcPr>
          <w:p>
            <w:pPr>
              <w:spacing w:after="0"/>
              <w:rPr>
                <w:sz w:val="20"/>
                <w:szCs w:val="20"/>
                <w:color w:val="auto"/>
              </w:rPr>
            </w:pPr>
          </w:p>
        </w:tc>
      </w:tr>
      <w:tr>
        <w:trPr>
          <w:trHeight w:val="223"/>
        </w:trPr>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4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60" w:type="dxa"/>
            <w:vAlign w:val="bottom"/>
          </w:tcPr>
          <w:p>
            <w:pPr>
              <w:spacing w:after="0"/>
              <w:rPr>
                <w:sz w:val="19"/>
                <w:szCs w:val="19"/>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-334010</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76" w:lineRule="exact"/>
        <w:rPr>
          <w:sz w:val="20"/>
          <w:szCs w:val="20"/>
          <w:color w:val="auto"/>
        </w:rPr>
      </w:pPr>
    </w:p>
    <w:p>
      <w:pPr>
        <w:jc w:val="center"/>
        <w:ind w:right="4740"/>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6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-3016885</wp:posOffset>
            </wp:positionH>
            <wp:positionV relativeFrom="paragraph">
              <wp:posOffset>81915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080" w:space="660"/>
            <w:col w:w="650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per share amounts)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supplemental cash flow activities: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8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84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180" w:type="dxa"/>
            <w:vAlign w:val="bottom"/>
            <w:tcBorders>
              <w:bottom w:val="single" w:sz="8" w:color="CCEEFF"/>
            </w:tcBorders>
          </w:tcPr>
          <w:p>
            <w:pPr>
              <w:spacing w:after="0"/>
              <w:rPr>
                <w:sz w:val="19"/>
                <w:szCs w:val="19"/>
                <w:color w:val="auto"/>
              </w:rPr>
            </w:pPr>
          </w:p>
        </w:tc>
        <w:tc>
          <w:tcPr>
            <w:tcW w:w="32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3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52"/>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3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CLEARONE,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UNAUIDTED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Description: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ClearOne, Inc., together with its subsidiaries (collectively, “ClearOne” or the “Company”), is a global market leader enabling conferencing, collaboration, and AV streaming solutions for voice and visual communications. The performance and simplicity of our advanced, comprehensive solutions offer unprecedented levels of functionality, reliability and scalability.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fiscal year for ClearOne is the twelve months ending on December 31. The condensed consolidated financial statements include the accounts of ClearOne and its subsidiaries. All significant inter-company accounts and transactions have been eliminated.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March 31, 2022 and December 31, 2021, the results of operations for the three months ended March 31, 2022 and 2021, and the cash flows for the three months ended March 31, 2022 and 2021. The results of operations for the three months ended March 31, 2022 and 2021 are not necessarily indicative of the results for a full-year period. These interim unaudited condensed consolidated financial statements should be read in conjunction with the financial statements included in our Annual Report on Form 10-K for the year ended December 31, 2021 filed with the SEC.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accounting policies were described in Note 1 to the audited consolidated financial statements included in the Company’s annual report on Form 10-K for the year ended December 31, 2021. There have been no changes to these policies during the March 31, 2022 that are of significance or potential significance to the Company.</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The Company has determined that recently issued accounting standards will not have a material impact on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position, results of operations or cash flows.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our cash and cash equivalents were approximately $1,422 compared to $1,071 as of December 31, 2021. Our working capital was $19,339 as of March 31, 2022. Net cash used in operating activities was $1,043 for the three months ended March 31, 2022, an increase 1,030 from $13 of cash used in activities in the three months ended March 31, 2022.</w:t>
      </w:r>
    </w:p>
    <w:p>
      <w:pPr>
        <w:spacing w:after="0" w:line="135" w:lineRule="exact"/>
        <w:rPr>
          <w:sz w:val="20"/>
          <w:szCs w:val="20"/>
          <w:color w:val="auto"/>
        </w:rPr>
      </w:pPr>
    </w:p>
    <w:p>
      <w:pPr>
        <w:ind w:right="680"/>
        <w:spacing w:after="0" w:line="312" w:lineRule="auto"/>
        <w:rPr>
          <w:sz w:val="20"/>
          <w:szCs w:val="20"/>
          <w:color w:val="auto"/>
        </w:rPr>
      </w:pPr>
      <w:r>
        <w:rPr>
          <w:rFonts w:ascii="Times New Roman" w:cs="Times New Roman" w:eastAsia="Times New Roman" w:hAnsi="Times New Roman"/>
          <w:sz w:val="17"/>
          <w:szCs w:val="17"/>
          <w:color w:val="auto"/>
        </w:rPr>
        <w:t>The Company is currently pursuing all available legal remedies to defend its strategic patents from infringement. The Company has already spent approximately $28,345 from 2016 through March 31, 2022 towards this litigation and may be required to spend more to continue its legal defense.</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been actively engaged in preserving cash by suspending our dividend program and allowing our share repurchase program to expire in 2018 and implementing company-wide cost reduction measures. The company has also raised additional capital in 2019 by issuing senior convertible notes, in 2020 by borrowing through the CARES Act Paycheck Protection Program and issuing common stock and warrants and in 2021 by issuing short-term notes and issuing common stock and warrants. In January 2022, the Company issued $2,000 in common stock as consideration for the cancellation and termination of the short-term notes. In addition, we have been generating additional cash as our inventory levels are brought down to historical levels.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will provide the liquidity needed to meet our operating needs through at least May 19, 2023. We also believe that its strong portfolio of intellectual property and its solid brand equity in the market will enable it to raise additional capital if and when needed to meet our short and long-term financing needs; however, there can be no assurance that, if needed, we will be successful in obtaining the necessary funds through equity or debt financing. If the Company needs additional capital and is unable to secure financing, it may be required to further reduce expenses, delay product development and enhancement, or revise its strategy regarding ongoing litigation.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 Revenue Information</w:t>
            </w: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primary product groups:</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Audio conferencing</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3,176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Microphones</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2,928</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products</w:t>
            </w: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1,441</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1,853</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7,545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into major regions:</w:t>
            </w:r>
          </w:p>
        </w:tc>
        <w:tc>
          <w:tcPr>
            <w:tcW w:w="1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0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3,776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Asia Pacific (includes Middle East, India and Australia)</w:t>
            </w: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2,074</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 and Africa</w:t>
            </w:r>
          </w:p>
        </w:tc>
        <w:tc>
          <w:tcPr>
            <w:tcW w:w="10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1,288</w:t>
            </w:r>
          </w:p>
        </w:tc>
        <w:tc>
          <w:tcPr>
            <w:tcW w:w="0" w:type="dxa"/>
            <w:vAlign w:val="bottom"/>
          </w:tcPr>
          <w:p>
            <w:pPr>
              <w:spacing w:after="0"/>
              <w:rPr>
                <w:sz w:val="1"/>
                <w:szCs w:val="1"/>
                <w:color w:val="auto"/>
              </w:rPr>
            </w:pPr>
          </w:p>
        </w:tc>
      </w:tr>
      <w:tr>
        <w:trPr>
          <w:trHeight w:val="223"/>
        </w:trPr>
        <w:tc>
          <w:tcPr>
            <w:tcW w:w="7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3"/>
              </w:rPr>
              <w:t>7,545</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3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Loss per common share is computed based on the weighted-average number of common shares outstanding and, when appropriate, dilutive potential common stock outstanding during the period. Stock options, warrants and convertible portion of senior convertible notes are considered to be potential common stock. The computation of diluted earnings (loss) per share does not assume exercise or conversion of securities that would have an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(loss) per common share is the amount of net earnings (loss) for the period available to each weighted-average share of common stock outstanding during the reporting period. Diluted earnings (loss) per common share is the amount of earnings (loss) for the period available to each weighted-average share of common stock outstanding during the reporting period and to each share of potential common stock outstanding during the period, unless inclusion of potential common stock would have an anti-dilutive effect.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(loss) per common share:</w:t>
            </w: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8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r>
      <w:tr>
        <w:trPr>
          <w:trHeight w:val="229"/>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8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23,897,305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r>
      <w:tr>
        <w:trPr>
          <w:trHeight w:val="243"/>
        </w:trPr>
        <w:tc>
          <w:tcPr>
            <w:tcW w:w="84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Dilutive common stock equivalents using treasury stock method</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40" w:type="dxa"/>
            <w:vAlign w:val="bottom"/>
          </w:tcPr>
          <w:p>
            <w:pPr>
              <w:spacing w:after="0"/>
              <w:rPr>
                <w:sz w:val="24"/>
                <w:szCs w:val="2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23,897,305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18,775,773</w:t>
            </w:r>
          </w:p>
        </w:tc>
      </w:tr>
      <w:tr>
        <w:trPr>
          <w:trHeight w:val="197"/>
        </w:trPr>
        <w:tc>
          <w:tcPr>
            <w:tcW w:w="84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29"/>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Basic loss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loss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(0.08)</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(0.09)</w:t>
            </w:r>
          </w:p>
        </w:tc>
      </w:tr>
      <w:tr>
        <w:trPr>
          <w:trHeight w:val="230"/>
        </w:trPr>
        <w:tc>
          <w:tcPr>
            <w:tcW w:w="8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options, warrants and convertible portion of senior convertible notes outstanding</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7,062,673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3,636,117</w:t>
            </w: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Anti-dilutive options, warrants and convertible portion of senior convertible notes not included in the computation</w:t>
            </w: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7,062,673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3,636,117</w:t>
            </w:r>
          </w:p>
        </w:tc>
      </w:tr>
      <w:tr>
        <w:trPr>
          <w:trHeight w:val="454"/>
        </w:trPr>
        <w:tc>
          <w:tcPr>
            <w:tcW w:w="84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84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classified its marketable securities as available-for-sale securities. These securities are carried at estimated fair value with unrealized holding gains and losses included in accumulated other comprehensive loss in stockholders’ equity until realized. Gains and losses on marketable security transactions are reported on the specific-identification method. Dividend and interest income are recognized when earned.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holding gains, gross unrealized holding losses, and fair value for available-for-sale securities by major security type and class of securities as of March 31, 2022 and December 31, 2021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40" w:type="dxa"/>
            <w:vAlign w:val="bottom"/>
          </w:tcPr>
          <w:p>
            <w:pPr>
              <w:spacing w:after="0"/>
              <w:rPr>
                <w:sz w:val="20"/>
                <w:szCs w:val="20"/>
                <w:color w:val="auto"/>
              </w:rPr>
            </w:pPr>
          </w:p>
        </w:tc>
        <w:tc>
          <w:tcPr>
            <w:tcW w:w="12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holding gains</w:t>
            </w:r>
          </w:p>
        </w:tc>
        <w:tc>
          <w:tcPr>
            <w:tcW w:w="100" w:type="dxa"/>
            <w:vAlign w:val="bottom"/>
          </w:tcPr>
          <w:p>
            <w:pPr>
              <w:spacing w:after="0"/>
              <w:rPr>
                <w:sz w:val="20"/>
                <w:szCs w:val="20"/>
                <w:color w:val="auto"/>
              </w:rPr>
            </w:pPr>
          </w:p>
        </w:tc>
        <w:tc>
          <w:tcPr>
            <w:tcW w:w="134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0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left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CCEEFF"/>
              <w:bottom w:val="single" w:sz="8" w:color="CCEEFF"/>
              <w:right w:val="single" w:sz="8" w:color="CCEEFF"/>
            </w:tcBorders>
            <w:shd w:val="clear" w:color="auto" w:fill="CCEEFF"/>
          </w:tcPr>
          <w:p>
            <w:pPr>
              <w:spacing w:after="0"/>
              <w:rPr>
                <w:sz w:val="19"/>
                <w:szCs w:val="19"/>
                <w:color w:val="auto"/>
              </w:rPr>
            </w:pPr>
          </w:p>
        </w:tc>
        <w:tc>
          <w:tcPr>
            <w:tcW w:w="200" w:type="dxa"/>
            <w:vAlign w:val="bottom"/>
            <w:tcBorders>
              <w:top w:val="single" w:sz="8" w:color="auto"/>
              <w:left w:val="single" w:sz="8" w:color="CCEEFF"/>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1,440</w:t>
            </w:r>
          </w:p>
        </w:tc>
        <w:tc>
          <w:tcPr>
            <w:tcW w:w="0" w:type="dxa"/>
            <w:vAlign w:val="bottom"/>
          </w:tcPr>
          <w:p>
            <w:pPr>
              <w:spacing w:after="0"/>
              <w:rPr>
                <w:sz w:val="1"/>
                <w:szCs w:val="1"/>
                <w:color w:val="auto"/>
              </w:rPr>
            </w:pPr>
          </w:p>
        </w:tc>
      </w:tr>
      <w:tr>
        <w:trPr>
          <w:trHeight w:val="24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0"/>
        </w:trPr>
        <w:tc>
          <w:tcPr>
            <w:tcW w:w="4120" w:type="dxa"/>
            <w:vAlign w:val="bottom"/>
            <w:shd w:val="clear" w:color="auto" w:fill="CCEEFF"/>
          </w:tcPr>
          <w:p>
            <w:pPr>
              <w:spacing w:after="0" w:line="20" w:lineRule="exact"/>
              <w:rPr>
                <w:sz w:val="1"/>
                <w:szCs w:val="1"/>
                <w:color w:val="auto"/>
              </w:rPr>
            </w:pPr>
          </w:p>
        </w:tc>
        <w:tc>
          <w:tcPr>
            <w:tcW w:w="18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w:t>
            </w:r>
          </w:p>
        </w:tc>
        <w:tc>
          <w:tcPr>
            <w:tcW w:w="2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right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lef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600" w:type="dxa"/>
            <w:vAlign w:val="bottom"/>
            <w:gridSpan w:val="8"/>
          </w:tcPr>
          <w:p>
            <w:pPr>
              <w:ind w:left="60"/>
              <w:spacing w:after="0"/>
              <w:rPr>
                <w:sz w:val="20"/>
                <w:szCs w:val="20"/>
                <w:color w:val="auto"/>
              </w:rPr>
            </w:pPr>
            <w:r>
              <w:rPr>
                <w:rFonts w:ascii="Times New Roman" w:cs="Times New Roman" w:eastAsia="Times New Roman" w:hAnsi="Times New Roman"/>
                <w:sz w:val="18"/>
                <w:szCs w:val="18"/>
                <w:color w:val="auto"/>
              </w:rPr>
              <w:t>Maturities of marketable securities classified as available-for-sale securities were as follows as of March 31, 2022: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7"/>
              </w:rPr>
              <w:t>Amortized 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1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tcBorders>
              <w:left w:val="single" w:sz="8" w:color="CCEEFF"/>
            </w:tcBorders>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w:t>
            </w:r>
          </w:p>
        </w:tc>
        <w:tc>
          <w:tcPr>
            <w:tcW w:w="1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left w:val="single" w:sz="8" w:color="CCEEFF"/>
            </w:tcBorders>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1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965</w:t>
            </w: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940</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1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in an unrealized loss position as of March 31, 2022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 The available-for-sale marketable securities with continuous gross unrealized loss position for less than 12 months and 12 months or greater and their related fair values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80" w:right="460" w:hanging="161"/>
        <w:spacing w:after="0" w:line="272" w:lineRule="auto"/>
        <w:rPr>
          <w:sz w:val="20"/>
          <w:szCs w:val="20"/>
          <w:color w:val="auto"/>
        </w:rPr>
      </w:pPr>
      <w:r>
        <w:rPr>
          <w:rFonts w:ascii="Times New Roman" w:cs="Times New Roman" w:eastAsia="Times New Roman" w:hAnsi="Times New Roman"/>
          <w:sz w:val="18"/>
          <w:szCs w:val="18"/>
          <w:b w:val="1"/>
          <w:bCs w:val="1"/>
          <w:color w:val="auto"/>
        </w:rPr>
        <w:t xml:space="preserve">As of March 31, 2022 </w:t>
      </w:r>
      <w:r>
        <w:rPr>
          <w:rFonts w:ascii="Times New Roman" w:cs="Times New Roman" w:eastAsia="Times New Roman" w:hAnsi="Times New Roman"/>
          <w:sz w:val="18"/>
          <w:szCs w:val="18"/>
          <w:color w:val="auto"/>
        </w:rPr>
        <w:t>Corporate bonds and notes Municipal bonds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25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240" w:type="dxa"/>
            <w:vAlign w:val="bottom"/>
          </w:tcPr>
          <w:p>
            <w:pPr>
              <w:spacing w:after="0"/>
              <w:rPr>
                <w:sz w:val="20"/>
                <w:szCs w:val="20"/>
                <w:color w:val="auto"/>
              </w:rPr>
            </w:pPr>
          </w:p>
        </w:tc>
        <w:tc>
          <w:tcPr>
            <w:tcW w:w="2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More than 12 months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7"/>
        </w:trPr>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4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lef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 w:type="dxa"/>
            <w:vAlign w:val="bottom"/>
          </w:tcPr>
          <w:p>
            <w:pPr>
              <w:spacing w:after="0"/>
              <w:rPr>
                <w:sz w:val="16"/>
                <w:szCs w:val="16"/>
                <w:color w:val="auto"/>
              </w:rPr>
            </w:pPr>
          </w:p>
        </w:tc>
      </w:tr>
      <w:tr>
        <w:trPr>
          <w:trHeight w:val="216"/>
        </w:trPr>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12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Estimated fair</w:t>
            </w:r>
          </w:p>
        </w:tc>
        <w:tc>
          <w:tcPr>
            <w:tcW w:w="9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w:t>
            </w:r>
          </w:p>
        </w:tc>
        <w:tc>
          <w:tcPr>
            <w:tcW w:w="14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r>
      <w:tr>
        <w:trPr>
          <w:trHeight w:val="238"/>
        </w:trPr>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6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20" w:type="dxa"/>
            <w:vAlign w:val="bottom"/>
          </w:tcPr>
          <w:p>
            <w:pPr>
              <w:spacing w:after="0"/>
              <w:rPr>
                <w:sz w:val="20"/>
                <w:szCs w:val="20"/>
                <w:color w:val="auto"/>
              </w:rPr>
            </w:pPr>
          </w:p>
        </w:tc>
        <w:tc>
          <w:tcPr>
            <w:tcW w:w="1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holding losses</w:t>
            </w:r>
          </w:p>
        </w:tc>
        <w:tc>
          <w:tcPr>
            <w:tcW w:w="20" w:type="dxa"/>
            <w:vAlign w:val="bottom"/>
          </w:tcPr>
          <w:p>
            <w:pPr>
              <w:spacing w:after="0"/>
              <w:rPr>
                <w:sz w:val="20"/>
                <w:szCs w:val="20"/>
                <w:color w:val="auto"/>
              </w:rPr>
            </w:pPr>
          </w:p>
        </w:tc>
      </w:tr>
      <w:tr>
        <w:trPr>
          <w:trHeight w:val="42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398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220" w:type="dxa"/>
            <w:vAlign w:val="bottom"/>
          </w:tcPr>
          <w:p>
            <w:pPr>
              <w:spacing w:after="0"/>
              <w:rPr>
                <w:sz w:val="20"/>
                <w:szCs w:val="20"/>
                <w:color w:val="auto"/>
              </w:rPr>
            </w:pPr>
          </w:p>
        </w:tc>
        <w:tc>
          <w:tcPr>
            <w:tcW w:w="11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tcPr>
          <w:p>
            <w:pPr>
              <w:spacing w:after="0"/>
              <w:rPr>
                <w:sz w:val="20"/>
                <w:szCs w:val="20"/>
                <w:color w:val="auto"/>
              </w:rPr>
            </w:pPr>
          </w:p>
        </w:tc>
        <w:tc>
          <w:tcPr>
            <w:tcW w:w="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1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546</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9"/>
                <w:szCs w:val="19"/>
                <w:color w:val="auto"/>
              </w:rPr>
            </w:pPr>
          </w:p>
        </w:tc>
        <w:tc>
          <w:tcPr>
            <w:tcW w:w="9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840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-607695</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-2077085</wp:posOffset>
            </wp:positionH>
            <wp:positionV relativeFrom="paragraph">
              <wp:posOffset>-325120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60" w:space="720"/>
            <w:col w:w="7960"/>
          </w:cols>
          <w:pgMar w:left="320" w:top="12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securities in an unrealized loss position as of March 31, 2022 were not deemed impaired at acquisition and subsequent declines in fair value are not deemed attributed to declines in credit quality. Management believes that it is more likely than not that the securities will receive a full recovery of par value, although there can be no assurance that such recovery will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as of March 31, 2022 and December 31, 2021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28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lives (years)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 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Patents and technological know-how</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20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33,812</w:t>
            </w:r>
          </w:p>
        </w:tc>
        <w:tc>
          <w:tcPr>
            <w:tcW w:w="5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33,553</w:t>
            </w:r>
          </w:p>
        </w:tc>
      </w:tr>
      <w:tr>
        <w:trPr>
          <w:trHeight w:val="230"/>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Proprietary software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 15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2,981</w:t>
            </w:r>
          </w:p>
        </w:tc>
        <w:tc>
          <w:tcPr>
            <w:tcW w:w="5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2,981</w:t>
            </w:r>
          </w:p>
        </w:tc>
      </w:tr>
      <w:tr>
        <w:trPr>
          <w:trHeight w:val="243"/>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 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5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323</w:t>
            </w:r>
          </w:p>
        </w:tc>
      </w:tr>
      <w:tr>
        <w:trPr>
          <w:trHeight w:val="210"/>
        </w:trPr>
        <w:tc>
          <w:tcPr>
            <w:tcW w:w="5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2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(12,996)</w:t>
            </w: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(12,326)</w:t>
            </w:r>
          </w:p>
        </w:tc>
      </w:tr>
      <w:tr>
        <w:trPr>
          <w:trHeight w:val="223"/>
        </w:trPr>
        <w:tc>
          <w:tcPr>
            <w:tcW w:w="5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amortization of intangible assets for the three months ended March 31, 2022 and 2021 was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40" w:type="dxa"/>
            <w:vAlign w:val="bottom"/>
            <w:gridSpan w:val="8"/>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3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is as follows:</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1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2,700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2,436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2,375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12,759</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86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52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5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Inventories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of reserves, as of March 31, 2022 and December 31, 2021 consisted of the following:</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3,821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4,085</w:t>
            </w:r>
          </w:p>
        </w:tc>
      </w:tr>
      <w:tr>
        <w:trPr>
          <w:trHeight w:val="243"/>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6,044</w:t>
            </w:r>
          </w:p>
        </w:tc>
        <w:tc>
          <w:tcPr>
            <w:tcW w:w="5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5,948</w:t>
            </w:r>
          </w:p>
        </w:tc>
      </w:tr>
      <w:tr>
        <w:trPr>
          <w:trHeight w:val="263"/>
        </w:trPr>
        <w:tc>
          <w:tcPr>
            <w:tcW w:w="754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3"/>
              </w:rPr>
              <w:t>9,865</w:t>
            </w:r>
          </w:p>
        </w:tc>
        <w:tc>
          <w:tcPr>
            <w:tcW w:w="2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00" w:type="dxa"/>
            <w:vAlign w:val="bottom"/>
            <w:tcBorders>
              <w:bottom w:val="single" w:sz="8" w:color="CCEEFF"/>
            </w:tcBorders>
          </w:tcPr>
          <w:p>
            <w:pPr>
              <w:spacing w:after="0"/>
              <w:rPr>
                <w:sz w:val="22"/>
                <w:szCs w:val="22"/>
                <w:color w:val="auto"/>
              </w:rPr>
            </w:pPr>
          </w:p>
        </w:tc>
      </w:tr>
      <w:tr>
        <w:trPr>
          <w:trHeight w:val="196"/>
        </w:trPr>
        <w:tc>
          <w:tcPr>
            <w:tcW w:w="7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Raw materials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1,576</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43"/>
        </w:trPr>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1,634</w:t>
            </w:r>
          </w:p>
        </w:tc>
        <w:tc>
          <w:tcPr>
            <w:tcW w:w="58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w:t>
            </w:r>
          </w:p>
        </w:tc>
      </w:tr>
      <w:tr>
        <w:trPr>
          <w:trHeight w:val="223"/>
        </w:trPr>
        <w:tc>
          <w:tcPr>
            <w:tcW w:w="75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93"/>
              </w:rPr>
              <w:t>3,210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Long-term inventory represents inventory held in excess of our current (next 12 months) requirements based on our recent sales and forecasted level of sales. We expect to sell the above inventory, net of reserves, at or above the stated cost and believe that no loss will be incurred on its sale, although there can be no assurance of the timing or amount of any sales.</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 for the three months ended March 31, 2022 and 2021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incurred on valuation of inventory at lower of cost or market value and write-off of obsolete inventory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is recognized on a straight-line basis over the period of the lease taking into account future rent escalation and holiday periods.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for the three months ended March 31, 2022 and 2021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40" w:type="dxa"/>
            <w:vAlign w:val="bottom"/>
          </w:tcPr>
          <w:p>
            <w:pPr>
              <w:spacing w:after="0"/>
              <w:rPr>
                <w:sz w:val="20"/>
                <w:szCs w:val="20"/>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4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50"/>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bl>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1,350 square-foot facility in Gainesville, Florida under the terms of an operating lease expiring in February 2023. The Gainesville facility is used primarily to support the Company's research and development activities.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occupies a 21,443 square-foot facility in Salt Lake City, Utah under the terms of an operating lease expiring in March 2024, with an option to extend for additional five years. The facility supports the Company's principal administrative, sales, marketing, customer support, and research and product development activities.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950 square-foot facility in Austin, Texas under the terms of an operating lease expiring in October 2022. This facility supports the Company's sales, marketing, customer support, and research and development activities.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occupies a 6,175 square-foot facility in Chennai, India under the terms of an operating lease expiring in August 2023. This facility supports the Company's administrative, marketing, customer support, and research and product development activities.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occupies a 40,000 square-foot warehouse in Salt Lake City, Utah under the terms of an operating lease expiring in April 2025, which serves as the Company's primary inventory fulfillment and repair center.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5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09"/>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5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Operating leases</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84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 included in accrued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623</w:t>
            </w:r>
          </w:p>
        </w:tc>
        <w:tc>
          <w:tcPr>
            <w:tcW w:w="0" w:type="dxa"/>
            <w:vAlign w:val="bottom"/>
          </w:tcPr>
          <w:p>
            <w:pPr>
              <w:spacing w:after="0"/>
              <w:rPr>
                <w:sz w:val="1"/>
                <w:szCs w:val="1"/>
                <w:color w:val="auto"/>
              </w:rPr>
            </w:pPr>
          </w:p>
        </w:tc>
      </w:tr>
      <w:tr>
        <w:trPr>
          <w:trHeight w:val="24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60" w:type="dxa"/>
            <w:vAlign w:val="bottom"/>
          </w:tcPr>
          <w:p>
            <w:pPr>
              <w:spacing w:after="0"/>
              <w:rPr>
                <w:sz w:val="21"/>
                <w:szCs w:val="21"/>
                <w:color w:val="auto"/>
              </w:rPr>
            </w:pP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871</w:t>
            </w:r>
          </w:p>
        </w:tc>
        <w:tc>
          <w:tcPr>
            <w:tcW w:w="160" w:type="dxa"/>
            <w:vAlign w:val="bottom"/>
          </w:tcPr>
          <w:p>
            <w:pPr>
              <w:spacing w:after="0"/>
              <w:rPr>
                <w:sz w:val="21"/>
                <w:szCs w:val="21"/>
                <w:color w:val="auto"/>
              </w:rPr>
            </w:pPr>
          </w:p>
        </w:tc>
        <w:tc>
          <w:tcPr>
            <w:tcW w:w="1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for operating leases (in years)</w:t>
            </w:r>
          </w:p>
        </w:tc>
        <w:tc>
          <w:tcPr>
            <w:tcW w:w="160" w:type="dxa"/>
            <w:vAlign w:val="bottom"/>
            <w:shd w:val="clear" w:color="auto" w:fill="CCEEFF"/>
          </w:tcPr>
          <w:p>
            <w:pPr>
              <w:spacing w:after="0"/>
              <w:rPr>
                <w:sz w:val="22"/>
                <w:szCs w:val="22"/>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2.42</w:t>
            </w:r>
          </w:p>
        </w:tc>
        <w:tc>
          <w:tcPr>
            <w:tcW w:w="160" w:type="dxa"/>
            <w:vAlign w:val="bottom"/>
            <w:shd w:val="clear" w:color="auto" w:fill="CCEEFF"/>
          </w:tcPr>
          <w:p>
            <w:pPr>
              <w:spacing w:after="0"/>
              <w:rPr>
                <w:sz w:val="22"/>
                <w:szCs w:val="22"/>
                <w:color w:val="auto"/>
              </w:rPr>
            </w:pPr>
          </w:p>
        </w:tc>
        <w:tc>
          <w:tcPr>
            <w:tcW w:w="16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7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 for operating leases</w:t>
            </w:r>
          </w:p>
        </w:tc>
        <w:tc>
          <w:tcPr>
            <w:tcW w:w="160" w:type="dxa"/>
            <w:vAlign w:val="bottom"/>
          </w:tcPr>
          <w:p>
            <w:pPr>
              <w:spacing w:after="0"/>
              <w:rPr>
                <w:sz w:val="23"/>
                <w:szCs w:val="23"/>
                <w:color w:val="auto"/>
              </w:rPr>
            </w:pPr>
          </w:p>
        </w:tc>
        <w:tc>
          <w:tcPr>
            <w:tcW w:w="18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Pr>
          <w:p>
            <w:pPr>
              <w:spacing w:after="0"/>
              <w:rPr>
                <w:sz w:val="23"/>
                <w:szCs w:val="23"/>
                <w:color w:val="auto"/>
              </w:rPr>
            </w:pPr>
          </w:p>
        </w:tc>
        <w:tc>
          <w:tcPr>
            <w:tcW w:w="16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5.87%</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represents maturities of operating lease liabilities as of March 31, 2022:</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(Remainder)</w:t>
            </w:r>
          </w:p>
        </w:tc>
        <w:tc>
          <w:tcPr>
            <w:tcW w:w="160" w:type="dxa"/>
            <w:vAlign w:val="bottom"/>
          </w:tcPr>
          <w:p>
            <w:pPr>
              <w:spacing w:after="0"/>
              <w:rPr>
                <w:sz w:val="22"/>
                <w:szCs w:val="22"/>
                <w:color w:val="auto"/>
              </w:rPr>
            </w:pPr>
          </w:p>
        </w:tc>
        <w:tc>
          <w:tcPr>
            <w:tcW w:w="15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343</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bottom w:val="single" w:sz="8" w:color="CCEEFF"/>
            </w:tcBorders>
          </w:tcPr>
          <w:p>
            <w:pPr>
              <w:spacing w:after="0"/>
              <w:rPr>
                <w:sz w:val="22"/>
                <w:szCs w:val="22"/>
                <w:color w:val="auto"/>
              </w:rPr>
            </w:pPr>
          </w:p>
        </w:tc>
        <w:tc>
          <w:tcPr>
            <w:tcW w:w="10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11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lease payments</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1,603</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44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74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Shareholders' Equity</w:t>
            </w:r>
          </w:p>
        </w:tc>
        <w:tc>
          <w:tcPr>
            <w:tcW w:w="1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320" w:type="dxa"/>
            <w:vAlign w:val="bottom"/>
            <w:tcBorders>
              <w:bottom w:val="single" w:sz="8" w:color="auto"/>
            </w:tcBorders>
            <w:gridSpan w:val="5"/>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and additional paid-in capital</w:t>
            </w:r>
          </w:p>
        </w:tc>
        <w:tc>
          <w:tcPr>
            <w:tcW w:w="14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60" w:type="dxa"/>
            <w:vAlign w:val="bottom"/>
            <w:gridSpan w:val="2"/>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72,818</w:t>
            </w:r>
          </w:p>
        </w:tc>
        <w:tc>
          <w:tcPr>
            <w:tcW w:w="1320" w:type="dxa"/>
            <w:vAlign w:val="bottom"/>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63,378</w:t>
            </w:r>
          </w:p>
        </w:tc>
        <w:tc>
          <w:tcPr>
            <w:tcW w:w="0" w:type="dxa"/>
            <w:vAlign w:val="bottom"/>
          </w:tcPr>
          <w:p>
            <w:pPr>
              <w:spacing w:after="0"/>
              <w:rPr>
                <w:sz w:val="1"/>
                <w:szCs w:val="1"/>
                <w:color w:val="auto"/>
              </w:rPr>
            </w:pPr>
          </w:p>
        </w:tc>
      </w:tr>
      <w:tr>
        <w:trPr>
          <w:trHeight w:val="229"/>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and warrants, net</w:t>
            </w:r>
          </w:p>
        </w:tc>
        <w:tc>
          <w:tcPr>
            <w:tcW w:w="14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1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74,855</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63,413</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60" w:type="dxa"/>
            <w:vAlign w:val="bottom"/>
            <w:gridSpan w:val="2"/>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Unrealized loss on available-for-sale securities, net of tax</w:t>
            </w: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8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4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 deficit</w:t>
            </w: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60" w:type="dxa"/>
            <w:vAlign w:val="bottom"/>
            <w:gridSpan w:val="2"/>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(21,072)</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(13,378)</w:t>
            </w:r>
          </w:p>
        </w:tc>
        <w:tc>
          <w:tcPr>
            <w:tcW w:w="0" w:type="dxa"/>
            <w:vAlign w:val="bottom"/>
          </w:tcPr>
          <w:p>
            <w:pPr>
              <w:spacing w:after="0"/>
              <w:rPr>
                <w:sz w:val="1"/>
                <w:szCs w:val="1"/>
                <w:color w:val="auto"/>
              </w:rPr>
            </w:pPr>
          </w:p>
        </w:tc>
      </w:tr>
      <w:tr>
        <w:trPr>
          <w:trHeight w:val="243"/>
        </w:trPr>
        <w:tc>
          <w:tcPr>
            <w:tcW w:w="5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4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13"/>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(23,039)</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(15,033)</w:t>
            </w:r>
          </w:p>
        </w:tc>
        <w:tc>
          <w:tcPr>
            <w:tcW w:w="1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60" w:type="dxa"/>
            <w:vAlign w:val="bottom"/>
            <w:gridSpan w:val="2"/>
            <w:shd w:val="clear" w:color="auto" w:fill="CCEEFF"/>
          </w:tcPr>
          <w:p>
            <w:pPr>
              <w:jc w:val="right"/>
              <w:ind w:right="1013"/>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51,536</w:t>
            </w:r>
          </w:p>
        </w:tc>
        <w:tc>
          <w:tcPr>
            <w:tcW w:w="1320" w:type="dxa"/>
            <w:vAlign w:val="bottom"/>
            <w:gridSpan w:val="2"/>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48,180</w:t>
            </w:r>
          </w:p>
        </w:tc>
        <w:tc>
          <w:tcPr>
            <w:tcW w:w="0" w:type="dxa"/>
            <w:vAlign w:val="bottom"/>
          </w:tcPr>
          <w:p>
            <w:pPr>
              <w:spacing w:after="0"/>
              <w:rPr>
                <w:sz w:val="1"/>
                <w:szCs w:val="1"/>
                <w:color w:val="auto"/>
              </w:rPr>
            </w:pP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8"/>
              </w:rPr>
              <w:t>Issue of Common Stock and Warrants</w:t>
            </w:r>
          </w:p>
        </w:tc>
        <w:tc>
          <w:tcPr>
            <w:tcW w:w="266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40" w:type="dxa"/>
            <w:vAlign w:val="bottom"/>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26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140" w:right="120"/>
        <w:spacing w:after="0" w:line="256" w:lineRule="auto"/>
        <w:rPr>
          <w:sz w:val="20"/>
          <w:szCs w:val="20"/>
          <w:color w:val="auto"/>
        </w:rPr>
      </w:pPr>
      <w:r>
        <w:rPr>
          <w:rFonts w:ascii="Times New Roman" w:cs="Times New Roman" w:eastAsia="Times New Roman" w:hAnsi="Times New Roman"/>
          <w:sz w:val="18"/>
          <w:szCs w:val="18"/>
          <w:color w:val="auto"/>
        </w:rPr>
        <w:t>On September 13, 2020, the Company entered into a securities purchase agreement with certain purchasers named therein, pursuant to which the Company issued and sold in a registered direct offering 2,116,050 shares of the Company's common stock, par value $0.001 per share at an offering price of $2.4925 per share. The Company received gross proceeds of approximately $5,275 and net proceeds $4,764 after deducting placement agent fees and related offering expenses. In a concurring private placement, the Company also issued to the same purchasers warrants exercisable for an aggregate of 1,058,025 shares of common stock at an exercise price of $2.43 per share. Each warrant became immediately exercisable and will expire five years from the issuance date.</w:t>
      </w:r>
    </w:p>
    <w:p>
      <w:pPr>
        <w:spacing w:after="0" w:line="187" w:lineRule="exact"/>
        <w:rPr>
          <w:sz w:val="20"/>
          <w:szCs w:val="20"/>
          <w:color w:val="auto"/>
        </w:rPr>
      </w:pPr>
    </w:p>
    <w:p>
      <w:pPr>
        <w:jc w:val="both"/>
        <w:ind w:left="140" w:right="140"/>
        <w:spacing w:after="0" w:line="258" w:lineRule="auto"/>
        <w:rPr>
          <w:sz w:val="20"/>
          <w:szCs w:val="20"/>
          <w:color w:val="auto"/>
        </w:rPr>
      </w:pPr>
      <w:r>
        <w:rPr>
          <w:rFonts w:ascii="Times New Roman" w:cs="Times New Roman" w:eastAsia="Times New Roman" w:hAnsi="Times New Roman"/>
          <w:sz w:val="18"/>
          <w:szCs w:val="18"/>
          <w:color w:val="auto"/>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$2.76 per share. Each warrant became immediately exercisable and will expire on March 15, 2027.</w:t>
      </w:r>
    </w:p>
    <w:p>
      <w:pPr>
        <w:spacing w:after="0" w:line="183" w:lineRule="exact"/>
        <w:rPr>
          <w:sz w:val="20"/>
          <w:szCs w:val="20"/>
          <w:color w:val="auto"/>
        </w:rPr>
      </w:pPr>
    </w:p>
    <w:p>
      <w:pPr>
        <w:jc w:val="both"/>
        <w:ind w:left="140" w:right="140"/>
        <w:spacing w:after="0" w:line="258" w:lineRule="auto"/>
        <w:rPr>
          <w:sz w:val="20"/>
          <w:szCs w:val="20"/>
          <w:color w:val="auto"/>
        </w:rPr>
      </w:pPr>
      <w:r>
        <w:rPr>
          <w:rFonts w:ascii="Times New Roman" w:cs="Times New Roman" w:eastAsia="Times New Roman" w:hAnsi="Times New Roman"/>
          <w:sz w:val="18"/>
          <w:szCs w:val="18"/>
          <w:color w:val="auto"/>
        </w:rPr>
        <w:t>On January 4, 2022, the Company entered into a Securities Purchase Agreement with Edward D. Bagley, an affiliate of the Company,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Mr.Bagley’s outstanding bridge loan to the Company in the principal amount of $2,000,000 originally issued on July 2, 2021 and amended and restated on September 11, 2021. Mr. Bagley is an affiliate of the Company and the Company’s single largest stockholder.</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 Dollars in thousands, except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9.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Convertible Notes and Warrants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was the beneficial owner of approximately 46.6% of the Company’s issued and outstanding shares of Common Stock at the time that the Notes and Warrants were issued to him.</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Notes will mature on December 17, 2023 (the “Maturity Date”) and will accrue interest at a variable rate adjusted on a quarterly basis and equal to two and one-half percent (2.5%) over the greater of (x) five and one-quarter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spacing w:after="0" w:line="9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proceeds after original issue discount and issuance costs of $346 were approximately $2,654. The Company expects to use the proceeds from the sale of the Notes and Warrants for general corporate purposes and working capital.</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accounting for the issuance of the Notes, the Company separated Notes and Warrants into liability and equity components. The carrying amount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being an equity component, was first calculated using Black-Scholes method with the following assumptions: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price volatility</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3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original issue discount and issuance costs are netted against the liability. The following table represents the carrying value of Notes and Warrants: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280" w:type="dxa"/>
            <w:vAlign w:val="bottom"/>
            <w:tcBorders>
              <w:top w:val="single" w:sz="8" w:color="0000EE"/>
            </w:tcBorders>
          </w:tcPr>
          <w:p>
            <w:pPr>
              <w:spacing w:after="0"/>
              <w:rPr>
                <w:sz w:val="24"/>
                <w:szCs w:val="24"/>
                <w:color w:val="auto"/>
              </w:rPr>
            </w:pP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UNAUDITED NOTES TO CONSOLIDATED FINANCIAL STATEMENTS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2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21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60" w:type="dxa"/>
            <w:vAlign w:val="bottom"/>
          </w:tcPr>
          <w:p>
            <w:pPr>
              <w:spacing w:after="0"/>
              <w:rPr>
                <w:sz w:val="24"/>
                <w:szCs w:val="24"/>
                <w:color w:val="auto"/>
              </w:rPr>
            </w:pPr>
          </w:p>
        </w:tc>
        <w:tc>
          <w:tcPr>
            <w:tcW w:w="1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0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Liability component:</w:t>
            </w:r>
          </w:p>
        </w:tc>
        <w:tc>
          <w:tcPr>
            <w:tcW w:w="14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2,460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debt discount and issuance costs, net of amortization</w:t>
            </w:r>
          </w:p>
        </w:tc>
        <w:tc>
          <w:tcPr>
            <w:tcW w:w="148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2,010</w:t>
            </w:r>
          </w:p>
        </w:tc>
        <w:tc>
          <w:tcPr>
            <w:tcW w:w="2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080" w:type="dxa"/>
            <w:vAlign w:val="bottom"/>
            <w:gridSpan w:val="2"/>
            <w:shd w:val="clear" w:color="auto" w:fill="CFF0FC"/>
          </w:tcPr>
          <w:p>
            <w:pPr>
              <w:spacing w:after="0" w:line="223" w:lineRule="exact"/>
              <w:rPr>
                <w:sz w:val="20"/>
                <w:szCs w:val="20"/>
                <w:color w:val="auto"/>
              </w:rPr>
            </w:pPr>
            <w:r>
              <w:rPr>
                <w:rFonts w:ascii="Times New Roman" w:cs="Times New Roman" w:eastAsia="Times New Roman" w:hAnsi="Times New Roman"/>
                <w:sz w:val="16"/>
                <w:szCs w:val="16"/>
                <w:color w:val="auto"/>
              </w:rPr>
              <w:t>Equity component</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6"/>
                <w:szCs w:val="16"/>
                <w:color w:val="auto"/>
              </w:rPr>
              <w:t>:</w:t>
            </w:r>
          </w:p>
        </w:tc>
        <w:tc>
          <w:tcPr>
            <w:tcW w:w="14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Conversion feature</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8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Net carrying amount</w:t>
            </w: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FF0FC"/>
          </w:tcPr>
          <w:p>
            <w:pPr>
              <w:spacing w:after="0"/>
              <w:rPr>
                <w:sz w:val="18"/>
                <w:szCs w:val="18"/>
                <w:color w:val="auto"/>
              </w:rPr>
            </w:pPr>
          </w:p>
        </w:tc>
        <w:tc>
          <w:tcPr>
            <w:tcW w:w="58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liability component included under short-term debt</w:t>
            </w: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 of liability component included under long-term debt</w:t>
            </w:r>
          </w:p>
        </w:tc>
        <w:tc>
          <w:tcPr>
            <w:tcW w:w="14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1,695</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480" w:type="dxa"/>
            <w:vAlign w:val="bottom"/>
            <w:tcBorders>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2,460</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12529"/>
              </w:rPr>
              <w:t>(1) Recorded on the condensed consolidated balance sheets as additional paid-in capital.</w:t>
            </w: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discount and issuance costs are amortized over the life of the note to interest expense using the effective interest method. During the three months ended March 31, 2022 and March 31, 2021 amortization of debt discount and issuance costs was $49 and $49, respectively. The following table represents schedule of maturities of principal amount contained in the Notes as of March 31,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Amount Maturing</w:t>
            </w: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 (Remainder)</w:t>
            </w:r>
          </w:p>
        </w:tc>
        <w:tc>
          <w:tcPr>
            <w:tcW w:w="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Borders>
              <w:top w:val="single" w:sz="8" w:color="CFF0FC"/>
            </w:tcBorders>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19"/>
                <w:szCs w:val="19"/>
                <w:color w:val="auto"/>
              </w:rPr>
            </w:pPr>
          </w:p>
        </w:tc>
      </w:tr>
      <w:tr>
        <w:trPr>
          <w:trHeight w:val="229"/>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amount</w:t>
            </w:r>
          </w:p>
        </w:tc>
        <w:tc>
          <w:tcPr>
            <w:tcW w:w="9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Bridge Loan</w:t>
      </w:r>
    </w:p>
    <w:p>
      <w:pPr>
        <w:spacing w:after="0" w:line="175" w:lineRule="exact"/>
        <w:rPr>
          <w:sz w:val="20"/>
          <w:szCs w:val="20"/>
          <w:color w:val="auto"/>
        </w:rPr>
      </w:pPr>
    </w:p>
    <w:p>
      <w:pPr>
        <w:jc w:val="both"/>
        <w:ind w:firstLine="324"/>
        <w:spacing w:after="0" w:line="274" w:lineRule="auto"/>
        <w:rPr>
          <w:sz w:val="20"/>
          <w:szCs w:val="20"/>
          <w:color w:val="auto"/>
        </w:rPr>
      </w:pPr>
      <w:r>
        <w:rPr>
          <w:rFonts w:ascii="Times New Roman" w:cs="Times New Roman" w:eastAsia="Times New Roman" w:hAnsi="Times New Roman"/>
          <w:sz w:val="18"/>
          <w:szCs w:val="18"/>
          <w:color w:val="auto"/>
        </w:rPr>
        <w:t>On July 2, 2021, the Company obtained a bridge loan in the principal amount of $2,000 from Edward D. Bagley (the “Bridge Loan”), an affiliate of the Company. The Bridge Loan is evidenced by a promissory note dated July 2, 2021 (the “Note”) issued by the Company to Mr. Bagley. The Note bears interests at a rate of 8.0% per annum, matures on the earlier to occur of (i) October 1, 2021 or (ii) within two business days of the Company’s receipt of its expected U.S. federal income tax refund, and contains other customary covenants and events of default. On September 11, 2021, the Company amended and restated the terms of the Bridge Loan to extend the latest maturity date from October 1, 2021 to January 3, 2022. All other terms and conditions of the Bridge Loan remained the same. This Bridge Loan of $2,000 is included under short-term debt. On January 4, 2022, the Company entered into a Securities Purchase Agreement with Edward D. Bagley, pursuant to which the Company agreed to issue and sell, in a private placement 1,538,461 shares (the “Shares”) of the Company’s common stock, par value $0.001 per share, at a purchase price of $1.30 per share of Common Stock. The consideration for the Shares is the cancellation and termination of Mr. Bagley’s outstanding bridge loan to the Company in the principal amount of $2,000,000 originally issued on July 2, 2021 and amended and restated on September 11, 2021. Mr. Bagley is an affiliate of the Company and the Company’s single largest stockholder.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17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has a two-year term and bears interest at a rate of 1.0% per annum. Monthly principal and interest payments are deferred for approximately sixteen months after the date of disbursement.</w:t>
      </w:r>
    </w:p>
    <w:p>
      <w:pPr>
        <w:spacing w:after="0" w:line="111"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8"/>
          <w:szCs w:val="18"/>
          <w:color w:val="auto"/>
        </w:rPr>
        <w:t>The PPP Loan may be prepaid at any time prior to maturity with no prepayment penalties. The PPP Loan contains events of default and other provisions customary for a loan of this type. The Paycheck Protection Program provides that the Loans may be partially or wholly forgiven if the funds are used for certain qualifying expenses as described in the CARES Act. The Company intends to use the entire PPP Loan amount for qualifying expenses and to apply for forgiveness of the PPP Loan in accordance with the terms of the CARES Act.</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amounts)</w:t>
      </w:r>
    </w:p>
    <w:p>
      <w:pPr>
        <w:spacing w:after="0" w:line="261" w:lineRule="exact"/>
        <w:rPr>
          <w:sz w:val="20"/>
          <w:szCs w:val="20"/>
          <w:color w:val="auto"/>
        </w:rPr>
      </w:pPr>
    </w:p>
    <w:p>
      <w:pPr>
        <w:jc w:val="both"/>
        <w:ind w:right="20" w:firstLine="324"/>
        <w:spacing w:after="0" w:line="297" w:lineRule="auto"/>
        <w:rPr>
          <w:sz w:val="20"/>
          <w:szCs w:val="20"/>
          <w:color w:val="auto"/>
        </w:rPr>
      </w:pPr>
      <w:r>
        <w:rPr>
          <w:rFonts w:ascii="Times New Roman" w:cs="Times New Roman" w:eastAsia="Times New Roman" w:hAnsi="Times New Roman"/>
          <w:sz w:val="18"/>
          <w:szCs w:val="18"/>
          <w:color w:val="auto"/>
        </w:rPr>
        <w:t>As further discussed in Note 11 - Subsequent Events, the PPP Loan and the interest associated with the loan have been forgiven by United States Small Business Administration ("SBA") effective April 29, 2022.</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0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the PPP Loan included under short-term debt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Long-term portion of the PPP Loan included under long-term debt</w:t>
            </w:r>
          </w:p>
        </w:tc>
        <w:tc>
          <w:tcPr>
            <w:tcW w:w="180" w:type="dxa"/>
            <w:vAlign w:val="bottom"/>
          </w:tcPr>
          <w:p>
            <w:pPr>
              <w:spacing w:after="0"/>
              <w:rPr>
                <w:sz w:val="19"/>
                <w:szCs w:val="19"/>
                <w:color w:val="auto"/>
              </w:rPr>
            </w:pPr>
          </w:p>
        </w:tc>
        <w:tc>
          <w:tcPr>
            <w:tcW w:w="1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component 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tcBorders>
              <w:top w:val="single" w:sz="8" w:color="CCEEFF"/>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5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Quoted prices in active markets for identical assets and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Unobservable inputs.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are valued using observable inputs. The following table sets forth the fair value of the financial instruments re-measured by the Company as of March 31, 2022 and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9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9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8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499</w:t>
            </w: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9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441</w:t>
            </w:r>
          </w:p>
        </w:tc>
        <w:tc>
          <w:tcPr>
            <w:tcW w:w="8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441</w:t>
            </w:r>
          </w:p>
        </w:tc>
      </w:tr>
      <w:tr>
        <w:trPr>
          <w:trHeight w:val="263"/>
        </w:trPr>
        <w:tc>
          <w:tcPr>
            <w:tcW w:w="39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CCEEFF"/>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2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60" w:type="dxa"/>
            <w:vAlign w:val="bottom"/>
            <w:tcBorders>
              <w:bottom w:val="single" w:sz="8" w:color="CCEEFF"/>
            </w:tcBorders>
            <w:gridSpan w:val="2"/>
          </w:tcPr>
          <w:p>
            <w:pPr>
              <w:spacing w:after="0"/>
              <w:rPr>
                <w:sz w:val="22"/>
                <w:szCs w:val="22"/>
                <w:color w:val="auto"/>
              </w:rPr>
            </w:pPr>
          </w:p>
        </w:tc>
      </w:tr>
      <w:tr>
        <w:trPr>
          <w:trHeight w:val="197"/>
        </w:trPr>
        <w:tc>
          <w:tcPr>
            <w:tcW w:w="3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December 31, 2021</w:t>
            </w:r>
          </w:p>
        </w:tc>
        <w:tc>
          <w:tcPr>
            <w:tcW w:w="1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 and notes</w:t>
            </w:r>
          </w:p>
        </w:tc>
        <w:tc>
          <w:tcPr>
            <w:tcW w:w="290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880" w:type="dxa"/>
            <w:vAlign w:val="bottom"/>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1,440</w:t>
            </w:r>
          </w:p>
        </w:tc>
        <w:tc>
          <w:tcPr>
            <w:tcW w:w="40" w:type="dxa"/>
            <w:vAlign w:val="bottom"/>
          </w:tcPr>
          <w:p>
            <w:pPr>
              <w:spacing w:after="0"/>
              <w:rPr>
                <w:sz w:val="19"/>
                <w:szCs w:val="19"/>
                <w:color w:val="auto"/>
              </w:rPr>
            </w:pPr>
          </w:p>
        </w:tc>
      </w:tr>
      <w:tr>
        <w:trPr>
          <w:trHeight w:val="24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bonds</w:t>
            </w:r>
          </w:p>
        </w:tc>
        <w:tc>
          <w:tcPr>
            <w:tcW w:w="19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1,570</w:t>
            </w:r>
          </w:p>
        </w:tc>
        <w:tc>
          <w:tcPr>
            <w:tcW w:w="880" w:type="dxa"/>
            <w:vAlign w:val="bottom"/>
            <w:shd w:val="clear" w:color="auto" w:fill="CCEEFF"/>
          </w:tcPr>
          <w:p>
            <w:pPr>
              <w:spacing w:after="0"/>
              <w:rPr>
                <w:sz w:val="21"/>
                <w:szCs w:val="21"/>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c>
          <w:tcPr>
            <w:tcW w:w="40" w:type="dxa"/>
            <w:vAlign w:val="bottom"/>
            <w:shd w:val="clear" w:color="auto" w:fill="CCEEFF"/>
          </w:tcPr>
          <w:p>
            <w:pPr>
              <w:spacing w:after="0"/>
              <w:rPr>
                <w:sz w:val="21"/>
                <w:szCs w:val="21"/>
                <w:color w:val="auto"/>
              </w:rPr>
            </w:pPr>
          </w:p>
        </w:tc>
      </w:tr>
      <w:tr>
        <w:trPr>
          <w:trHeight w:val="223"/>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15"/>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year loss did not result in income tax benefit due to recording a full valuation allowance against expected benefits. The valuation allowance was recorded as we concluded that it was more likely than not that our deferred tax assets were not realizable primarily due to the Company's recent pre-tax losses. Provision for income taxes for the three months ended March 31, 2022 represents income tax expense recorded for jurisdictions outside the United States.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approximately $895 of uncertain tax positions as of March 31, 2022. Due to the inherent uncertainty of the underlying tax positions, it is not possible to forecast the payment of this liability for any particular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Paycheck Protection Program Loan ("PPP Loan") under the CARES Act was forgiven by Small Business Administration effective April 29, 2022. With this forgiveness, the Company is not required to repay the principal amount of $1,499 and the interest of $31. The Company expects to receive $953 back that it had already paid towards principal and interest payments toward the PPP Loan. The Company will treat the forgiveness as extinguishment of debt in the quarter ended June 30, 2022 and will report the entire principal amount forgiven of $1,499 along with interest already accounted for of $27 as a gain on extinguishment of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w:t>
      </w:r>
    </w:p>
    <w:p>
      <w:pPr>
        <w:spacing w:after="0" w:line="27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have manufacturing agreements with electronics manufacturing service (“EMS”) providers related to the outsourced manufacturing of our products. Certain manufacturing agreements establish annual volume commitments. We are also obligated to repurchase the Company-forecasted but unused materials. The Company has non-cancellable, non-returnable, and long-lead time commitments with its EMS providers and certain suppliers for inventory components that will be used in production. The Company’s purchase commitments under such agreements are approximately $4,850 as of March 31, 2022.</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 xml:space="preserve">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product recalls and product liability claims; infringement of our technology or assertion that our technology infringes the rights of other parties; termination of supplier relationships, or failure of suppliers to perform; inability to successfully manage growth; delays in obtaining regulatory approvals or the failure to maintain such approvals; concentration of our revenue among a few customers, products or procedures; development of new products and technology that could render our products obsolete; market acceptance of new products; introduction of products in a timely fashion; price and product competition, availability of labor and materials, cost increases, and fluctuations in and obsolescence of inventory; volatility of the market price of our common stock; foreign currency fluctuations; changes in key personnel; work stoppage or transportation risks; integration of business acquisitions; and other factors referred to in our reports filed with the SEC, including our Annual Report on Form 10-K for the year ended December 31, 2021. All subsequent forward-looking statements attributable to us or persons acting on our behalf are expressly qualified in their entirety by these cautionary statements. Additional factors that may have a direct bearing on our operating results are discussed in </w:t>
      </w:r>
      <w:r>
        <w:rPr>
          <w:rFonts w:ascii="Times New Roman" w:cs="Times New Roman" w:eastAsia="Times New Roman" w:hAnsi="Times New Roman"/>
          <w:sz w:val="18"/>
          <w:szCs w:val="18"/>
          <w:i w:val="1"/>
          <w:iCs w:val="1"/>
          <w:color w:val="auto"/>
        </w:rPr>
        <w:t>Part II, Item 1A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Factors” in this Quarterly Report on Form 10-Q and in </w:t>
      </w:r>
      <w:r>
        <w:rPr>
          <w:rFonts w:ascii="Times New Roman" w:cs="Times New Roman" w:eastAsia="Times New Roman" w:hAnsi="Times New Roman"/>
          <w:sz w:val="18"/>
          <w:szCs w:val="18"/>
          <w:color w:val="auto"/>
        </w:rPr>
        <w:t>Part I, Item 1A “Risk Factors” in our Annual Report on Form 10-K for the year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31, 2021.</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ClearOne is a global Company that designs, develops and sells conferencing, collaboration, and AV networking solutions for voice and visual communications. The performance and simplicity of our advanced, comprehensive solutions offer a high level of functionality, reliability and scalability. 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68"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In early January 2022, we introduced DIALOG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January, at the Las Vegas Customer Electronics Show, CES 2022, the world’s most influential annual tech event, our home office Aura™ Xceed™ BMA was singled out for exceptional innovation with a CES Picks Award, presented by Residential Systems magazine.</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early February 2022, our Versa Lite CT, a USB audio-enabled Beamforming Ceiling Tile Microphone that brings cost-effective and superb professional conferencing audio to small- and mid-sized spaces received Google Meet certification. Google Meet ranks among the top 5 for growth in the cloud meetings and team collaboration market according to Frost &amp; Sullivan.</w:t>
      </w:r>
    </w:p>
    <w:p>
      <w:pPr>
        <w:spacing w:after="0" w:line="1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early February 2022, we were awarded a new patent for a beamforming microphone array system with distributed processing. This patent claims a ceiling tile microphone array that can be physically separated from the processors running the beamforming algorithm. It enables a single computing engine to run multiple beamforming algorithms for multiple microphone arrays, which can lower the overall system cost compared to an integrated design that is limited to a single computing engine with a single microphone array. Later in the same month another ClearOne patent was granted which is related to beamforming microphone arrays with acoustic echo cancellation. The patent, titled “Band-Limited Beamforming Microphone Array with Acoustic Echo Cancellation," describes, among other things, a microphone array with one set of microphones used for beamforming, and one or more additional microphones that are not used for beamforming, but instead are used to enhance the audio performance of the microphone array.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During the first three months of 2022, we continued our efforts, primarily through litigation, to stop the infringement of our strategic patents. We believe the decision by the U.S. District Court in August 2019 granting our request for a preliminary injunction to prevent Shure from manufacturing, marketing, and selling its competing ceiling microphone array in an infringing configuration is an incredibly valuable ruling for ClearOne and its business. The decision validates the strength and importance of ClearOne’s intellectual property rights, recognizes ClearOne’s innovations in this space, and stops Shure from further infringing the Graham patent (U.S. Patent No. 9,813,806) pending a full trial. Although there can be no assurance of any outcome of a full trial, we believe this ruling will help pave the way for ClearOne’s recovery from the immense harm inflicted by Shure's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w:t>
      </w:r>
    </w:p>
    <w:p>
      <w:pPr>
        <w:spacing w:after="0" w:line="18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September 1, 2020, the U.S. District Court of Northern Illinois held that "Shure has violated the preliminary injunction order and is found in contempt because it designed the MXA910-A in such a way that allows it to be easily installed flush in most ceiling grids”. The Court also opined that, “[t]he record is clear and convincing that Shure - through its design choices - violated the injunction order by allowing integrators to install the MXA910-A in the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enjoined flush configuration.” Ultimately, the Court ordered that “Shure shall no longer manufacture, market, or sell the MXA910...”. ClearOne’s motion to accuse Shure’s MXA910-US of infringing the ’806 Patent is still pending with the Court.</w:t>
      </w:r>
    </w:p>
    <w:p>
      <w:pPr>
        <w:spacing w:after="0" w:line="19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Shure expanded the original litigation in the U.S. District Court of North Illinois to the District of Delaware, where Shure filed claims for patent infringement, including of a design patent, and trade libel against ClearOne. In May 2020 and January 2021, we secured an important pair of wins, defeating Shure’s requests first for a temporary restraining order and then a preliminary injunction, allowing us to continue selling our ground-breaking</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audio-conferencing products. In addition to defeating Shure’s requests for preliminary injunctive relief, we also obtained a stay of the proceedings with respect to the only other asserted patent. During November 2021, after a three-day jury trial, ClearOne obtained a complete victory against claims asserted by Shure, when the jury returned a verdict of no infringement and invalidated the asserted patent.</w:t>
      </w:r>
    </w:p>
    <w:p>
      <w:pPr>
        <w:spacing w:after="0" w:line="19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February 2022 we claimed another legal victory over Shure. The Patent Trial and Appeal Board (PTAB) of the United States Patent and Trademark Office (PTO) issued a final written decision confirming the patentability of all claims of ClearOne’s important U.S. Patent No. 10,728,653 (the “’653 Patent”). The ’653 Patent covers aspects of ClearOne’s revolutionary innovations in BMAs and relates to “a ceiling tile combined with</w:t>
      </w:r>
    </w:p>
    <w:p>
      <w:pPr>
        <w:spacing w:after="0" w:line="1" w:lineRule="exact"/>
        <w:rPr>
          <w:sz w:val="20"/>
          <w:szCs w:val="20"/>
          <w:color w:val="auto"/>
        </w:rPr>
      </w:pPr>
    </w:p>
    <w:p>
      <w:pPr>
        <w:jc w:val="both"/>
        <w:ind w:firstLine="8"/>
        <w:spacing w:after="0" w:line="231" w:lineRule="auto"/>
        <w:tabs>
          <w:tab w:leader="none" w:pos="2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beamforming microphone array” that includes acoustic echo cancellation and “adaptive acoustic processing that automatically adjusts to a room configuration.” Shortly after the ’653 patent was issued in mid-2020, Shure initiated the case in yet another attempt to disrupt ClearOne’s patent rights, but the PTAB rejected each and every one of Shure’s seven challenges and is the latest in a long string of defeats for Shure. In 2019, the U.S. District Court for the Northern District of Illinois preliminarily enjoined Shure from infringing a different ClearOne patent, U.S. Patent No. 9,813,806, and then in 2020 held Shure in contempt of that injunction in case no. 17-cv-3078. In November 2021, a jury in a different court, the U.S. District Court for the District of Delaware, found a Shure design patent asserted against ClearOne to be invalid and not infringed.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continued our programs to cut costs and to speed up product development that we believe will enable us to get back to a growth path.</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Overall revenue increased by 7% in the first quarter of 2022 when compared to the first quarter of 2021, primarily due to a significant increase in revenues from microphones followed by an increase in revenues from audio conferencing products and partially offset by a decrease in revenues from video products. Despite the negative impact of COVID-19 and the infringement of our patents by Shure on all professional installed products, our new solutions incorporating Beamforming Microphone Array Ceiling Tile ("BMA-CT") continued to result in overall Beamforming Microphone Array ("BMA") revenue to be significantly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certain of our patents and violates the preliminary injunction. The patent infringement also has negatively impacted directly the revenue from ClearOne’s other products not related to the infringed patents. Our revenue performance in 2022-Q1 was also impacted negatively due to the raw material supply shortages that have affected the global manufacturing of high tech products as well as due to logistics bottlenecks. Despite the negative impact of COVID-19 and the infringement of our patents by Shure on all professional installed products, our new solutions incorporating Beamforming Microphone Array Ceiling Tile ("BMA-CT") continued to result in overall Beamforming Microphone Array ("BMA") revenue to be significantly higher than last year. However, revenue from BMA products as well as from our pro audio products are still far below the levels prior to infringement of our patents. Our revenue is negatively impacted due to on-going harm of infringement of ClearOne’s patents despite the preliminary injunction granted against Shure as we believe Shure continues to infringe certain of our patents and violates the preliminary injunction. The patent infringement also has negatively impacted directly the revenue from ClearOne’s other products not related to the infringed patents.</w:t>
      </w:r>
    </w:p>
    <w:p>
      <w:pPr>
        <w:spacing w:after="0" w:line="16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Our gross profit margin decreased to 37.3% during the first quarter of 2022 from 42.7% during the first quarter of 2021. Net loss increased from $1.7 million in the first quarter of 2021 to $2.0 million in the first quarter of 2022. The increase in net loss was mainly due to (a) decrease in absolute gross profit dollars as a result of reduced gross margin, and (b) increased amortization costs relating to our capitalized patent defense costs.</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4" w:lineRule="exact"/>
        <w:rPr>
          <w:sz w:val="20"/>
          <w:szCs w:val="20"/>
          <w:color w:val="auto"/>
        </w:rPr>
      </w:pPr>
    </w:p>
    <w:p>
      <w:pPr>
        <w:ind w:right="19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i w:val="1"/>
          <w:iCs w:val="1"/>
          <w:color w:val="auto"/>
        </w:rPr>
        <w:t>Industry conditions</w:t>
      </w:r>
    </w:p>
    <w:p>
      <w:pPr>
        <w:jc w:val="both"/>
        <w:spacing w:after="0"/>
        <w:rPr>
          <w:sz w:val="20"/>
          <w:szCs w:val="20"/>
          <w:color w:val="auto"/>
        </w:rPr>
      </w:pPr>
      <w:r>
        <w:rPr>
          <w:rFonts w:ascii="Times New Roman" w:cs="Times New Roman" w:eastAsia="Times New Roman" w:hAnsi="Times New Roman"/>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Economic conditions, challenges and risks</w:t>
      </w:r>
    </w:p>
    <w:p>
      <w:pPr>
        <w:spacing w:after="0" w:line="18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6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video products and beamforming microphone arrays, especially BMA-CT and the newly introduced BMA 360 are critical to our long term growth. We face intense competition in this market from well-established market leaders as well as emerging players rich with marketing funds. We expect our strategy of combining curated audio solutions with our high quality professional cameras, and our high-end audio conferencing technology will generate high growth in the near future.</w:t>
      </w:r>
    </w:p>
    <w:p>
      <w:pPr>
        <w:spacing w:after="0" w:line="17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derive a major portion of our revenue (approximately 51% for the year ended December 31, 2021)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December 2019, a novel strain of coronavirus (“COVID-19”) started spreading from China and was declared a pandemic. The COVID-19 pandemic caused severe global disruptions and had varying impact on our business. The installed audio conferencing market was negatively impacted due to lockdowns, postponement of projects and restrictions on installers to visit commercial sites. On the other hand, COVID-19 generated higher than normal demand for our video products and personal conferencing products due to the significant expansion of work-from-home market. The extent of COVID-19’s effect on our operational and financial performance keeps evolving and depends on multiple factors including the severity and infectiousness of current and future virus strains, effectiveness of vaccines especially on novel strains of COVID-19, government regulations, etc., all of which are uncertain and difficult to predict considering the rapidly evolving landscape. Supply chain disruptions resulting from COVID-19 have caused significant fluctuations in our costs of goods resulting in a reduction of our gross margins in 2021 and in the first quarter of 2022. We expect for these fluctuations to continue in 2022. If the pandemic continues to be a severe worldwide health crisis, the disease could have a material adverse effect on our business, results of operations, financial condition and cash flows and adversely impact the trading price of our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Product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product revenue decreased to $46 thousand on March 31, 2022 compared to $54 thousand on December 31,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detailed discussion of our results of operations follows below.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194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MANAGEMENT’S DISCUSSION AND ANALYSIS OF FINANCIAL CONDITION AND RESULTS OF OPERATIONS </w:t>
      </w:r>
      <w:r>
        <w:rPr>
          <w:rFonts w:ascii="Times New Roman" w:cs="Times New Roman" w:eastAsia="Times New Roman" w:hAnsi="Times New Roman"/>
          <w:sz w:val="18"/>
          <w:szCs w:val="18"/>
          <w:b w:val="1"/>
          <w:bCs w:val="1"/>
          <w:i w:val="1"/>
          <w:iCs w:val="1"/>
          <w:color w:val="auto"/>
        </w:rPr>
        <w:t>Results of Operations for the three months ended March 31, 2022</w:t>
      </w:r>
    </w:p>
    <w:p>
      <w:pPr>
        <w:spacing w:after="0" w:line="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following table sets forth certain items from our unaudited condensed consolidated statements of operations for the three months ended March 31, 2022 (“2022-Q1”) and 2021 ("2021-Q1"), respectively, together with the percentage of total revenue which each such item represents: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180" w:type="dxa"/>
            <w:vAlign w:val="bottom"/>
            <w:gridSpan w:val="7"/>
          </w:tcPr>
          <w:p>
            <w:pPr>
              <w:jc w:val="right"/>
              <w:ind w:right="12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0" w:type="dxa"/>
            <w:vAlign w:val="bottom"/>
          </w:tcPr>
          <w:p>
            <w:pPr>
              <w:spacing w:after="0"/>
              <w:rPr>
                <w:sz w:val="1"/>
                <w:szCs w:val="1"/>
                <w:color w:val="auto"/>
              </w:rPr>
            </w:pPr>
          </w:p>
        </w:tc>
      </w:tr>
      <w:tr>
        <w:trPr>
          <w:trHeight w:val="186"/>
        </w:trPr>
        <w:tc>
          <w:tcPr>
            <w:tcW w:w="4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(dollars in thousands)</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 Favorable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5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(Adverse) in %</w:t>
            </w:r>
          </w:p>
        </w:tc>
        <w:tc>
          <w:tcPr>
            <w:tcW w:w="0" w:type="dxa"/>
            <w:vAlign w:val="bottom"/>
          </w:tcPr>
          <w:p>
            <w:pPr>
              <w:spacing w:after="0"/>
              <w:rPr>
                <w:sz w:val="1"/>
                <w:szCs w:val="1"/>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7,038</w:t>
            </w:r>
          </w:p>
        </w:tc>
        <w:tc>
          <w:tcPr>
            <w:tcW w:w="1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4,035</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product development</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1,353</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1,274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1,680</w:t>
            </w: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w:t>
            </w:r>
          </w:p>
        </w:tc>
        <w:tc>
          <w:tcPr>
            <w:tcW w:w="1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60" w:type="dxa"/>
            <w:vAlign w:val="bottom"/>
            <w:vMerge w:val="continue"/>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 of other income</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6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revenue increased to $7.5 million in 2022-Q1 compared to $7.0 million in 2021-Q1 primarily due to a 23% increase in microphones and a 13% increase in audio conferencing products partially offset by a 22% decrease in video products. Microphones growth continued to be led by our new solutions incorporating BMA-CT and BMA 360 while our traditional ceiling mics also enjoyed a significant revenue increase. Audio Conferencing category as a whole increased mainly due to a strong revenue performance of our professional mixers and personal audio conferencing products. Video products suffered declines in 2022-Q1 compared to 2021-Q1 due to lack of demand for video products. During the first quarter of 2022, revenues from Americas increased by 6% primarily due to increased revenues from USA despite significant revenue decreases from Latin America and Canada, while revenues from Asia Pacific, including the Middle East, India and Australia decreased by 6% primarily due to overall decrease in revenues from all regions except India and China, and revenues from Europe and Africa increased by 33% primarily due to significant revenue increases from all parts of Europe except central Europe.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although there can be no assurance, that we can sustain our revenue growth and return to generating operating profits through our strategic initiatives namely product innovation, cost reduction and defense of our intellectual property.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 and Gross Profit</w:t>
      </w:r>
    </w:p>
    <w:p>
      <w:pPr>
        <w:spacing w:after="0" w:line="14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gross profit margin decreased from 42.7% during 2021-Q1 to 37.3% during 2022-Q1. The gross profit margin was negatively impacted due to increase in material costs due to continuing supply chain constraints, and increased freight and tariff costs, which were partially offset by the absence of inventory obsolescence costs in 2022-Q1.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profitability in the near-term continues to depend significantly on our revenues from professional installed audio-conferencing products. We hold long-term inventory and if we are unable to sell our long-term inventory, our profitability might be affected by inventory write-offs and price mark-downs. Our long-term inventory includes approximately $0.6 million of wireless microphone-related finished goods and assemblies, $0.3 million of Converge Pro and Beamforming microphone array products, $0.1 million of network media streaming products, $0.6 million of video products, and about $1.7 million of raw materials that will be used primarily for manufacturing professional audio conferencing products. Any business changes that are adverse to these product lines could potentially impact our ability to sell our long-term inventory in addition to our current inventory.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Operating expenses include sales and marketing (“S&amp;M”) expenses, research and product development (“R&amp;D”) expenses and general and administrative (“G&amp;A”) expenses. Total operating expenses were $4.7 million in 2022 Q1 compared to $4.5 million in 2021-Q1. The following contains a more detailed discussion of expenses related to sales and marketing, research and product development, general and administrative, and other items.</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Sales and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S&amp;M expenses include selling, customer service, and marketing expenses such as employee-related costs, allocations of overhead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expenses, trade shows, and other advertising and selling expenses.</w:t>
      </w:r>
    </w:p>
    <w:p>
      <w:pPr>
        <w:spacing w:after="0" w:line="1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S&amp;M expenses in 2022-Q1 remained almost unchanged at $1.6 million when compared to 2021-Q1. The decrease in employment expenses and consultant expenses due to a reduction in the headcount were offset by an increase in employee travel and benefits expenses and increase in advertising expenses.</w:t>
      </w:r>
    </w:p>
    <w:p>
      <w:pPr>
        <w:spacing w:after="0" w:line="13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R&amp;D expenses include research and development, product line management, engineering services, and test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 expenses, including employee-related costs, outside services, expensed materials, depreciation, and an allocation of overhead expenses.</w:t>
      </w:r>
    </w:p>
    <w:p>
      <w:pPr>
        <w:spacing w:after="0" w:line="13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R&amp;D expenses increased marginally to $1.4 million in 2022-Q1 compared to $1.3 million for 2021-Q1. The increase was primarily due to increases in R&amp;D project expenses, legal expenses, and employee benefits, which were partially offset by reduction in employment expenses due to reduction in the headcount.</w:t>
      </w:r>
    </w:p>
    <w:p>
      <w:pPr>
        <w:spacing w:after="0" w:line="1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and Administrative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G&amp;A expenses include employee-related costs, professional service fees, allocations of overhead expenses, litigation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corporate administrative costs, including costs related to finance and human resources teams.</w:t>
      </w:r>
    </w:p>
    <w:p>
      <w:pPr>
        <w:spacing w:after="0" w:line="15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G&amp;A expenses increased marginally from $1.7 million in 2021-Q1 to $1.8 million in 2022-Q1. The increase was primarily due to increased amortization costs relating to our capitalized patent defense costs, which were partially offset by a reduction in legal expenses and consulting expenses.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interest income and foreign currency changes. Other income remained immaterial during the first quarter of 2022 and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almost remained unchanged at $0.1 million in 2022-Q1 when compared to 2021-Q1.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quarters of 2022 and 2021, we did not recognize any benefit from the losses incurred due to setting up of a full valuation allowance.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 for income taxes recognized in the first quarter of 2022 relates to foreign jurisdictions.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1940"/>
        <w:spacing w:after="0" w:line="440"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LIQUIDITY AND CAPITAL RESOURCES</w:t>
      </w:r>
    </w:p>
    <w:p>
      <w:pPr>
        <w:spacing w:after="0" w:line="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2022, our cash and cash equivalents were approximately $1.4 million compared to $1.1 million as of December 31, 2021. Our working capital was $19.3 million and $18.0 million as of March 31, 2022 and December 31, 2021, respectively.</w:t>
      </w:r>
    </w:p>
    <w:p>
      <w:pPr>
        <w:spacing w:after="0" w:line="16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used in operating activities was approximately $1.0 million in 2022-Q1, an increase of cash used in operating activities of approximately $1.0 million compared to 2021-Q1. The increase in cash outflow was due to (a) a negative change in operating assets and liabilities of $0.5 million, (b) a decrease in non-cash charges by $0.2 million and (c) an increase in net loss by $0.3 million.</w:t>
      </w:r>
    </w:p>
    <w:p>
      <w:pPr>
        <w:spacing w:after="0" w:line="15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cash provided by investing activities was $1.8 million in 2022-Q1 compared to net cash used in investing activities of $1.7 million in 2021-Q1, a change in cash flow of $3.4 million. The change in cash flow was primarily due to (a) an increase in proceeds from sale of marketable securities net of any purchases from $0.1 million in 2021-Q1 to $2.0 million in 2022-Q1, and (b) a decrease in capitalized patent defense costs by $1.5 million.</w:t>
      </w:r>
    </w:p>
    <w:p>
      <w:pPr>
        <w:spacing w:after="0" w:line="15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in 2022-Q1 was $0.4 million consisting primarily of repayment of principal amounts due on senior convertible notes and Paycheck Protection Program Loans compared to cash used in financing activities of $86 thousand in 2021-Q1, which consisted primarily of repayment of principal amounts due on senior convertible notes.</w:t>
      </w:r>
    </w:p>
    <w:p>
      <w:pPr>
        <w:spacing w:after="0" w:line="1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Capitalization of patent defense costs</w:t>
      </w:r>
      <w:r>
        <w:rPr>
          <w:rFonts w:ascii="Times New Roman" w:cs="Times New Roman" w:eastAsia="Times New Roman" w:hAnsi="Times New Roman"/>
          <w:sz w:val="18"/>
          <w:szCs w:val="18"/>
          <w:color w:val="auto"/>
        </w:rPr>
        <w:t>. We capitalize external legal costs incurred in the defense of our patents when we believe that a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discernible increase in value will result from the defense and a successful outcome of the legal action is probable. When we capitalize patent defense costs we amortize the costs over the remaining estimated useful life of the patents, which is 15 to 17 years. During 2022-Q1 we spent $0.2 million on legal costs related to the defense of our patents and capitalized the entire amount.</w:t>
      </w:r>
    </w:p>
    <w:p>
      <w:pPr>
        <w:spacing w:after="0" w:line="17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are currently pursuing all available legal remedies to defend our strategic patents from infringement. We have already spent approximately $28.3 million from 2016 through March 31, 2022 towards this litigation and may be required to spend more to continue our legal defense. We believe the decision by the U.S. District Court in August 2019 granting our request for a preliminary injunction to prevent our competitor from manufacturing, marketing, and selling its competing ceiling microphone array in an infringing configuration is an incredibly valuable ruling for ClearOne and its business. We believe that the decision validates the strength and importance of ClearOne’s intellectual property rights, recognizes ClearOne’s innovations in this space, and stops our competitor from further infringing our Graham patent (U.S. Patent No. 9,813,806) pending a full trial. Although there can be no assurance of any outcome of a full trial, we believe this ruling will help pave way for ClearOne’s recovery from the immense harm inflicted by our competitor's infringement of our valuable patents. However, we are not getting the full benefits of the Court’s extraordinary remedy in the form of the preliminary injunction granted against Shure with respect to infringement of our ’806 Patent as we believe that Shure is still infringing ClearOne’s patent. During September 2020, the U.S District Court of Northern Illinois held Shure in contempt for marketing and selling their new design in violation of the preliminary injunction.</w:t>
      </w:r>
    </w:p>
    <w:p>
      <w:pPr>
        <w:spacing w:after="0" w:line="17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been actively engaged in preserving cash by suspending our dividend program and allowing our share repurchase program to expire in 2018 and implementing company-wide cost reduction measures. We have also raised additional capital of $9.9 million (net of issuance costs) in 2018 by issuing common stock, $2.7 million (net of issuances costs) in 2019 by issuing senior convertible notes, $1.5 million in April 2020 by borrowing through Paycheck Protection Program, $4.8 million (net of issuances costs) in September 2020 by issuing common stock and warrants, $2.0 million in July 2021 by issuing short-term debt which repaid through issue of common stock in January 2022, and $9.3 million (net of issuances costs) in September 2021 by issuing common stock and warrants.</w:t>
      </w:r>
    </w:p>
    <w:p>
      <w:pPr>
        <w:spacing w:after="0" w:line="16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believe that our core strategies of product innovation and prudent cost management will bring us back to profitability in the future. We believe, although there can be no assurance, that all of these measures and effective management of working capital will provide the liquidity needed to meet our operating needs through at least through May 19, 2023. We also believe that our strong portfolio of intellectual property and our solid brand equity in the market will enable us to raise additional capital if and when needed to meet our short and long-term financing needs; however, there can be no assurance that, if needed, we will be successful in obtaining the necessary funds through equity or debt financing. If we need additional capital and are unable to secure financing, we may be required to further reduce expenses, delay product development and enhancement, or revise our strategy regarding ongoing litigation.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we had open purchase orders of approximately $4.8 million mostly for purchase of inventory.</w:t>
      </w:r>
    </w:p>
    <w:p>
      <w:pPr>
        <w:spacing w:after="0" w:line="1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March 31, 2022, we had inventory totaling $13.1 million, of which non-current inventory accounted for $3.2 million. This compares to total inventories of $13.6 million and non-current inventory of $3.6 million as of December 31, 2021.</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4" w:lineRule="exact"/>
        <w:rPr>
          <w:sz w:val="20"/>
          <w:szCs w:val="20"/>
          <w:color w:val="auto"/>
        </w:rPr>
      </w:pPr>
    </w:p>
    <w:p>
      <w:pPr>
        <w:ind w:right="1940"/>
        <w:spacing w:after="0" w:line="432" w:lineRule="auto"/>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 Contractual Obligations and Commitments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following table summarizes our contractual obligations as of March 31, 2022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5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Payment Due by Period</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Less Than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2"/>
                <w:szCs w:val="22"/>
                <w:b w:val="1"/>
                <w:bCs w:val="1"/>
                <w:color w:val="auto"/>
                <w:w w:val="95"/>
              </w:rPr>
              <w:t>1-3 Years</w:t>
            </w:r>
          </w:p>
        </w:tc>
        <w:tc>
          <w:tcPr>
            <w:tcW w:w="180" w:type="dxa"/>
            <w:vAlign w:val="bottom"/>
          </w:tcPr>
          <w:p>
            <w:pPr>
              <w:spacing w:after="0"/>
              <w:rPr>
                <w:sz w:val="17"/>
                <w:szCs w:val="17"/>
                <w:color w:val="auto"/>
              </w:rPr>
            </w:pPr>
          </w:p>
        </w:tc>
        <w:tc>
          <w:tcPr>
            <w:tcW w:w="14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b w:val="1"/>
                <w:bCs w:val="1"/>
                <w:color w:val="auto"/>
              </w:rPr>
              <w:t>3-5 Years</w:t>
            </w:r>
          </w:p>
        </w:tc>
        <w:tc>
          <w:tcPr>
            <w:tcW w:w="100" w:type="dxa"/>
            <w:vAlign w:val="bottom"/>
          </w:tcPr>
          <w:p>
            <w:pPr>
              <w:spacing w:after="0"/>
              <w:rPr>
                <w:sz w:val="17"/>
                <w:szCs w:val="17"/>
                <w:color w:val="auto"/>
              </w:rPr>
            </w:pPr>
          </w:p>
        </w:tc>
        <w:tc>
          <w:tcPr>
            <w:tcW w:w="1260" w:type="dxa"/>
            <w:vAlign w:val="bottom"/>
          </w:tcPr>
          <w:p>
            <w:pPr>
              <w:spacing w:after="0" w:line="202" w:lineRule="exact"/>
              <w:rPr>
                <w:sz w:val="20"/>
                <w:szCs w:val="20"/>
                <w:color w:val="auto"/>
              </w:rPr>
            </w:pPr>
            <w:r>
              <w:rPr>
                <w:rFonts w:ascii="Times New Roman" w:cs="Times New Roman" w:eastAsia="Times New Roman" w:hAnsi="Times New Roman"/>
                <w:sz w:val="22"/>
                <w:szCs w:val="22"/>
                <w:b w:val="1"/>
                <w:bCs w:val="1"/>
                <w:color w:val="auto"/>
              </w:rPr>
              <w:t>More than 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22"/>
                <w:szCs w:val="22"/>
                <w:b w:val="1"/>
                <w:bCs w:val="1"/>
                <w:color w:val="auto"/>
              </w:rPr>
              <w:t>1 Year</w:t>
            </w:r>
          </w:p>
        </w:tc>
        <w:tc>
          <w:tcPr>
            <w:tcW w:w="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convertible notes</w:t>
            </w:r>
          </w:p>
        </w:tc>
        <w:tc>
          <w:tcPr>
            <w:tcW w:w="980" w:type="dxa"/>
            <w:vAlign w:val="bottom"/>
            <w:tcBorders>
              <w:top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Payroll Protection Plan loan</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Purchase obligations</w:t>
            </w:r>
          </w:p>
        </w:tc>
        <w:tc>
          <w:tcPr>
            <w:tcW w:w="9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discussion and analysis of our results of operations and financial position are based upon our unaudited condensed consolidated financial statements included under Item 1 of this Form 10-Q, which have been prepared in conformity with accounting principles generally accepted in the United States. We review the accounting policies used in reporting our financial results on a regular basis. We believe certain of our accounting policies are critical to understanding our financial position and results of operations. There have been no changes to the critical accounting policies as explained in our Annual Report on Form 10-K for the year ended December 31, 2021.</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For a discussion of recent accounting pronouncements, see Note 1: “Business Description, Basis of Presentation and Significant Accounting Policies” in the notes to our unaudited condensed consolidated financial statements included under Item 1 of this Form 10-Q.</w:t>
      </w:r>
    </w:p>
    <w:p>
      <w:pPr>
        <w:spacing w:after="0" w:line="1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evaluation of the effectiveness of our disclosure controls and procedures (as defined in Rules 13a-15(e) and 15d-15(e) of the Exchange Act) as of March 31, 2022 was performed under the supervision and with the participation of our management, including our Chief Executive Officer and our Principal Financial and Accounting Officer. Based upon this evaluation, our Chief Executive Officer and Senior Vice President of Finance concluded that, as of the end of the period covered by this Quarterly Report, our disclosure controls and procedures effective at a reasonable assurance level as of March 31, 2022.</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change in the Company's internal control over financial reporting as of March 31, 2022, that has materially affected, or is reasonably likely to materially affect, the Company's internal control over financial reporting.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against Shure Incorporated (“Shure”) as further described in Part I, Item 3 of the Company’s Annual Report on Form 10-K for the year ended December 31, 2021 (the “Annual Report”), which information is incorporated herein by reference. The following recent developments amend and supplement the disclosure of the ongoing litigation proceedings against Shure as of March 31, 2022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17-cv-3078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ClearOne, Inc. v. Shure, Incorporated, 19-cv-02421 (N.D. of Illinois)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filed a motion asking the Court to schedule a trial date, but the Court denied that request without prejudice on April 7,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Shure, Incorporated v. ClearOne, Inc., 19-cv-1343 (D. of Delaware)</w:t>
      </w:r>
    </w:p>
    <w:p>
      <w:pPr>
        <w:spacing w:after="0" w:line="212"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8"/>
          <w:szCs w:val="18"/>
          <w:color w:val="auto"/>
        </w:rPr>
        <w:t>The Company filed a motion asking the Court to set a trial date on ClearOne’s counterclaims of unfair competition and tortious interference with business relations. Shure opposed that motion and asked the Court to stay proceedings on ClearOne’s counterclaims. ClearOne asked for oral argument on the motions, but the Court has not scheduled a hearing. The motions are fully briefed and pending.</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Title of Document</w:t>
            </w:r>
          </w:p>
        </w:tc>
      </w:tr>
      <w:tr>
        <w:trPr>
          <w:trHeight w:val="385"/>
        </w:trPr>
        <w:tc>
          <w:tcPr>
            <w:tcW w:w="10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10140" w:type="dxa"/>
            <w:vAlign w:val="bottom"/>
            <w:tcBorders>
              <w:top w:val="single" w:sz="8" w:color="auto"/>
            </w:tcBorders>
            <w:gridSpan w:val="6"/>
          </w:tcPr>
          <w:p>
            <w:pPr>
              <w:spacing w:after="0"/>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Securities Purchase Agreement dated January 4, 2022 (filed as Exhibit 10.1 to the Company’s Current Report on Form 8-K as filed with the</w:t>
              </w:r>
            </w:hyperlink>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9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140" w:type="dxa"/>
            <w:vAlign w:val="bottom"/>
            <w:gridSpan w:val="6"/>
          </w:tcPr>
          <w:p>
            <w:pPr>
              <w:spacing w:after="0" w:line="196" w:lineRule="exact"/>
              <w:rPr>
                <w:rFonts w:ascii="Times New Roman" w:cs="Times New Roman" w:eastAsia="Times New Roman" w:hAnsi="Times New Roman"/>
                <w:sz w:val="18"/>
                <w:szCs w:val="18"/>
                <w:color w:val="0000FF"/>
              </w:rPr>
            </w:pPr>
            <w:hyperlink r:id="rId44">
              <w:r>
                <w:rPr>
                  <w:rFonts w:ascii="Times New Roman" w:cs="Times New Roman" w:eastAsia="Times New Roman" w:hAnsi="Times New Roman"/>
                  <w:sz w:val="18"/>
                  <w:szCs w:val="18"/>
                  <w:color w:val="0000FF"/>
                </w:rPr>
                <w:t>SEC on January 4, 2022 and incorporated herein by reference).</w:t>
              </w:r>
            </w:hyperlink>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4"/>
                <w:szCs w:val="24"/>
                <w:color w:val="auto"/>
              </w:rPr>
            </w:pPr>
          </w:p>
        </w:tc>
        <w:tc>
          <w:tcPr>
            <w:tcW w:w="10140" w:type="dxa"/>
            <w:vAlign w:val="bottom"/>
            <w:gridSpan w:val="6"/>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Registration Rights Agreement dated January 4, 2022 (filed as Exhibit 10.1 to the Company’s Current Report on Form 8-K as filed with the</w:t>
              </w:r>
            </w:hyperlink>
          </w:p>
        </w:tc>
      </w:tr>
      <w:tr>
        <w:trPr>
          <w:trHeight w:val="196"/>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5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SEC on January 4, 2022 and incorporated herein by reference).</w:t>
              </w:r>
            </w:hyperlink>
          </w:p>
        </w:tc>
        <w:tc>
          <w:tcPr>
            <w:tcW w:w="5520" w:type="dxa"/>
            <w:vAlign w:val="bottom"/>
            <w:tcBorders>
              <w:top w:val="single" w:sz="8" w:color="0000EE"/>
            </w:tcBorders>
            <w:gridSpan w:val="3"/>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302</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260" w:type="dxa"/>
            <w:vAlign w:val="bottom"/>
            <w:gridSpan w:val="3"/>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Chief Executive Officer (filed herewith)</w:t>
            </w:r>
          </w:p>
        </w:tc>
      </w:tr>
      <w:tr>
        <w:trPr>
          <w:trHeight w:val="20"/>
        </w:trPr>
        <w:tc>
          <w:tcPr>
            <w:tcW w:w="10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4080" w:type="dxa"/>
            <w:vAlign w:val="bottom"/>
            <w:tcBorders>
              <w:right w:val="single" w:sz="8" w:color="0000EE"/>
            </w:tcBorders>
            <w:gridSpan w:val="2"/>
            <w:shd w:val="clear" w:color="auto" w:fill="0000FF"/>
          </w:tcPr>
          <w:p>
            <w:pPr>
              <w:spacing w:after="0" w:line="20" w:lineRule="exact"/>
              <w:rPr>
                <w:sz w:val="1"/>
                <w:szCs w:val="1"/>
                <w:color w:val="auto"/>
              </w:rPr>
            </w:pPr>
          </w:p>
        </w:tc>
        <w:tc>
          <w:tcPr>
            <w:tcW w:w="5200" w:type="dxa"/>
            <w:vAlign w:val="bottom"/>
            <w:gridSpan w:val="3"/>
          </w:tcPr>
          <w:p>
            <w:pPr>
              <w:spacing w:after="0" w:line="20" w:lineRule="exact"/>
              <w:rPr>
                <w:sz w:val="1"/>
                <w:szCs w:val="1"/>
                <w:color w:val="auto"/>
              </w:rPr>
            </w:pPr>
          </w:p>
        </w:tc>
      </w:tr>
      <w:tr>
        <w:trPr>
          <w:trHeight w:val="41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8"/>
              </w:rPr>
              <w:t>Section 906</w:t>
            </w:r>
          </w:p>
        </w:tc>
        <w:tc>
          <w:tcPr>
            <w:tcW w:w="92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(filed herewith)</w:t>
            </w:r>
          </w:p>
        </w:tc>
      </w:tr>
      <w:tr>
        <w:trPr>
          <w:trHeight w:val="20"/>
        </w:trPr>
        <w:tc>
          <w:tcPr>
            <w:tcW w:w="1100" w:type="dxa"/>
            <w:vAlign w:val="bottom"/>
            <w:tcBorders>
              <w:right w:val="single" w:sz="8" w:color="0000EE"/>
            </w:tcBorders>
            <w:gridSpan w:val="2"/>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Instance Document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Definitions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(filed herewith)</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(filed herewith)</w:t>
            </w: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tcPr>
          <w:p>
            <w:pPr>
              <w:spacing w:after="0"/>
              <w:rPr>
                <w:sz w:val="24"/>
                <w:szCs w:val="24"/>
                <w:color w:val="auto"/>
              </w:rPr>
            </w:pPr>
          </w:p>
        </w:tc>
        <w:tc>
          <w:tcPr>
            <w:tcW w:w="10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cover page of this Quarterly Report on Form 10-Q, formatted in Inline XBRL.</w:t>
            </w:r>
          </w:p>
        </w:tc>
      </w:tr>
      <w:tr>
        <w:trPr>
          <w:trHeight w:val="418"/>
        </w:trPr>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80" w:type="dxa"/>
            <w:vAlign w:val="bottom"/>
            <w:gridSpan w:val="2"/>
          </w:tcPr>
          <w:p>
            <w:pPr>
              <w:ind w:left="358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10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ClearOne,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Zeynep Hakimoglu</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60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5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5160" w:type="dxa"/>
            <w:vAlign w:val="bottom"/>
          </w:tcPr>
          <w:p>
            <w:pPr>
              <w:spacing w:after="0"/>
              <w:rPr>
                <w:sz w:val="22"/>
                <w:szCs w:val="22"/>
                <w:color w:val="auto"/>
              </w:rPr>
            </w:pPr>
          </w:p>
        </w:tc>
      </w:tr>
      <w:tr>
        <w:trPr>
          <w:trHeight w:val="453"/>
        </w:trPr>
        <w:tc>
          <w:tcPr>
            <w:tcW w:w="608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Narsi Narayanan</w:t>
            </w:r>
          </w:p>
        </w:tc>
      </w:tr>
      <w:tr>
        <w:trPr>
          <w:trHeight w:val="198"/>
        </w:trPr>
        <w:tc>
          <w:tcPr>
            <w:tcW w:w="6080" w:type="dxa"/>
            <w:vAlign w:val="bottom"/>
          </w:tcPr>
          <w:p>
            <w:pPr>
              <w:spacing w:after="0"/>
              <w:rPr>
                <w:sz w:val="17"/>
                <w:szCs w:val="17"/>
                <w:color w:val="auto"/>
              </w:rPr>
            </w:pPr>
          </w:p>
        </w:tc>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60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63"/>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r>
        <w:trPr>
          <w:trHeight w:val="675"/>
        </w:trPr>
        <w:tc>
          <w:tcPr>
            <w:tcW w:w="60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29</w:t>
            </w:r>
          </w:p>
        </w:tc>
        <w:tc>
          <w:tcPr>
            <w:tcW w:w="5160" w:type="dxa"/>
            <w:vAlign w:val="bottom"/>
          </w:tcPr>
          <w:p>
            <w:pPr>
              <w:spacing w:after="0"/>
              <w:rPr>
                <w:sz w:val="24"/>
                <w:szCs w:val="24"/>
                <w:color w:val="auto"/>
              </w:rPr>
            </w:pPr>
          </w:p>
        </w:tc>
      </w:tr>
      <w:tr>
        <w:trPr>
          <w:trHeight w:val="115"/>
        </w:trPr>
        <w:tc>
          <w:tcPr>
            <w:tcW w:w="6080" w:type="dxa"/>
            <w:vAlign w:val="bottom"/>
            <w:tcBorders>
              <w:bottom w:val="single" w:sz="8" w:color="auto"/>
            </w:tcBorders>
          </w:tcPr>
          <w:p>
            <w:pPr>
              <w:spacing w:after="0"/>
              <w:rPr>
                <w:sz w:val="10"/>
                <w:szCs w:val="10"/>
                <w:color w:val="auto"/>
              </w:rPr>
            </w:pPr>
          </w:p>
        </w:tc>
        <w:tc>
          <w:tcPr>
            <w:tcW w:w="516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Zeynep Hakimoglu, certify that:</w:t>
      </w:r>
    </w:p>
    <w:p>
      <w:pPr>
        <w:spacing w:after="0" w:line="22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00" w:lineRule="exact"/>
        <w:rPr>
          <w:rFonts w:ascii="Times New Roman" w:cs="Times New Roman" w:eastAsia="Times New Roman" w:hAnsi="Times New Roman"/>
          <w:sz w:val="18"/>
          <w:szCs w:val="18"/>
          <w:color w:val="auto"/>
        </w:rPr>
      </w:pPr>
    </w:p>
    <w:p>
      <w:pPr>
        <w:spacing w:after="0" w:line="254"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Times New Roman" w:cs="Times New Roman" w:eastAsia="Times New Roman" w:hAnsi="Times New Roman"/>
          <w:sz w:val="18"/>
          <w:szCs w:val="18"/>
          <w:color w:val="auto"/>
        </w:rPr>
      </w:pPr>
    </w:p>
    <w:p>
      <w:pPr>
        <w:jc w:val="both"/>
        <w:ind w:left="340" w:right="120" w:hanging="332"/>
        <w:spacing w:after="0" w:line="266"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r>
        <w:trPr>
          <w:trHeight w:val="191"/>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4"/>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Narsi Narayanan,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ClearOne, Inc. on Form 10-Q;</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80" w:hanging="335"/>
        <w:spacing w:after="0" w:line="266"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ectPr>
          <w:pgSz w:w="11900" w:h="16838" w:orient="portrait"/>
          <w:cols w:equalWidth="0" w:num="1">
            <w:col w:w="11240"/>
          </w:cols>
          <w:pgMar w:left="320" w:top="117"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Zeynep Hakimoglu, certify, to my best knowledge and belief, pursuant to 18 U.S.C. Section 1350, as adopted pursuant to Section 906 of the Sarbanes-Oxley Act of 2002, that the Quarterly Report of ClearOne, Inc. on Form 10-Q for the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Zeynep Hakimoglu</w:t>
            </w:r>
          </w:p>
        </w:tc>
      </w:tr>
      <w:tr>
        <w:trPr>
          <w:trHeight w:val="191"/>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Zeynep Hakimoglu</w:t>
            </w:r>
          </w:p>
        </w:tc>
      </w:tr>
      <w:tr>
        <w:trPr>
          <w:trHeight w:val="214"/>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Narsi Narayanan, certify, to my best knowledge and belief, pursuant to 18 U.S.C. Section 1350, as adopted pursuant to Section 906 of the Sarbanes-Oxley Act of 2002, that the Quarterly Report of ClearOne, Inc. on Form 10-Q for the quarter ended March 31, 2022,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40" w:type="dxa"/>
            <w:vAlign w:val="bottom"/>
          </w:tcPr>
          <w:p>
            <w:pPr>
              <w:spacing w:after="0"/>
              <w:rPr>
                <w:sz w:val="20"/>
                <w:szCs w:val="20"/>
                <w:color w:val="auto"/>
              </w:rPr>
            </w:pPr>
          </w:p>
        </w:tc>
        <w:tc>
          <w:tcPr>
            <w:tcW w:w="7900" w:type="dxa"/>
            <w:vAlign w:val="bottom"/>
            <w:gridSpan w:val="2"/>
          </w:tcPr>
          <w:p>
            <w:pPr>
              <w:ind w:left="23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Narsi Narayanan</w:t>
            </w:r>
          </w:p>
        </w:tc>
      </w:tr>
      <w:tr>
        <w:trPr>
          <w:trHeight w:val="191"/>
        </w:trPr>
        <w:tc>
          <w:tcPr>
            <w:tcW w:w="33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Narsi Narayanan</w:t>
            </w:r>
          </w:p>
        </w:tc>
      </w:tr>
      <w:tr>
        <w:trPr>
          <w:trHeight w:val="214"/>
        </w:trPr>
        <w:tc>
          <w:tcPr>
            <w:tcW w:w="3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of Finance</w:t>
            </w:r>
          </w:p>
        </w:tc>
      </w:tr>
      <w:tr>
        <w:trPr>
          <w:trHeight w:val="23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May 19, 2022</w:t>
            </w:r>
          </w:p>
        </w:tc>
        <w:tc>
          <w:tcPr>
            <w:tcW w:w="26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and Principal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44" Type="http://schemas.openxmlformats.org/officeDocument/2006/relationships/hyperlink" Target="http://www.sec.gov/Archives/edgar/data/840715/000175392622000016/ex101_1.htm" TargetMode="External"/><Relationship Id="rId45" Type="http://schemas.openxmlformats.org/officeDocument/2006/relationships/hyperlink" Target="http://www.sec.gov/Archives/edgar/data/840715/000175392622000016/ex102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2022-05-19T13:09:38Z</dcterms:created>
  <dcterms:modified xsi:type="dcterms:W3CDTF">2022-05-19T13:09:38Z</dcterms:modified>
</cp:coreProperties>
</file>