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20" w:right="1920" w:hanging="312"/>
        <w:spacing w:after="0" w:line="503"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2018</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20" w:right="1940" w:hanging="312"/>
        <w:spacing w:after="0" w:line="501" w:lineRule="auto"/>
        <w:tabs>
          <w:tab w:leader="none" w:pos="1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154940</wp:posOffset>
            </wp:positionV>
            <wp:extent cx="1320800"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70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ind w:left="140" w:right="140"/>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left="140" w:right="140"/>
        <w:spacing w:after="0" w:line="342" w:lineRule="auto"/>
        <w:rPr>
          <w:sz w:val="20"/>
          <w:szCs w:val="20"/>
          <w:color w:val="auto"/>
        </w:rPr>
      </w:pPr>
      <w:r>
        <w:rPr>
          <w:rFonts w:ascii="Arial" w:cs="Arial" w:eastAsia="Arial" w:hAnsi="Arial"/>
          <w:sz w:val="16"/>
          <w:szCs w:val="16"/>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[X] No [ ]</w:t>
      </w:r>
    </w:p>
    <w:p>
      <w:pPr>
        <w:spacing w:after="0" w:line="124" w:lineRule="exact"/>
        <w:rPr>
          <w:sz w:val="24"/>
          <w:szCs w:val="24"/>
          <w:color w:val="auto"/>
        </w:rPr>
      </w:pPr>
    </w:p>
    <w:p>
      <w:pPr>
        <w:jc w:val="both"/>
        <w:ind w:left="140"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92" w:right="239" w:bottom="1440" w:gutter="0" w:footer="0" w:header="0"/>
        </w:sectPr>
      </w:pPr>
    </w:p>
    <w:p>
      <w:pPr>
        <w:spacing w:after="0" w:line="18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7"/>
          <w:szCs w:val="17"/>
          <w:color w:val="auto"/>
        </w:rPr>
        <w:t>Emerging growth company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27" w:lineRule="exact"/>
        <w:rPr>
          <w:sz w:val="24"/>
          <w:szCs w:val="24"/>
          <w:color w:val="auto"/>
        </w:rPr>
      </w:pPr>
    </w:p>
    <w:p>
      <w:pPr>
        <w:sectPr>
          <w:pgSz w:w="11900" w:h="16838" w:orient="portrait"/>
          <w:cols w:equalWidth="0" w:num="2">
            <w:col w:w="5000" w:space="720"/>
            <w:col w:w="5700"/>
          </w:cols>
          <w:pgMar w:left="240" w:top="692" w:right="239" w:bottom="1440" w:gutter="0" w:footer="0" w:header="0"/>
          <w:type w:val="continuous"/>
        </w:sectPr>
      </w:pPr>
    </w:p>
    <w:p>
      <w:pPr>
        <w:spacing w:after="0" w:line="22" w:lineRule="exact"/>
        <w:rPr>
          <w:sz w:val="24"/>
          <w:szCs w:val="24"/>
          <w:color w:val="auto"/>
        </w:rPr>
      </w:pPr>
    </w:p>
    <w:p>
      <w:pPr>
        <w:ind w:left="14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The number of shares of ClearOne common stock outstanding as of November 6, 2018 was 8,306,535.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01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8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312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0" w:type="dxa"/>
            <w:vAlign w:val="bottom"/>
            <w:gridSpan w:val="8"/>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2018 and December 31, 2017</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Loss for the three and nine months ended September</w:t>
              </w:r>
            </w:hyperlink>
          </w:p>
        </w:tc>
        <w:tc>
          <w:tcPr>
            <w:tcW w:w="4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30, 2018 and 2017</w:t>
              </w:r>
            </w:hyperlink>
          </w:p>
        </w:tc>
        <w:tc>
          <w:tcPr>
            <w:tcW w:w="8420" w:type="dxa"/>
            <w:vAlign w:val="bottom"/>
            <w:tcBorders>
              <w:top w:val="single" w:sz="8" w:color="0000EE"/>
            </w:tcBorders>
            <w:gridSpan w:val="12"/>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nine months ended September 30, 2018 and 2017</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12"/>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130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66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576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8340" w:type="dxa"/>
            <w:vAlign w:val="bottom"/>
            <w:gridSpan w:val="11"/>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4"/>
                <w:szCs w:val="24"/>
                <w:color w:val="auto"/>
              </w:rPr>
            </w:pPr>
          </w:p>
        </w:tc>
        <w:tc>
          <w:tcPr>
            <w:tcW w:w="10120" w:type="dxa"/>
            <w:vAlign w:val="bottom"/>
            <w:gridSpan w:val="2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480" w:type="dxa"/>
            <w:vAlign w:val="bottom"/>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1480" w:type="dxa"/>
            <w:vAlign w:val="bottom"/>
            <w:tcBorders>
              <w:top w:val="single" w:sz="8" w:color="0000EE"/>
            </w:tcBorders>
            <w:gridSpan w:val="6"/>
          </w:tcPr>
          <w:p>
            <w:pPr>
              <w:spacing w:after="0"/>
              <w:rPr>
                <w:sz w:val="24"/>
                <w:szCs w:val="24"/>
                <w:color w:val="auto"/>
              </w:rPr>
            </w:pPr>
          </w:p>
        </w:tc>
        <w:tc>
          <w:tcPr>
            <w:tcW w:w="7300" w:type="dxa"/>
            <w:vAlign w:val="bottom"/>
            <w:gridSpan w:val="9"/>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1012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578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7800" w:type="dxa"/>
            <w:vAlign w:val="bottom"/>
            <w:gridSpan w:val="10"/>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360" w:type="dxa"/>
            <w:vAlign w:val="bottom"/>
            <w:gridSpan w:val="1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9520" w:type="dxa"/>
            <w:vAlign w:val="bottom"/>
            <w:gridSpan w:val="18"/>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53"/>
        </w:trPr>
        <w:tc>
          <w:tcPr>
            <w:tcW w:w="820" w:type="dxa"/>
            <w:vAlign w:val="bottom"/>
          </w:tcPr>
          <w:p>
            <w:pPr>
              <w:spacing w:after="0"/>
              <w:rPr>
                <w:sz w:val="24"/>
                <w:szCs w:val="24"/>
                <w:color w:val="auto"/>
              </w:rPr>
            </w:pPr>
          </w:p>
        </w:tc>
        <w:tc>
          <w:tcPr>
            <w:tcW w:w="4980" w:type="dxa"/>
            <w:vAlign w:val="bottom"/>
            <w:gridSpan w:val="15"/>
          </w:tcPr>
          <w:p>
            <w:pPr>
              <w:ind w:left="4840"/>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$580 and $472,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50,799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5,282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8,306,535 and 8,319,022 shares issued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44,736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8,306,707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8,306,707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8,520,041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8,304,974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loss per share</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(14,151)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8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(14,151)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of goodwill and intangible assets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Amortization of deferred rent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Provision for doubtful accounts, net</w:t>
            </w: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intangibles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Capitalized patent defense costs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payments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and cancellation of stock</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5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12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2018 and December 31, 2017, the results of operations for the three and nine months ended September 30, 2018 and 2017, and the cash flows for the nine months ended September 30, 2018 and 2017. The results of operations for the three and nine months ended September 30, 2018 and 2017 are not necessarily indicative of the results for a full-year period. These interim unaudited condensed consolidated financial statements should be read in conjunction with the financial statements included in our Annual Report on Form 10-K for the year ended December 31, 2017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2017. There have been no changes to these policies during the nine months ended September 30, 2018 that are of significance or potential significance to the Company except for the change in revenue recognition policy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Adoption of New Revenue Standard: </w:t>
      </w:r>
      <w:r>
        <w:rPr>
          <w:rFonts w:ascii="Arial" w:cs="Arial" w:eastAsia="Arial" w:hAnsi="Arial"/>
          <w:sz w:val="16"/>
          <w:szCs w:val="16"/>
          <w:color w:val="auto"/>
        </w:rPr>
        <w:t>On January 1, 2018, as required, the Company adopted ASU No. 2014-09 -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(Topic 606) (“ASU 2014-09”), ASU No. 2015-14 - Revenue from Contracts with Customers (Topic 606): Deferral of the Effective Date (“ASU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ASU No. 2016-08 - Revenue from Contracts with Customers (Topic 606): Principal versus Agent Considerations (“ASU 2016-08”), ASU No. 2016-</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10 - Revenue from Contracts with Customers (Topic 606): Identifying Performance Obligations and Licensing (“ASU 2016-10”), ASU No. 2016-12 - Revenue from Contracts with Customers (Topic 606): Narrow-Scope Improvements and Practical Expedients (“ASU 2016-12”) and ASU No. 2016-20 - Technical Corrections and Improvements to Topic 606, Revenue from Contracts with Customers” (“ASU 2016-20”) (collectively “the New Revenue Standard”). To conform to the New Revenue Standard, the Company modified its revenue recognition policy as described further below.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Accounting Policy: </w:t>
      </w:r>
      <w:r>
        <w:rPr>
          <w:rFonts w:ascii="Arial" w:cs="Arial" w:eastAsia="Arial" w:hAnsi="Arial"/>
          <w:sz w:val="18"/>
          <w:szCs w:val="18"/>
          <w:color w:val="auto"/>
        </w:rPr>
        <w:t>On January 1, 2018, the Company adopted the New Revenue Standard using the modified retrospective method, applying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to all open contracts and recognized an adjustment to increase retained earnings by $2,783, reduce deferred product revenue by $4,338 and reduce distributor channel inventories by $1,555 as of that date. The comparative financial information has not been restated and continues to be presented under the accounting standards in effect for the respective periods. The Company applied the practical expedient and has not disclosed the revenue allocated to future shipments of partially completed contracts.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our change in accounting policy, revenue from product sales to distributors was not recognized until the return privilege had expired or until it can be determined with reasonable certainty that the return privilege had expired, which approximated when the product was sold-through to customers of our distributors (dealers, system integrators, value-added resellers, and end-users), rather than when the product was initially shipped to a distributor. At each quarter-end, we evaluated the inventory in the distribution channel through information provided by our distributors. The level of inventory in the channel fluctuated up or down each quarter based upon our distributors’ individual operations. Accordingly, each quarter-end deferral of revenue and associated cost of goods sold were calculated and recorded based upon the actual channel inventory reported at quarter-end. Further, with respect to distributors and other channel partners not reporting the channel inventory, the revenue and associated cost of goods sold were deferred until we received payment for the product sales made to such distributors or channel partners.</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the change in the accounting policy, substantially all of the Company’s revenue is recognized following the transfer of control of the products to the customer, which typically occurs upon shipment or delivery depending on the terms of the underlying contracts. During the three and nine months ended September 30, 2018, revenue decreased by $784 and $1,365, respectively due to the impact of the adoption of the New Revenue Standard.</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Revenue Recognition Policy: </w:t>
      </w:r>
      <w:r>
        <w:rPr>
          <w:rFonts w:ascii="Arial" w:cs="Arial" w:eastAsia="Arial" w:hAnsi="Arial"/>
          <w:sz w:val="16"/>
          <w:szCs w:val="16"/>
          <w:color w:val="auto"/>
        </w:rPr>
        <w:t>The Company generates revenue from sales of its audio and video conferencing equipment to distributors, system integrators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2" w:lineRule="exact"/>
        <w:rPr>
          <w:sz w:val="20"/>
          <w:szCs w:val="20"/>
          <w:color w:val="auto"/>
        </w:rPr>
      </w:pPr>
    </w:p>
    <w:p>
      <w:pPr>
        <w:jc w:val="both"/>
        <w:ind w:firstLine="8"/>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three and nine months ended September 30, 2018 for equipment sales was $6,524 and $20,396, respectively and for software, licenses, etc. was $159 and $547, respectively.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became effective for the Company on January 1, 2018. ASU 2016-15 had no material impact on our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became effective for the Company on January 1, 2018. ASU 2017-09 did not have any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Three months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63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September 30, 2018</w:t>
            </w:r>
          </w:p>
        </w:tc>
        <w:tc>
          <w:tcPr>
            <w:tcW w:w="8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14,586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Unified Communications end points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2,789</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20,943</w:t>
            </w:r>
          </w:p>
        </w:tc>
      </w:tr>
      <w:tr>
        <w:trPr>
          <w:trHeight w:val="426"/>
        </w:trPr>
        <w:tc>
          <w:tcPr>
            <w:tcW w:w="6320" w:type="dxa"/>
            <w:vAlign w:val="bottom"/>
          </w:tcPr>
          <w:p>
            <w:pPr>
              <w:spacing w:after="0"/>
              <w:rPr>
                <w:sz w:val="20"/>
                <w:szCs w:val="20"/>
                <w:color w:val="auto"/>
              </w:rPr>
            </w:pPr>
            <w:r>
              <w:rPr>
                <w:rFonts w:ascii="Arial" w:cs="Arial" w:eastAsia="Arial" w:hAnsi="Arial"/>
                <w:sz w:val="18"/>
                <w:szCs w:val="18"/>
                <w:color w:val="auto"/>
              </w:rPr>
              <w:t>The following table disaggregates the Company’s revenue into major regions:</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Three months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63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September 30, 2018</w:t>
            </w:r>
          </w:p>
        </w:tc>
        <w:tc>
          <w:tcPr>
            <w:tcW w:w="8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12,538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5,592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2,813</w:t>
            </w:r>
          </w:p>
        </w:tc>
      </w:tr>
      <w:tr>
        <w:trPr>
          <w:trHeight w:val="20"/>
        </w:trPr>
        <w:tc>
          <w:tcPr>
            <w:tcW w:w="6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20,943</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89"/>
              </w:rPr>
              <w:t>Three months ended September 30,</w:t>
            </w:r>
          </w:p>
        </w:tc>
        <w:tc>
          <w:tcPr>
            <w:tcW w:w="120" w:type="dxa"/>
            <w:vAlign w:val="bottom"/>
          </w:tcPr>
          <w:p>
            <w:pPr>
              <w:spacing w:after="0"/>
              <w:rPr>
                <w:sz w:val="20"/>
                <w:szCs w:val="20"/>
                <w:color w:val="auto"/>
              </w:rPr>
            </w:pPr>
          </w:p>
        </w:tc>
        <w:tc>
          <w:tcPr>
            <w:tcW w:w="29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(10,142)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(9,276)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(14,151)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8,306,707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8,520,041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8,304,974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Dilutive common stock equivalents using treasury stock method</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8,306,707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8,520,041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8,304,974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711,888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782,012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727,980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1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711,888</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782,012</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727,980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832,953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4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2018 and December 31, 2017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gains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2018</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w:t>
            </w: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r>
      <w:tr>
        <w:trPr>
          <w:trHeight w:val="20"/>
        </w:trPr>
        <w:tc>
          <w:tcPr>
            <w:tcW w:w="4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r>
      <w:tr>
        <w:trPr>
          <w:trHeight w:val="394"/>
        </w:trPr>
        <w:tc>
          <w:tcPr>
            <w:tcW w:w="41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gains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4"/>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4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r>
      <w:tr>
        <w:trPr>
          <w:trHeight w:val="413"/>
        </w:trPr>
        <w:tc>
          <w:tcPr>
            <w:tcW w:w="41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Estimated fair</w:t>
            </w:r>
          </w:p>
        </w:tc>
      </w:tr>
      <w:tr>
        <w:trPr>
          <w:trHeight w:val="234"/>
        </w:trPr>
        <w:tc>
          <w:tcPr>
            <w:tcW w:w="7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40"/>
              <w:spacing w:after="0"/>
              <w:rPr>
                <w:sz w:val="20"/>
                <w:szCs w:val="20"/>
                <w:color w:val="auto"/>
              </w:rPr>
            </w:pPr>
            <w:r>
              <w:rPr>
                <w:rFonts w:ascii="Arial" w:cs="Arial" w:eastAsia="Arial" w:hAnsi="Arial"/>
                <w:sz w:val="18"/>
                <w:szCs w:val="18"/>
                <w:color w:val="auto"/>
              </w:rPr>
              <w:t>Due within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1,982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r>
      <w:tr>
        <w:trPr>
          <w:trHeight w:val="216"/>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5,757</w:t>
            </w:r>
          </w:p>
        </w:tc>
      </w:tr>
      <w:tr>
        <w:trPr>
          <w:trHeight w:val="216"/>
        </w:trPr>
        <w:tc>
          <w:tcPr>
            <w:tcW w:w="7480" w:type="dxa"/>
            <w:vAlign w:val="bottom"/>
          </w:tcPr>
          <w:p>
            <w:pPr>
              <w:ind w:left="340"/>
              <w:spacing w:after="0"/>
              <w:rPr>
                <w:sz w:val="20"/>
                <w:szCs w:val="20"/>
                <w:color w:val="auto"/>
              </w:rPr>
            </w:pPr>
            <w:r>
              <w:rPr>
                <w:rFonts w:ascii="Arial" w:cs="Arial" w:eastAsia="Arial" w:hAnsi="Arial"/>
                <w:sz w:val="18"/>
                <w:szCs w:val="18"/>
                <w:color w:val="auto"/>
              </w:rPr>
              <w:t>Due after five years</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available-for-sale securities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7,830</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7,729</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Debt securities in an unrealized loss position as of September 30, 2018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2018</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4"/>
                <w:szCs w:val="24"/>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14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7,140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2018 and December 31,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c>
          <w:tcPr>
            <w:tcW w:w="11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lives (years)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1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4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12,244</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8,578</w:t>
            </w:r>
          </w:p>
        </w:tc>
        <w:tc>
          <w:tcPr>
            <w:tcW w:w="11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11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ind w:left="60"/>
              <w:spacing w:after="0"/>
              <w:rPr>
                <w:sz w:val="20"/>
                <w:szCs w:val="20"/>
                <w:color w:val="auto"/>
              </w:rPr>
            </w:pPr>
            <w:r>
              <w:rPr>
                <w:rFonts w:ascii="Arial" w:cs="Arial" w:eastAsia="Arial" w:hAnsi="Arial"/>
                <w:sz w:val="18"/>
                <w:szCs w:val="18"/>
                <w:color w:val="auto"/>
              </w:rPr>
              <w:t>to 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12,437</w:t>
            </w:r>
          </w:p>
        </w:tc>
        <w:tc>
          <w:tcPr>
            <w:tcW w:w="11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(6,685)</w:t>
            </w:r>
          </w:p>
        </w:tc>
        <w:tc>
          <w:tcPr>
            <w:tcW w:w="2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(5,894)</w:t>
            </w:r>
          </w:p>
        </w:tc>
        <w:tc>
          <w:tcPr>
            <w:tcW w:w="1140" w:type="dxa"/>
            <w:vAlign w:val="bottom"/>
          </w:tcPr>
          <w:p>
            <w:pPr>
              <w:spacing w:after="0"/>
              <w:rPr>
                <w:sz w:val="18"/>
                <w:szCs w:val="18"/>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4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center"/>
              <w:ind w:right="59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nine months ended September 30, 2018 and 2017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760" w:type="dxa"/>
            <w:vAlign w:val="bottom"/>
            <w:gridSpan w:val="9"/>
          </w:tcPr>
          <w:p>
            <w:pPr>
              <w:jc w:val="right"/>
              <w:ind w:right="220"/>
              <w:spacing w:after="0"/>
              <w:rPr>
                <w:sz w:val="20"/>
                <w:szCs w:val="20"/>
                <w:color w:val="auto"/>
              </w:rPr>
            </w:pPr>
            <w:r>
              <w:rPr>
                <w:rFonts w:ascii="Arial" w:cs="Arial" w:eastAsia="Arial" w:hAnsi="Arial"/>
                <w:sz w:val="18"/>
                <w:szCs w:val="18"/>
                <w:b w:val="1"/>
                <w:bCs w:val="1"/>
                <w:color w:val="auto"/>
                <w:w w:val="91"/>
              </w:rPr>
              <w:t>Three months ended September</w:t>
            </w:r>
          </w:p>
        </w:tc>
        <w:tc>
          <w:tcPr>
            <w:tcW w:w="27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5"/>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5"/>
              </w:rPr>
              <w:t>(279)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860" w:type="dxa"/>
            <w:vAlign w:val="bottom"/>
            <w:tcBorders>
              <w:left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432"/>
        </w:trPr>
        <w:tc>
          <w:tcPr>
            <w:tcW w:w="614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gridSpan w:val="4"/>
          </w:tcPr>
          <w:p>
            <w:pPr>
              <w:ind w:left="4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2018 (Remainder)</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1,110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932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932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5,221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60" w:type="dxa"/>
            <w:vAlign w:val="bottom"/>
            <w:tcBorders>
              <w:left w:val="single" w:sz="8" w:color="CCEEFF"/>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11"/>
          </w:tcPr>
          <w:p>
            <w:pPr>
              <w:spacing w:after="0"/>
              <w:rPr>
                <w:sz w:val="20"/>
                <w:szCs w:val="20"/>
                <w:color w:val="auto"/>
              </w:rPr>
            </w:pPr>
            <w:r>
              <w:rPr>
                <w:rFonts w:ascii="Arial" w:cs="Arial" w:eastAsia="Arial" w:hAnsi="Arial"/>
                <w:sz w:val="18"/>
                <w:szCs w:val="18"/>
                <w:color w:val="auto"/>
                <w:w w:val="95"/>
              </w:rPr>
              <w:t>Inventories, net of reserves, as of September 30, 2018 and December 31, 2017 consisted of the following:</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8"/>
                <w:szCs w:val="18"/>
                <w:b w:val="1"/>
                <w:bCs w:val="1"/>
                <w:color w:val="auto"/>
              </w:rPr>
              <w:t>As of</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0"/>
              </w:rPr>
              <w:t>September 30, 2018</w:t>
            </w: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8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698"/>
              <w:spacing w:after="0"/>
              <w:rPr>
                <w:sz w:val="20"/>
                <w:szCs w:val="20"/>
                <w:color w:val="auto"/>
              </w:rPr>
            </w:pPr>
            <w:r>
              <w:rPr>
                <w:rFonts w:ascii="Arial" w:cs="Arial" w:eastAsia="Arial" w:hAnsi="Arial"/>
                <w:sz w:val="15"/>
                <w:szCs w:val="15"/>
                <w:color w:val="auto"/>
                <w:w w:val="71"/>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197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14,218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Total current inventories</w:t>
            </w:r>
          </w:p>
        </w:tc>
        <w:tc>
          <w:tcPr>
            <w:tcW w:w="8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698"/>
              <w:spacing w:after="0"/>
              <w:rPr>
                <w:sz w:val="20"/>
                <w:szCs w:val="20"/>
                <w:color w:val="auto"/>
              </w:rPr>
            </w:pPr>
            <w:r>
              <w:rPr>
                <w:rFonts w:ascii="Arial" w:cs="Arial" w:eastAsia="Arial" w:hAnsi="Arial"/>
                <w:sz w:val="15"/>
                <w:szCs w:val="15"/>
                <w:color w:val="auto"/>
                <w:w w:val="71"/>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14,415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Long-term:</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2,682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6,026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inventories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80" w:type="dxa"/>
            <w:vAlign w:val="bottom"/>
            <w:tcBorders>
              <w:lef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8,708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Current finished goods did not include distributor channel inventories in the amounts of approximately $1,555 as of December 31, 2017. Distributor channel inventories represented inventories at distributors and other customers where revenue recognition criteria had not yet been achieved.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during the three and nine months ended September 30, 2018 was $45 and $471, respectively. During the three months and nine months ended September 30, 2017 there was no net loss incurred on valuation of inventory at lower of cost or market value and write-off of obsolete inventory.</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September 30, 2018, there were 706,091 options outstanding under the 2007 Plan. As of September 30, 2018, the 2007 Plan had 789,003 authorized unissued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nine months ended September 30,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764,430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(33,582)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September 30, 2018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706,091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September 30, 2018</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598,805</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the total remaining unrecognized compensation cost related to non-vested stock options, net of forfeitures, was approximately $379, which will be recognized over a weighted average period of 1.32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5"/>
              </w:rPr>
              <w:t>Share-based compensation expense has been recorded as follows:</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16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auto"/>
                <w:w w:val="97"/>
              </w:rPr>
              <w:t>Three months ended September</w:t>
            </w:r>
          </w:p>
        </w:tc>
        <w:tc>
          <w:tcPr>
            <w:tcW w:w="26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0"/>
        </w:trPr>
        <w:tc>
          <w:tcPr>
            <w:tcW w:w="5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the Board of Directors of the Company authorized the repurchase of up to $10,000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$10,000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Upon expiry of this repurchase program in March 2018, the program was not renewed again.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21, 2018, the Company declared a cash dividend of $0.07 per share of ClearOne common stock. The dividend was paid on March 21, 2018 to shareholders of record as of March 7, 2018. On June 13, 2018, the Company announced the suspension of its dividend program.</w:t>
      </w:r>
    </w:p>
    <w:p>
      <w:pPr>
        <w:sectPr>
          <w:pgSz w:w="11900" w:h="16838" w:orient="portrait"/>
          <w:cols w:equalWidth="0" w:num="1">
            <w:col w:w="11280"/>
          </w:cols>
          <w:pgMar w:left="240" w:top="118" w:right="379" w:bottom="568" w:gutter="0" w:footer="0" w:header="0"/>
        </w:sectPr>
      </w:pP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568" w:gutter="0" w:footer="0" w:header="0"/>
          <w:type w:val="continuous"/>
        </w:sectPr>
      </w:pPr>
    </w:p>
    <w:bookmarkStart w:id="13" w:name="page14"/>
    <w:bookmarkEnd w:id="13"/>
    <w:p>
      <w:pPr>
        <w:ind w:left="28"/>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34"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ind w:left="28" w:right="14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28"/>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28" w:right="140"/>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ind w:left="28"/>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left="28" w:right="140"/>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September 30, 2018 and December 31, 2017:</w:t>
      </w:r>
    </w:p>
    <w:p>
      <w:pPr>
        <w:spacing w:after="0" w:line="166" w:lineRule="exact"/>
        <w:rPr>
          <w:sz w:val="20"/>
          <w:szCs w:val="20"/>
          <w:color w:val="auto"/>
        </w:rPr>
      </w:pPr>
    </w:p>
    <w:tbl>
      <w:tblPr>
        <w:tblLayout w:type="fixed"/>
        <w:tblInd w:w="28"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2018</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4,006</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4,006</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7,729</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7,729</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28"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8,428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13,038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left="8" w:right="120"/>
        <w:spacing w:after="0" w:line="293" w:lineRule="auto"/>
        <w:rPr>
          <w:sz w:val="20"/>
          <w:szCs w:val="20"/>
          <w:color w:val="auto"/>
        </w:rPr>
      </w:pPr>
      <w:r>
        <w:rPr>
          <w:rFonts w:ascii="Arial" w:cs="Arial" w:eastAsia="Arial" w:hAnsi="Arial"/>
          <w:sz w:val="16"/>
          <w:szCs w:val="16"/>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September 30, 2018, the Company had an aggregate of approximately $7.9 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65" w:lineRule="exact"/>
        <w:rPr>
          <w:sz w:val="20"/>
          <w:szCs w:val="20"/>
          <w:color w:val="auto"/>
        </w:rPr>
      </w:pPr>
    </w:p>
    <w:p>
      <w:pPr>
        <w:ind w:left="508" w:hanging="508"/>
        <w:spacing w:after="0"/>
        <w:tabs>
          <w:tab w:leader="none" w:pos="508" w:val="left"/>
        </w:tabs>
        <w:numPr>
          <w:ilvl w:val="0"/>
          <w:numId w:val="4"/>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3" w:lineRule="exact"/>
        <w:rPr>
          <w:rFonts w:ascii="Arial" w:cs="Arial" w:eastAsia="Arial" w:hAnsi="Arial"/>
          <w:sz w:val="18"/>
          <w:szCs w:val="18"/>
          <w:color w:val="auto"/>
        </w:rPr>
      </w:pPr>
    </w:p>
    <w:p>
      <w:pPr>
        <w:ind w:left="508" w:hanging="508"/>
        <w:spacing w:after="0"/>
        <w:tabs>
          <w:tab w:leader="none" w:pos="50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9" w:lineRule="exact"/>
        <w:rPr>
          <w:rFonts w:ascii="Arial" w:cs="Arial" w:eastAsia="Arial" w:hAnsi="Arial"/>
          <w:sz w:val="18"/>
          <w:szCs w:val="18"/>
          <w:color w:val="auto"/>
        </w:rPr>
      </w:pPr>
    </w:p>
    <w:p>
      <w:pPr>
        <w:ind w:left="508" w:hanging="508"/>
        <w:spacing w:after="0"/>
        <w:tabs>
          <w:tab w:leader="none" w:pos="508"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9" w:lineRule="exact"/>
        <w:rPr>
          <w:rFonts w:ascii="Arial" w:cs="Arial" w:eastAsia="Arial" w:hAnsi="Arial"/>
          <w:sz w:val="18"/>
          <w:szCs w:val="18"/>
          <w:color w:val="auto"/>
        </w:rPr>
      </w:pPr>
    </w:p>
    <w:p>
      <w:pPr>
        <w:ind w:left="508" w:hanging="508"/>
        <w:spacing w:after="0"/>
        <w:tabs>
          <w:tab w:leader="none" w:pos="50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11" w:lineRule="exact"/>
        <w:rPr>
          <w:sz w:val="20"/>
          <w:szCs w:val="20"/>
          <w:color w:val="auto"/>
        </w:rPr>
      </w:pPr>
    </w:p>
    <w:p>
      <w:pPr>
        <w:jc w:val="both"/>
        <w:ind w:left="8" w:right="140"/>
        <w:spacing w:after="0" w:line="308" w:lineRule="auto"/>
        <w:rPr>
          <w:sz w:val="20"/>
          <w:szCs w:val="20"/>
          <w:color w:val="auto"/>
        </w:rPr>
      </w:pPr>
      <w:r>
        <w:rPr>
          <w:rFonts w:ascii="Arial" w:cs="Arial" w:eastAsia="Arial" w:hAnsi="Arial"/>
          <w:sz w:val="17"/>
          <w:szCs w:val="17"/>
          <w:color w:val="auto"/>
        </w:rPr>
        <w:t>Based on the foregoing criteria, the Company determined that it no longer meets the “more likely than not” threshold that net operating losses, tax credits and other deferred tax assets will be realized. Accordingly, the Company recorded a full valuation allowance at September 30, 2018.</w:t>
      </w:r>
    </w:p>
    <w:p>
      <w:pPr>
        <w:spacing w:after="0" w:line="147" w:lineRule="exact"/>
        <w:rPr>
          <w:sz w:val="20"/>
          <w:szCs w:val="20"/>
          <w:color w:val="auto"/>
        </w:rPr>
      </w:pPr>
    </w:p>
    <w:p>
      <w:pPr>
        <w:jc w:val="both"/>
        <w:ind w:left="8" w:right="140"/>
        <w:spacing w:after="0" w:line="264" w:lineRule="auto"/>
        <w:rPr>
          <w:sz w:val="20"/>
          <w:szCs w:val="20"/>
          <w:color w:val="auto"/>
        </w:rPr>
      </w:pPr>
      <w:r>
        <w:rPr>
          <w:rFonts w:ascii="Arial" w:cs="Arial" w:eastAsia="Arial" w:hAnsi="Arial"/>
          <w:sz w:val="18"/>
          <w:szCs w:val="18"/>
          <w:color w:val="auto"/>
        </w:rPr>
        <w:t>The Company’s forecasted effective tax benefit rate at September 30, 2018 is 0%, as compared to the 10.8% effective tax rate recorded at December 31, 2017. The 10.8% decrease is primarily due to not recognizing benefit in 2018-Q3 for pre-tax losses and credits, as a result of the Company’s full valuation allowance on net deferred tax assets.</w:t>
      </w:r>
    </w:p>
    <w:p>
      <w:pPr>
        <w:spacing w:after="0" w:line="181" w:lineRule="exact"/>
        <w:rPr>
          <w:sz w:val="20"/>
          <w:szCs w:val="20"/>
          <w:color w:val="auto"/>
        </w:rPr>
      </w:pPr>
    </w:p>
    <w:p>
      <w:pPr>
        <w:jc w:val="both"/>
        <w:ind w:left="8" w:right="140"/>
        <w:spacing w:after="0" w:line="277" w:lineRule="auto"/>
        <w:rPr>
          <w:sz w:val="20"/>
          <w:szCs w:val="20"/>
          <w:color w:val="auto"/>
        </w:rPr>
      </w:pPr>
      <w:r>
        <w:rPr>
          <w:rFonts w:ascii="Arial" w:cs="Arial" w:eastAsia="Arial" w:hAnsi="Arial"/>
          <w:sz w:val="18"/>
          <w:szCs w:val="18"/>
          <w:color w:val="auto"/>
        </w:rPr>
        <w:t>The Company recorded discrete tax expense of $6.5M in 2018-Q3, due primarily to the recording of a full valuation allowance on the Company’s net deferred tax assets.</w:t>
      </w:r>
    </w:p>
    <w:p>
      <w:pPr>
        <w:sectPr>
          <w:pgSz w:w="11900" w:h="16838" w:orient="portrait"/>
          <w:cols w:equalWidth="0" w:num="1">
            <w:col w:w="11448"/>
          </w:cols>
          <w:pgMar w:left="212"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8"/>
          </w:cols>
          <w:pgMar w:left="212" w:top="118" w:right="239" w:bottom="1440" w:gutter="0" w:footer="0" w:header="0"/>
          <w:type w:val="continuous"/>
        </w:sectPr>
      </w:pPr>
    </w:p>
    <w:bookmarkStart w:id="14" w:name="page15"/>
    <w:bookmarkEnd w:id="14"/>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On October 25, 2018, the Company completed its reincorporation from a Utah corporation to a Delaware corporation (the “Reincorporation”). The Reincorporation was approved by shareholders of the Company at the Company’s annual meeting of Shareholders on October 25, 2018.</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5, 2018, the Company commenced a rights offering pursuant to which each shareholder of record as of November 5, 2018 shall be entitled to purchase one (1) share of the Company’s common stock at a subscription price of $1.20 per whole share (the "Basic Subscription Right"), or a maximum of 8,306,535 shares. If a shareholder exercises its Basic Subscription Right in full and other shareholders do not fully exercise their Basic Subscription Rights, a shareholder will have an over-subscription right to purchase the same number of shares of the Company’s common stock that it may acquire pursuant to the exercise of its Basic Subscription Right, at the same subscription price of $1.20 per whole share, additional shares of common stock that remain unsubscribed at the expiration of the rights offering. Over-subscription rights will be available only to shareholders who exercise their basic subscription rights in full. The over-subscription rights will be subject to availability and pro rata allocation of shares among shareholders exercising their over-subscription right. The rights offering will expire on Monday, November 19, 2018 at 5:00 p.m. Eastern Standard Time. The rights offering is being conducted pursuant to a registration statement on Form S-1 that was declared effective by the Securities and Exchange Commission on November 5, 2018 and the prospectus dated November 5, 2018 included therein.</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118" w:right="3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2017.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2017 and in Part II. Item 1A "Risk Factors" in this Quarterly Report on Form 10-Q for the quarter ended September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is a global market leader enabling conferencing, collaboration, and network streaming solutions. The performance and simplicity of our advanced, comprehensive solutions offer unprecedented levels of functionality, reliability and scalability.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months ended September 30, 2018, seven more patents related to video synchronization, speech technology, integrated microphone array and ceiling or wall tile, echo cancellation with beamforming microphone array, audio distribution over local area networks, and USB to Bluetooth audio bridging were issued to us. During the nine months ended September 30, 2018, we continued our serious litigation efforts to stop infringement of two of our strategic patents. We introduced a new ceiling microphone array product line and made improvements to our VIEW Pro and Converge Pro 2 product lines. We also launched many new products including Collaborate Space, Converge Amplifier and wireless microphone systems in 537-563 MHz range at our industry’s largest trade show in North America. We have also been focusing on company-wide cost cutting programs and speeding up product development that we believe will enable us to surpass our competitors.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revenue declined in the three and nine months ended September 30, 2018 when compared to the three months and nine months ended September 30, 2017, with declines seen in all product categories. Our gross profit margin decreased to 45% during the three months ended September 30, 2018 from 62% for the three months ended September 30, 2017. Gross profit margin decreased primarily due to an increase in inventory obsolescence costs, a decline in licensing revenues and reduced overhead absorption into inventory as we continue to reduce our net spend on inventory. Our gross profit margin decreased to 49% during the nine months ended September 30, 2018 from 59% for the nine months ended September 30, 2017. Gross profit margin decrease was primarily due to an increase in inventory obsolescence costs, a decline in licensing revenues, and reduced overhead absorption into inventory. The proportion of overhead costs absorbed into inventory has declined due to a sharp decline in our inventory purchasing activity causing increased amounts of overhead costs to be expensed.</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The adoption of Beamforming Microphone Array 2, along with our Converge Pro 2, our new platform for professional audio conferencing, remains challenged in large part because of our competitors’ product offering that directly infringes our strategic patents. The patent infringement also has had a material adverse effect on revenue from ClearOne’s other products like wireless microphones, ceiling microphones and video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revenues in the near term may also be adversely affected by the resignation of a large US distributor in June 2018.</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strength in the professional audio visual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infringement of our patents by competitors, the limited size of the market and pricing pressures from new competitors attracted to the commercial market.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2018, revenue from our video products has generally shown lesser decline than revenue from audio conferencing products. However, this is not an identifiable trend given the continuing change in the competitive landscape and also the uncertainty relating to revenue from our core product set due to patent infringement and ensuing litigation.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and our high-end audio conferencing technology to distinguish us from our competitors' product offerings.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derive a large portion of our revenue (about 47%) from international operations and expect this trend to continue in the future. Most of our revenue from outside the U.S. is billed in US Dollars and is not exposed to any significant currency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2018</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and nine months ended September 30, 2018 (“2018-Q3”) ("2018YTD") and 2017 (“2017-Q3”) ("2017-YTD"), respectively, together with the percentage of total revenue which each such item represents: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89"/>
              </w:rPr>
              <w:t>Three months ended September 30,</w:t>
            </w:r>
          </w:p>
        </w:tc>
        <w:tc>
          <w:tcPr>
            <w:tcW w:w="240" w:type="dxa"/>
            <w:vAlign w:val="bottom"/>
          </w:tcPr>
          <w:p>
            <w:pPr>
              <w:spacing w:after="0"/>
              <w:rPr>
                <w:sz w:val="20"/>
                <w:szCs w:val="20"/>
                <w:color w:val="auto"/>
              </w:rPr>
            </w:pPr>
          </w:p>
        </w:tc>
        <w:tc>
          <w:tcPr>
            <w:tcW w:w="37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16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2018 vs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2018 vs</w:t>
            </w:r>
          </w:p>
        </w:tc>
      </w:tr>
      <w:tr>
        <w:trPr>
          <w:trHeight w:val="234"/>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10,560</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4,051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13,293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6,509</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8,393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1,341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1,281</w:t>
            </w:r>
          </w:p>
        </w:tc>
        <w:tc>
          <w:tcPr>
            <w:tcW w:w="14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4,500</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5,597</w:t>
            </w:r>
          </w:p>
        </w:tc>
        <w:tc>
          <w:tcPr>
            <w:tcW w:w="13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12,724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(13,506)</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(13,428)</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7"/>
              </w:rPr>
              <w:t>Provision for (benefit from)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(4,152)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(9,276)</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Our revenue decreased by $3.9 million, or 37%, to $6.7 million in 2018-Q3 compared to $10.6 million in 2017-Q3. All product categories witnessed revenue declines with revenue declines of 31%, 28% and 55% for professional audio conferencing, unified communication end points and video products, respectively. The decline in revenue from professional audio conferencing products was mostly due to slower adoption of our Converge Pro 2 platform, largely caused by our competitors’ product offering that we believe directly infringes our strategic patents and due to a decline in licensing revenue. The share of professional audio communications products (which includes microphone products but not premium products) in our product mix increased from 66% in 2017-Q3 to 72% in 2018-Q3. Share of video products in the revenue during 2018-Q3 decreased from 24% in 2017-Q3 to 17% in 2018-Q3. Share of UC end points in the revenue increased from 10% in 2017-Q3 to 12% in 2018-Q3. During 2018-Q3, revenue declined across all regions except Canada and parts of Europe. The revenue declines for Asia Pacific including Middle East, Europe and Africa, and Americas were 53%, 13% and 30%,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gross profit for 2018-Q3 was approximately $3.0 million or 45% compared to approximately $6.5 million, or 62%, for 2017-Q3. Gross margin for 2018-Q3 declined due to an increase in inventory obsolescence costs, a decline in licensing revenues and reduced overhead absorption into inventory. The proportion of overhead costs absorbed into inventory has declined due to a sharp decline in our inventory purchasing activity causing increased amounts of overhead costs to be expensed rather than being carried with our inventory. Even though the total overhead spending has not increased, the combination of lower revenues and lower absorption has caused gross margin as a percentage of revenue to decline. 2017-Q3 included a large overseas project with a high margin - the absence of a similar project in 2018-Q3 also contributed to comparative decline in gross margin in 2018-Q3 and 2018YTD.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for 2018YTD was approximately $10.3 million or 49% compared to approximately $19.3 million, or 59%, for 2017YTD. Gross margin for 2018YTD declined due to increased inventory obsolescence costs, a decline in licensing revenues and due to lower absorption of overhead costs into inventory.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 Our long-term inventory includes approximately $2.7 million of wireless microphones related finished goods and assemblies, $2.4 million of Converge Pro 2 products and about $1.1 million of raw materials that will be used for manufacturing professional audio conferencing products. Any business changes that are adverse to these product lines could potentially impact our ability to sell these long-term inventory in addition to our current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$5.3 million for 2018-Q3 compared to $20.0 million for 2017-Q3. Total operating expenses for 2018YTD were $18.1 million compared to $34.3 million for 2017YTD. Total operating expenses in 2017-Q3 and 2017YTD included impairment of the goodwill and intangibles of $13.4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contains a more detailed discussion of expenses related to sales and marketing, research and product development, general and administrative, and other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S&amp;M expenses for 2018-Q3 decreased to $2.2 million from $3.0 million for 2017-Q3. The decrease was mainly due to decreases in employee related costs, commissions to employees and independent reps, payments to consultants and tradeshow related expenses. S&amp;M expenses for 2018YTD increased to $7.8 million from $8.4 million for 2017YTD. The decrease was mainly due to decreases in employee related costs, commissions to employees and independent reps and payments to consultants.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left="20"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R&amp;D expenses were approximately $1.8 million for 2018-Q3, as compared to $2.3 million for 2017-Q3. The decrease was primarily due to reductions in project related expenses and employee costs related to salaries and benefits. R&amp;D expenses were approximately $5.8 million for 2018YTD, as compared to $6.9 million for 2017YTD. The decrease was primarily due to reductions in project related expenses and employee costs related to salaries and benefits.</w:t>
      </w:r>
    </w:p>
    <w:p>
      <w:pPr>
        <w:spacing w:after="0" w:line="14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G&amp;A expenses remained the same at $1.3 million in 2017-Q3 and 2018-Q3. In 2018-Q3 and 2017-Q3 legal costs related to our defense of strategic patents from infringement amounting to $1.2 and $0.8 million, respectively were capitalized.</w:t>
      </w:r>
    </w:p>
    <w:p>
      <w:pPr>
        <w:spacing w:after="0" w:line="170"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G&amp;A expenses in 2018YTD was $4.5 million compared to $5.6 million in 2017YTD. The decline of approximately 20% was primarily due to the decrease in legal costs and employee costs related to salaries and benefits. Legal expenses in 2018YTD decreased mostly because of capitalization of legal costs related to our defense of strategic patents from infringement amounting to $3.6 million in 2018YTD compared to $0.8 million capitalized in 2017 YTD.</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u w:val="single" w:color="auto"/>
          <w:color w:val="auto"/>
        </w:rPr>
        <w:t>Impairment of Goodwill and an intangible asset</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At the end of September 30, 2017, based on the results of the Company’s impairment analysis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recognized a charge of $12.7 million towards goodwill impairment and $0.7 million towards the intangible asset impairment for the three and nine months ended September 30, 2017. There were no such impairment charges in 2018-Q3 or 2018YTD.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Other income reduced in 2018-Q3 and 2018YTD due to reduction in interest income caused by decline in the investment holdings and due to higher realized losses on liquidated investments.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nine months ended September 30, 2018, we accrued income taxes at the forecasted effective tax benefit rate of 0% as compared to the forecasted effective tax benefit rate of 36.1% used during the nine months ended September 30, 2017. The 36.1% decrease in the forecasted effective tax benefit rate was primarily due to the recording in 2018-Q3 of a full valuation allowance on the Company’s net deferred tax assets.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As of September 30, 2018, our cash and cash equivalents were approximately $2.5 million compared to $5.6 million as of December 31, 2017. Our working capital was $20.2 million and $23.3 million as of September 30, 2018 and December 31, 2017, respectively.</w:t>
      </w:r>
    </w:p>
    <w:p>
      <w:pPr>
        <w:spacing w:after="0" w:line="170"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Net cash used in operating activities was approximately $3.5 million for the nine months ended September 30, 2018, a decrease of cash used of approximately $4.1 million from $7.6 million of cash used in operating activities in the nine months ended September 30, 2017. The decrease in cash used was primarily due to an increase in cash inflows due to change in operating assets and liabilities of $9.0 million partially offset by an increase in net loss by $3.6 million and decrease in non-cash charges of $1.3 million.</w:t>
      </w:r>
    </w:p>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Net cash provided by investing activities was $1.3 million for the nine months ended September 30, 2018 compared to net cash flows provided by investing activities of $4.4 million during the nine months ended September 30, 2017, a decrease in cash provided of $3.2 million. The decrease was due to increase in capitalization of patent defense costs by $2.7 million and decrease in proceeds from marketable securities net of purchases of approximately $0.8 million, partially offset by a decline in purchases of property and equipment and intangibles.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Capitalization of patent defense costs</w:t>
      </w:r>
      <w:r>
        <w:rPr>
          <w:rFonts w:ascii="Arial" w:cs="Arial" w:eastAsia="Arial" w:hAnsi="Arial"/>
          <w:sz w:val="17"/>
          <w:szCs w:val="17"/>
          <w:color w:val="auto"/>
        </w:rPr>
        <w:t>. We capitalize external legal costs incurred in the defense of our patents when we believe that a significant, discernible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value will result from the defense and a successful outcome of the legal action is probable. When we capitalize patent defense costs we amortize the costs over the remaining estimated useful life of the patent, which is 15 to 17 years. During the nine months ended September 30, 2018 we spent $3.6 million of legal costs related to the defense of our patents and capitalized the entire amount.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approximately $0.7 million during the nine months ended September 30, 2018, which mainly consisted of cash outflows of $0.1 million on repurchase and cancellation of stock and $0.6 million for dividend payments. Net cash used in financing activities was approximately $6.0 million during the nine months ended September 30, 2017, which consisted of cash outflows of $4.4 million on repurchase and cancellation of stock and stock options and $1.7 million for dividend payments.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incurred approximately $7.4 million in expenses from 2016 through September 30, 2018 towards this litigation and may be required to incur more to continue to enforce our patents. We have been actively engaged in preserving cash by suspending our dividend program, allowing the share repurchase program to expire and implementing company-wide cost reduction measures. In addition, we expect to generate additional cash from our rights offering that we commenced on November 5, 2018 and as our inventory levels are brought down to historical levels. We also believe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we had open purchase orders related to our electronics manufacturing service providers of approximately $2.7 million, primarily related to inventory purchases.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2018, we had inventory totaling $21.6 million, of which non-current inventory accounted for $8.3 million. This compares to total inventories of $24.7 million and non-current inventory of $8.7 million as of December 31, 2017. Our non-current inventory includes approximately $2.7 million of wireless microphones related finished goods and assemblies, $2.4 million of Converge Pro 2 products and about $1.1 million of raw materials that will be used for manufacturing professional audio conferencing products. Any business changes that are adverse to these product lines could potentially impact our ability to sell these long-term inventory in addition to our current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2017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3: “Recent Accounting Pronouncements” in the notes to our unaudited consolidated financial statements included under Item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2018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September 30, 2018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address the material weakness, management is working with our third 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September 30, 2018,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 supplements the risk factors included in our Annual Report on Form 10-K for the fiscal year ended December 31, 2017:</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developments in the legal proceedings described in our Annual Report on Form 10-K for the year ended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expiry of this repurchase program in March 2018, the program was not renewed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18" w:right="239" w:bottom="102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27"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600" w:type="dxa"/>
            <w:vAlign w:val="bottom"/>
            <w:gridSpan w:val="8"/>
          </w:tcPr>
          <w:p>
            <w:pPr>
              <w:spacing w:after="0"/>
              <w:rPr>
                <w:sz w:val="20"/>
                <w:szCs w:val="20"/>
                <w:color w:val="auto"/>
              </w:rPr>
            </w:pPr>
            <w:r>
              <w:rPr>
                <w:rFonts w:ascii="Arial" w:cs="Arial" w:eastAsia="Arial" w:hAnsi="Arial"/>
                <w:sz w:val="18"/>
                <w:szCs w:val="18"/>
                <w:b w:val="1"/>
                <w:bCs w:val="1"/>
                <w:color w:val="auto"/>
              </w:rPr>
              <w:t>Title of Document</w:t>
            </w:r>
          </w:p>
        </w:tc>
      </w:tr>
      <w:tr>
        <w:trPr>
          <w:trHeight w:val="234"/>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600" w:type="dxa"/>
            <w:vAlign w:val="bottom"/>
            <w:gridSpan w:val="8"/>
          </w:tcPr>
          <w:p>
            <w:pPr>
              <w:spacing w:after="0"/>
              <w:rPr>
                <w:rFonts w:ascii="Arial" w:cs="Arial" w:eastAsia="Arial" w:hAnsi="Arial"/>
                <w:sz w:val="18"/>
                <w:szCs w:val="18"/>
                <w:color w:val="0000EE"/>
                <w:w w:val="92"/>
              </w:rPr>
            </w:pPr>
            <w:hyperlink r:id="rId30">
              <w:r>
                <w:rPr>
                  <w:rFonts w:ascii="Arial" w:cs="Arial" w:eastAsia="Arial" w:hAnsi="Arial"/>
                  <w:sz w:val="18"/>
                  <w:szCs w:val="18"/>
                  <w:color w:val="0000EE"/>
                  <w:w w:val="92"/>
                </w:rPr>
                <w:t>Certificate of Incorporation of ClearOne, Inc., as filed with the Secretary of the State of Delaware on October 25, 2018 (filed as Exhibit 3.1 to the</w:t>
              </w:r>
            </w:hyperlink>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Company’s Current Report on Form 8-K as filed with the SEC on October 29, 2018 and incorporated herein by reference).</w:t>
              </w:r>
            </w:hyperlink>
          </w:p>
        </w:tc>
        <w:tc>
          <w:tcPr>
            <w:tcW w:w="164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600" w:type="dxa"/>
            <w:vAlign w:val="bottom"/>
            <w:gridSpan w:val="8"/>
          </w:tcPr>
          <w:p>
            <w:pPr>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Bylaws of ClearOne, Inc. (filed as Exhibit 3.2 to the Company’s Current Report on Form 8-K as filed with the SEC on October 29, 2018 and</w:t>
              </w:r>
            </w:hyperlink>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incorporated herein by reference).</w:t>
              </w:r>
            </w:hyperlink>
          </w:p>
        </w:tc>
        <w:tc>
          <w:tcPr>
            <w:tcW w:w="460" w:type="dxa"/>
            <w:vAlign w:val="bottom"/>
            <w:gridSpan w:val="2"/>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Section 302</w:t>
              </w:r>
            </w:hyperlink>
          </w:p>
        </w:tc>
        <w:tc>
          <w:tcPr>
            <w:tcW w:w="9720" w:type="dxa"/>
            <w:vAlign w:val="bottom"/>
            <w:gridSpan w:val="7"/>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Chief Executive Officer (filed herewith)</w:t>
              </w:r>
            </w:hyperlink>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302</w:t>
              </w:r>
            </w:hyperlink>
          </w:p>
        </w:tc>
        <w:tc>
          <w:tcPr>
            <w:tcW w:w="9720" w:type="dxa"/>
            <w:vAlign w:val="bottom"/>
            <w:gridSpan w:val="7"/>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Financial Officer (filed herewith)</w:t>
              </w:r>
            </w:hyperlink>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906</w:t>
              </w:r>
            </w:hyperlink>
          </w:p>
        </w:tc>
        <w:tc>
          <w:tcPr>
            <w:tcW w:w="4260" w:type="dxa"/>
            <w:vAlign w:val="bottom"/>
            <w:tcBorders>
              <w:top w:val="single" w:sz="8" w:color="0000EE"/>
            </w:tcBorders>
            <w:gridSpan w:val="3"/>
          </w:tcPr>
          <w:p>
            <w:pPr>
              <w:ind w:left="2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Certification of Chief Executive Officer (filed herewith)</w:t>
              </w:r>
            </w:hyperlink>
          </w:p>
        </w:tc>
        <w:tc>
          <w:tcPr>
            <w:tcW w:w="5460" w:type="dxa"/>
            <w:vAlign w:val="bottom"/>
            <w:gridSpan w:val="4"/>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Section 906</w:t>
              </w:r>
            </w:hyperlink>
          </w:p>
        </w:tc>
        <w:tc>
          <w:tcPr>
            <w:tcW w:w="9720" w:type="dxa"/>
            <w:vAlign w:val="bottom"/>
            <w:gridSpan w:val="7"/>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Certification of Principal Financial Officer (filed herewith)</w:t>
              </w:r>
            </w:hyperlink>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51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 (filed herewith)</w:t>
            </w:r>
          </w:p>
        </w:tc>
        <w:tc>
          <w:tcPr>
            <w:tcW w:w="5460" w:type="dxa"/>
            <w:vAlign w:val="bottom"/>
            <w:gridSpan w:val="4"/>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5"/>
              </w:rPr>
              <w:t>101.DEF</w:t>
            </w:r>
          </w:p>
        </w:tc>
        <w:tc>
          <w:tcPr>
            <w:tcW w:w="12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4"/>
              </w:rPr>
              <w:t>101.PRE</w:t>
            </w:r>
          </w:p>
        </w:tc>
        <w:tc>
          <w:tcPr>
            <w:tcW w:w="120" w:type="dxa"/>
            <w:vAlign w:val="bottom"/>
          </w:tcPr>
          <w:p>
            <w:pPr>
              <w:spacing w:after="0"/>
              <w:rPr>
                <w:sz w:val="24"/>
                <w:szCs w:val="24"/>
                <w:color w:val="auto"/>
              </w:rPr>
            </w:pPr>
          </w:p>
        </w:tc>
        <w:tc>
          <w:tcPr>
            <w:tcW w:w="106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3"/>
          </w:tcPr>
          <w:p>
            <w:pPr>
              <w:ind w:left="3920"/>
              <w:spacing w:after="0"/>
              <w:rPr>
                <w:sz w:val="20"/>
                <w:szCs w:val="20"/>
                <w:color w:val="auto"/>
              </w:rPr>
            </w:pPr>
            <w:r>
              <w:rPr>
                <w:rFonts w:ascii="Arial" w:cs="Arial" w:eastAsia="Arial" w:hAnsi="Arial"/>
                <w:sz w:val="18"/>
                <w:szCs w:val="18"/>
                <w:color w:val="auto"/>
              </w:rPr>
              <w:t>21</w:t>
            </w:r>
          </w:p>
        </w:tc>
        <w:tc>
          <w:tcPr>
            <w:tcW w:w="3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ClearOne, Inc.,</w:t>
            </w:r>
          </w:p>
        </w:tc>
      </w:tr>
      <w:tr>
        <w:trPr>
          <w:trHeight w:val="230"/>
        </w:trPr>
        <w:tc>
          <w:tcPr>
            <w:tcW w:w="3480" w:type="dxa"/>
            <w:vAlign w:val="bottom"/>
          </w:tcPr>
          <w:p>
            <w:pPr>
              <w:spacing w:after="0"/>
              <w:rPr>
                <w:sz w:val="20"/>
                <w:szCs w:val="20"/>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(Registrant)</w:t>
            </w:r>
          </w:p>
        </w:tc>
      </w:tr>
      <w:tr>
        <w:trPr>
          <w:trHeight w:val="432"/>
        </w:trPr>
        <w:tc>
          <w:tcPr>
            <w:tcW w:w="3480" w:type="dxa"/>
            <w:vAlign w:val="bottom"/>
          </w:tcPr>
          <w:p>
            <w:pPr>
              <w:spacing w:after="0"/>
              <w:rPr>
                <w:sz w:val="24"/>
                <w:szCs w:val="24"/>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November 9, 2018</w:t>
            </w:r>
          </w:p>
        </w:tc>
        <w:tc>
          <w:tcPr>
            <w:tcW w:w="24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480" w:type="dxa"/>
            <w:vAlign w:val="bottom"/>
          </w:tcPr>
          <w:p>
            <w:pPr>
              <w:spacing w:after="0"/>
              <w:rPr>
                <w:sz w:val="24"/>
                <w:szCs w:val="24"/>
                <w:color w:val="auto"/>
              </w:rPr>
            </w:pPr>
          </w:p>
        </w:tc>
        <w:tc>
          <w:tcPr>
            <w:tcW w:w="79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November 9, 2018</w:t>
            </w:r>
          </w:p>
        </w:tc>
        <w:tc>
          <w:tcPr>
            <w:tcW w:w="24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2"/>
        </w:trPr>
        <w:tc>
          <w:tcPr>
            <w:tcW w:w="3480" w:type="dxa"/>
            <w:vAlign w:val="bottom"/>
          </w:tcPr>
          <w:p>
            <w:pPr>
              <w:spacing w:after="0"/>
              <w:rPr>
                <w:sz w:val="24"/>
                <w:szCs w:val="24"/>
                <w:color w:val="auto"/>
              </w:rPr>
            </w:pPr>
          </w:p>
        </w:tc>
        <w:tc>
          <w:tcPr>
            <w:tcW w:w="2480" w:type="dxa"/>
            <w:vAlign w:val="bottom"/>
          </w:tcPr>
          <w:p>
            <w:pPr>
              <w:ind w:left="2140"/>
              <w:spacing w:after="0"/>
              <w:rPr>
                <w:sz w:val="20"/>
                <w:szCs w:val="20"/>
                <w:color w:val="auto"/>
              </w:rPr>
            </w:pPr>
            <w:r>
              <w:rPr>
                <w:rFonts w:ascii="Arial" w:cs="Arial" w:eastAsia="Arial" w:hAnsi="Arial"/>
                <w:sz w:val="18"/>
                <w:szCs w:val="18"/>
                <w:color w:val="auto"/>
              </w:rPr>
              <w:t>22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9, 2018</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9, 2018</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9, 2018</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9, 2018</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hyperlink" Target="http://www.sec.gov/Archives/edgar/data/840715/000143774918018953/ex_1265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2019-12-28T18:16:56Z</dcterms:created>
  <dcterms:modified xsi:type="dcterms:W3CDTF">2019-12-28T18:16:56Z</dcterms:modified>
</cp:coreProperties>
</file>