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First Finance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520 NEWPORT CENTER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NEWPORT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CLEARONE INC</w:t>
              </w:r>
            </w:hyperlink>
            <w:r>
              <w:rPr/>
              <w:t xml:space="preserve"> [ </w:t>
            </w:r>
            <w:r>
              <w:rPr>
                <w:rFonts w:ascii="Times;serif" w:hAnsi="Times;serif"/>
                <w:color w:val="0000FF"/>
                <w:sz w:val="24"/>
                <w:shd w:fill="FFFFFF" w:val="clear"/>
              </w:rPr>
              <w:t>CLRO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1012"/>
        <w:gridCol w:w="449"/>
        <w:gridCol w:w="612"/>
        <w:gridCol w:w="127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437,500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w:t>
            </w:r>
            <w:r>
              <w:rPr/>
              <w:t xml:space="preserve"> </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1,641,162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Purchase Warrant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First Finance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520 NEWPORT CENTER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NEWPORT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HROMYK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520 NEWPORT CENTER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NEWPORT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2, 2026, First Finance Ltd. entered into a Securities Purchase Agreement with Clear One Inc. (the "Issuer") pursuant to which First Finance Ltd. agreed to acquire, for a total purchase price of $1,750,000, (i) 437,500 shares of the Issuer's common stock and (ii) a warrant to purchase up to 437,500 shares of common stock. The transaction is expected to close on or around March 6, 2026. The warrants are exercisable six months from the closing date and will expire two years from the closing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Hromyk Authorized Signatory of First Finance Ltd.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Hromyk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383" TargetMode="External"/><Relationship Id="rId5" Type="http://schemas.openxmlformats.org/officeDocument/2006/relationships/hyperlink" Target="http://www.sec.gov/cgi-bin/browse-edgar?action=getcompany&amp;CIK=00008407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57383" TargetMode="External"/><Relationship Id="rId9" Type="http://schemas.openxmlformats.org/officeDocument/2006/relationships/hyperlink" Target="http://www.sec.gov/cgi-bin/browse-edgar?action=getcompany&amp;CIK=000114568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3878</Characters>
  <CharactersWithSpaces>4506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