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UNITED STATES</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WASHINGTON, D.C. 20549</w:t>
      </w:r>
    </w:p>
    <w:p>
      <w:pPr>
        <w:spacing w:after="0" w:line="200" w:lineRule="exact"/>
        <w:rPr>
          <w:sz w:val="24"/>
          <w:szCs w:val="24"/>
          <w:color w:val="auto"/>
        </w:rPr>
      </w:pPr>
    </w:p>
    <w:p>
      <w:pPr>
        <w:spacing w:after="0" w:line="399" w:lineRule="exact"/>
        <w:rPr>
          <w:sz w:val="24"/>
          <w:szCs w:val="24"/>
          <w:color w:val="auto"/>
        </w:rPr>
      </w:pPr>
    </w:p>
    <w:p>
      <w:pPr>
        <w:ind w:left="372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(Mark One)</w:t>
      </w:r>
    </w:p>
    <w:p>
      <w:pPr>
        <w:spacing w:after="0" w:line="203" w:lineRule="exact"/>
        <w:rPr>
          <w:sz w:val="24"/>
          <w:szCs w:val="24"/>
          <w:color w:val="auto"/>
        </w:rPr>
      </w:pPr>
    </w:p>
    <w:p>
      <w:pPr>
        <w:ind w:left="520" w:right="1979" w:hanging="514"/>
        <w:spacing w:after="0" w:line="247" w:lineRule="auto"/>
        <w:tabs>
          <w:tab w:leader="none" w:pos="5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Report Pursuant to Section 13 or 15(d) of the Securities Exchange Act of 1934</w:t>
      </w:r>
    </w:p>
    <w:p>
      <w:pPr>
        <w:spacing w:after="0" w:line="198" w:lineRule="exact"/>
        <w:rPr>
          <w:sz w:val="24"/>
          <w:szCs w:val="24"/>
          <w:color w:val="auto"/>
        </w:rPr>
      </w:pPr>
    </w:p>
    <w:p>
      <w:pPr>
        <w:ind w:left="1660"/>
        <w:spacing w:after="0"/>
        <w:rPr>
          <w:sz w:val="20"/>
          <w:szCs w:val="20"/>
          <w:color w:val="auto"/>
        </w:rPr>
      </w:pPr>
      <w:r>
        <w:rPr>
          <w:rFonts w:ascii="Courier New" w:cs="Courier New" w:eastAsia="Courier New" w:hAnsi="Courier New"/>
          <w:sz w:val="17"/>
          <w:szCs w:val="17"/>
          <w:color w:val="auto"/>
        </w:rPr>
        <w:t>For the quarterly period ended September 30, 2002</w:t>
      </w:r>
    </w:p>
    <w:p>
      <w:pPr>
        <w:spacing w:after="0" w:line="5" w:lineRule="exact"/>
        <w:rPr>
          <w:sz w:val="24"/>
          <w:szCs w:val="24"/>
          <w:color w:val="auto"/>
        </w:rPr>
      </w:pPr>
    </w:p>
    <w:p>
      <w:pPr>
        <w:ind w:left="484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left="4020"/>
        <w:spacing w:after="0"/>
        <w:rPr>
          <w:sz w:val="20"/>
          <w:szCs w:val="20"/>
          <w:color w:val="auto"/>
        </w:rPr>
      </w:pPr>
      <w:r>
        <w:rPr>
          <w:rFonts w:ascii="Courier New" w:cs="Courier New" w:eastAsia="Courier New" w:hAnsi="Courier New"/>
          <w:sz w:val="17"/>
          <w:szCs w:val="17"/>
          <w:color w:val="auto"/>
        </w:rPr>
        <w:t>OR</w:t>
      </w:r>
    </w:p>
    <w:p>
      <w:pPr>
        <w:spacing w:after="0" w:line="203" w:lineRule="exact"/>
        <w:rPr>
          <w:sz w:val="24"/>
          <w:szCs w:val="24"/>
          <w:color w:val="auto"/>
        </w:rPr>
      </w:pPr>
    </w:p>
    <w:p>
      <w:pPr>
        <w:ind w:left="520" w:right="1979" w:hanging="514"/>
        <w:spacing w:after="0" w:line="247" w:lineRule="auto"/>
        <w:tabs>
          <w:tab w:leader="none" w:pos="21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Transition Report Pursuant to Section 13 or 15(d) of the Securities Exchange Act of 1934</w:t>
      </w:r>
    </w:p>
    <w:p>
      <w:pPr>
        <w:spacing w:after="0" w:line="198"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For the transition period from _______________ to _______________</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Commission file number: 0-17219</w:t>
      </w:r>
    </w:p>
    <w:p>
      <w:pPr>
        <w:spacing w:after="0" w:line="203"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CLEARONE COMMUNICATIONS, INC.</w:t>
      </w:r>
    </w:p>
    <w:p>
      <w:pPr>
        <w:spacing w:after="0" w:line="5"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pacing w:after="0" w:line="203" w:lineRule="exact"/>
        <w:rPr>
          <w:sz w:val="24"/>
          <w:szCs w:val="24"/>
          <w:color w:val="auto"/>
        </w:rPr>
      </w:pPr>
    </w:p>
    <w:tbl>
      <w:tblPr>
        <w:tblLayout w:type="fixed"/>
        <w:tblInd w:w="220" w:type="dxa"/>
        <w:tblCellMar>
          <w:top w:w="0" w:type="dxa"/>
          <w:left w:w="0" w:type="dxa"/>
          <w:bottom w:w="0" w:type="dxa"/>
          <w:right w:w="0" w:type="dxa"/>
        </w:tblCellMar>
      </w:tblPr>
      <w:tr>
        <w:trPr>
          <w:trHeight w:val="193"/>
        </w:trPr>
        <w:tc>
          <w:tcPr>
            <w:tcW w:w="4460" w:type="dxa"/>
            <w:vAlign w:val="bottom"/>
          </w:tcPr>
          <w:p>
            <w:pPr>
              <w:jc w:val="center"/>
              <w:ind w:right="74"/>
              <w:spacing w:after="0"/>
              <w:rPr>
                <w:sz w:val="20"/>
                <w:szCs w:val="20"/>
                <w:color w:val="auto"/>
              </w:rPr>
            </w:pPr>
            <w:r>
              <w:rPr>
                <w:rFonts w:ascii="Courier New" w:cs="Courier New" w:eastAsia="Courier New" w:hAnsi="Courier New"/>
                <w:sz w:val="17"/>
                <w:szCs w:val="17"/>
                <w:color w:val="auto"/>
              </w:rPr>
              <w:t>Utah</w:t>
            </w:r>
          </w:p>
        </w:tc>
        <w:tc>
          <w:tcPr>
            <w:tcW w:w="232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87-0398877</w:t>
            </w:r>
          </w:p>
        </w:tc>
      </w:tr>
      <w:tr>
        <w:trPr>
          <w:trHeight w:val="198"/>
        </w:trPr>
        <w:tc>
          <w:tcPr>
            <w:tcW w:w="4460" w:type="dxa"/>
            <w:vAlign w:val="bottom"/>
          </w:tcPr>
          <w:p>
            <w:pPr>
              <w:jc w:val="center"/>
              <w:ind w:right="74"/>
              <w:spacing w:after="0"/>
              <w:rPr>
                <w:sz w:val="20"/>
                <w:szCs w:val="20"/>
                <w:color w:val="auto"/>
              </w:rPr>
            </w:pPr>
            <w:r>
              <w:rPr>
                <w:rFonts w:ascii="Courier New" w:cs="Courier New" w:eastAsia="Courier New" w:hAnsi="Courier New"/>
                <w:sz w:val="17"/>
                <w:szCs w:val="17"/>
                <w:color w:val="auto"/>
              </w:rPr>
              <w:t>----------------------------------</w:t>
            </w:r>
          </w:p>
        </w:tc>
        <w:tc>
          <w:tcPr>
            <w:tcW w:w="2320" w:type="dxa"/>
            <w:vAlign w:val="bottom"/>
          </w:tcPr>
          <w:p>
            <w:pPr>
              <w:jc w:val="center"/>
              <w:ind w:left="74"/>
              <w:spacing w:after="0"/>
              <w:rPr>
                <w:sz w:val="20"/>
                <w:szCs w:val="20"/>
                <w:color w:val="auto"/>
              </w:rPr>
            </w:pPr>
            <w:r>
              <w:rPr>
                <w:rFonts w:ascii="Courier New" w:cs="Courier New" w:eastAsia="Courier New" w:hAnsi="Courier New"/>
                <w:sz w:val="17"/>
                <w:szCs w:val="17"/>
                <w:color w:val="auto"/>
              </w:rPr>
              <w:t>---------------------</w:t>
            </w:r>
          </w:p>
        </w:tc>
      </w:tr>
      <w:tr>
        <w:trPr>
          <w:trHeight w:val="198"/>
        </w:trPr>
        <w:tc>
          <w:tcPr>
            <w:tcW w:w="4460" w:type="dxa"/>
            <w:vAlign w:val="bottom"/>
          </w:tcPr>
          <w:p>
            <w:pPr>
              <w:jc w:val="center"/>
              <w:ind w:right="54"/>
              <w:spacing w:after="0"/>
              <w:rPr>
                <w:sz w:val="20"/>
                <w:szCs w:val="20"/>
                <w:color w:val="auto"/>
              </w:rPr>
            </w:pPr>
            <w:r>
              <w:rPr>
                <w:rFonts w:ascii="Courier New" w:cs="Courier New" w:eastAsia="Courier New" w:hAnsi="Courier New"/>
                <w:sz w:val="17"/>
                <w:szCs w:val="17"/>
                <w:color w:val="auto"/>
              </w:rPr>
              <w:t>(State or other jurisdiction</w:t>
            </w:r>
          </w:p>
        </w:tc>
        <w:tc>
          <w:tcPr>
            <w:tcW w:w="2320" w:type="dxa"/>
            <w:vAlign w:val="bottom"/>
          </w:tcPr>
          <w:p>
            <w:pPr>
              <w:jc w:val="center"/>
              <w:spacing w:after="0"/>
              <w:rPr>
                <w:sz w:val="20"/>
                <w:szCs w:val="20"/>
                <w:color w:val="auto"/>
              </w:rPr>
            </w:pPr>
            <w:r>
              <w:rPr>
                <w:rFonts w:ascii="Courier New" w:cs="Courier New" w:eastAsia="Courier New" w:hAnsi="Courier New"/>
                <w:sz w:val="17"/>
                <w:szCs w:val="17"/>
                <w:color w:val="auto"/>
              </w:rPr>
              <w:t>(I.R.S. Employer</w:t>
            </w:r>
          </w:p>
        </w:tc>
      </w:tr>
      <w:tr>
        <w:trPr>
          <w:trHeight w:val="198"/>
        </w:trPr>
        <w:tc>
          <w:tcPr>
            <w:tcW w:w="4460" w:type="dxa"/>
            <w:vAlign w:val="bottom"/>
          </w:tcPr>
          <w:p>
            <w:pPr>
              <w:ind w:left="500"/>
              <w:spacing w:after="0"/>
              <w:rPr>
                <w:sz w:val="20"/>
                <w:szCs w:val="20"/>
                <w:color w:val="auto"/>
              </w:rPr>
            </w:pPr>
            <w:r>
              <w:rPr>
                <w:rFonts w:ascii="Courier New" w:cs="Courier New" w:eastAsia="Courier New" w:hAnsi="Courier New"/>
                <w:sz w:val="17"/>
                <w:szCs w:val="17"/>
                <w:color w:val="auto"/>
              </w:rPr>
              <w:t>of incorporation or organization)</w:t>
            </w:r>
          </w:p>
        </w:tc>
        <w:tc>
          <w:tcPr>
            <w:tcW w:w="2320" w:type="dxa"/>
            <w:vAlign w:val="bottom"/>
          </w:tcPr>
          <w:p>
            <w:pPr>
              <w:ind w:left="260"/>
              <w:spacing w:after="0"/>
              <w:rPr>
                <w:sz w:val="20"/>
                <w:szCs w:val="20"/>
                <w:color w:val="auto"/>
              </w:rPr>
            </w:pPr>
            <w:r>
              <w:rPr>
                <w:rFonts w:ascii="Courier New" w:cs="Courier New" w:eastAsia="Courier New" w:hAnsi="Courier New"/>
                <w:sz w:val="17"/>
                <w:szCs w:val="17"/>
                <w:color w:val="auto"/>
              </w:rPr>
              <w:t>Identification No.)</w:t>
            </w:r>
          </w:p>
        </w:tc>
      </w:tr>
      <w:tr>
        <w:trPr>
          <w:trHeight w:val="594"/>
        </w:trPr>
        <w:tc>
          <w:tcPr>
            <w:tcW w:w="4460" w:type="dxa"/>
            <w:vAlign w:val="bottom"/>
          </w:tcPr>
          <w:p>
            <w:pPr>
              <w:ind w:left="100"/>
              <w:spacing w:after="0"/>
              <w:rPr>
                <w:sz w:val="20"/>
                <w:szCs w:val="20"/>
                <w:color w:val="auto"/>
              </w:rPr>
            </w:pPr>
            <w:r>
              <w:rPr>
                <w:rFonts w:ascii="Courier New" w:cs="Courier New" w:eastAsia="Courier New" w:hAnsi="Courier New"/>
                <w:sz w:val="17"/>
                <w:szCs w:val="17"/>
                <w:color w:val="auto"/>
              </w:rPr>
              <w:t>1825 Research Way, Salt Lake City, Utah</w:t>
            </w:r>
          </w:p>
        </w:tc>
        <w:tc>
          <w:tcPr>
            <w:tcW w:w="2320" w:type="dxa"/>
            <w:vAlign w:val="bottom"/>
          </w:tcPr>
          <w:p>
            <w:pPr>
              <w:jc w:val="center"/>
              <w:ind w:left="74"/>
              <w:spacing w:after="0"/>
              <w:rPr>
                <w:sz w:val="20"/>
                <w:szCs w:val="20"/>
                <w:color w:val="auto"/>
              </w:rPr>
            </w:pPr>
            <w:r>
              <w:rPr>
                <w:rFonts w:ascii="Courier New" w:cs="Courier New" w:eastAsia="Courier New" w:hAnsi="Courier New"/>
                <w:sz w:val="17"/>
                <w:szCs w:val="17"/>
                <w:color w:val="auto"/>
              </w:rPr>
              <w:t>84119</w:t>
            </w:r>
          </w:p>
        </w:tc>
      </w:tr>
      <w:tr>
        <w:trPr>
          <w:trHeight w:val="198"/>
        </w:trPr>
        <w:tc>
          <w:tcPr>
            <w:tcW w:w="4460" w:type="dxa"/>
            <w:vAlign w:val="bottom"/>
          </w:tcPr>
          <w:p>
            <w:pPr>
              <w:jc w:val="center"/>
              <w:ind w:right="54"/>
              <w:spacing w:after="0"/>
              <w:rPr>
                <w:sz w:val="20"/>
                <w:szCs w:val="20"/>
                <w:color w:val="auto"/>
              </w:rPr>
            </w:pPr>
            <w:r>
              <w:rPr>
                <w:rFonts w:ascii="Courier New" w:cs="Courier New" w:eastAsia="Courier New" w:hAnsi="Courier New"/>
                <w:sz w:val="17"/>
                <w:szCs w:val="17"/>
                <w:color w:val="auto"/>
              </w:rPr>
              <w:t>------------------------------------------</w:t>
            </w:r>
          </w:p>
        </w:tc>
        <w:tc>
          <w:tcPr>
            <w:tcW w:w="2320" w:type="dxa"/>
            <w:vAlign w:val="bottom"/>
          </w:tcPr>
          <w:p>
            <w:pPr>
              <w:jc w:val="center"/>
              <w:ind w:left="94"/>
              <w:spacing w:after="0"/>
              <w:rPr>
                <w:sz w:val="20"/>
                <w:szCs w:val="20"/>
                <w:color w:val="auto"/>
              </w:rPr>
            </w:pPr>
            <w:r>
              <w:rPr>
                <w:rFonts w:ascii="Courier New" w:cs="Courier New" w:eastAsia="Courier New" w:hAnsi="Courier New"/>
                <w:sz w:val="17"/>
                <w:szCs w:val="17"/>
                <w:color w:val="auto"/>
              </w:rPr>
              <w:t>-----------</w:t>
            </w:r>
          </w:p>
        </w:tc>
      </w:tr>
      <w:tr>
        <w:trPr>
          <w:trHeight w:val="198"/>
        </w:trPr>
        <w:tc>
          <w:tcPr>
            <w:tcW w:w="4460" w:type="dxa"/>
            <w:vAlign w:val="bottom"/>
          </w:tcPr>
          <w:p>
            <w:pPr>
              <w:jc w:val="center"/>
              <w:ind w:right="54"/>
              <w:spacing w:after="0"/>
              <w:rPr>
                <w:sz w:val="20"/>
                <w:szCs w:val="20"/>
                <w:color w:val="auto"/>
              </w:rPr>
            </w:pPr>
            <w:r>
              <w:rPr>
                <w:rFonts w:ascii="Courier New" w:cs="Courier New" w:eastAsia="Courier New" w:hAnsi="Courier New"/>
                <w:sz w:val="17"/>
                <w:szCs w:val="17"/>
                <w:color w:val="auto"/>
              </w:rPr>
              <w:t>(Address of principal executive offices)</w:t>
            </w:r>
          </w:p>
        </w:tc>
        <w:tc>
          <w:tcPr>
            <w:tcW w:w="2320" w:type="dxa"/>
            <w:vAlign w:val="bottom"/>
          </w:tcPr>
          <w:p>
            <w:pPr>
              <w:ind w:left="780"/>
              <w:spacing w:after="0"/>
              <w:rPr>
                <w:sz w:val="20"/>
                <w:szCs w:val="20"/>
                <w:color w:val="auto"/>
              </w:rPr>
            </w:pPr>
            <w:r>
              <w:rPr>
                <w:rFonts w:ascii="Courier New" w:cs="Courier New" w:eastAsia="Courier New" w:hAnsi="Courier New"/>
                <w:sz w:val="17"/>
                <w:szCs w:val="17"/>
                <w:color w:val="auto"/>
              </w:rPr>
              <w:t>(Zip Code)</w:t>
            </w:r>
          </w:p>
        </w:tc>
      </w:tr>
    </w:tbl>
    <w:p>
      <w:pPr>
        <w:spacing w:after="0" w:line="203" w:lineRule="exact"/>
        <w:rPr>
          <w:sz w:val="24"/>
          <w:szCs w:val="24"/>
          <w:color w:val="auto"/>
        </w:rPr>
      </w:pPr>
    </w:p>
    <w:p>
      <w:pPr>
        <w:ind w:left="1860"/>
        <w:spacing w:after="0"/>
        <w:rPr>
          <w:sz w:val="20"/>
          <w:szCs w:val="20"/>
          <w:color w:val="auto"/>
        </w:rPr>
      </w:pPr>
      <w:r>
        <w:rPr>
          <w:rFonts w:ascii="Courier New" w:cs="Courier New" w:eastAsia="Courier New" w:hAnsi="Courier New"/>
          <w:sz w:val="17"/>
          <w:szCs w:val="17"/>
          <w:color w:val="auto"/>
        </w:rPr>
        <w:t>Registrant's telephone number: (801) 975-7200</w:t>
      </w:r>
    </w:p>
    <w:p>
      <w:pPr>
        <w:spacing w:after="0" w:line="5" w:lineRule="exact"/>
        <w:rPr>
          <w:sz w:val="24"/>
          <w:szCs w:val="24"/>
          <w:color w:val="auto"/>
        </w:rPr>
      </w:pPr>
    </w:p>
    <w:p>
      <w:pPr>
        <w:ind w:left="506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Indicate by check whether the issuer (1) filed all reports required to be filed by Section 13 or 15(d) of the Securities Exchange Act during the preceding 12 months (or for such shorter period that the registrant was required to file such reports), and (2) has been subject to such filing requirements for the past 90 days.</w:t>
      </w:r>
    </w:p>
    <w:p>
      <w:pPr>
        <w:spacing w:after="0" w:line="201" w:lineRule="exact"/>
        <w:rPr>
          <w:sz w:val="24"/>
          <w:szCs w:val="24"/>
          <w:color w:val="auto"/>
        </w:rPr>
      </w:pPr>
    </w:p>
    <w:p>
      <w:pPr>
        <w:ind w:left="3400"/>
        <w:spacing w:after="0"/>
        <w:rPr>
          <w:sz w:val="20"/>
          <w:szCs w:val="20"/>
          <w:color w:val="auto"/>
        </w:rPr>
      </w:pPr>
      <w:r>
        <w:rPr>
          <w:rFonts w:ascii="Courier New" w:cs="Courier New" w:eastAsia="Courier New" w:hAnsi="Courier New"/>
          <w:sz w:val="17"/>
          <w:szCs w:val="17"/>
          <w:color w:val="auto"/>
        </w:rPr>
        <w:t>[X] Yes [ ] No</w:t>
      </w:r>
    </w:p>
    <w:p>
      <w:pPr>
        <w:spacing w:after="0" w:line="203" w:lineRule="exact"/>
        <w:rPr>
          <w:sz w:val="24"/>
          <w:szCs w:val="24"/>
          <w:color w:val="auto"/>
        </w:rPr>
      </w:pPr>
    </w:p>
    <w:p>
      <w:pPr>
        <w:ind w:right="2399"/>
        <w:spacing w:after="0" w:line="247" w:lineRule="auto"/>
        <w:rPr>
          <w:sz w:val="20"/>
          <w:szCs w:val="20"/>
          <w:color w:val="auto"/>
        </w:rPr>
      </w:pPr>
      <w:r>
        <w:rPr>
          <w:rFonts w:ascii="Courier New" w:cs="Courier New" w:eastAsia="Courier New" w:hAnsi="Courier New"/>
          <w:sz w:val="17"/>
          <w:szCs w:val="17"/>
          <w:color w:val="auto"/>
        </w:rPr>
        <w:t>Indicate the number of shares outstanding of each of the issuer's classes of common stock as of the latest practicable date.</w:t>
      </w:r>
    </w:p>
    <w:p>
      <w:pPr>
        <w:spacing w:after="0" w:line="198" w:lineRule="exact"/>
        <w:rPr>
          <w:sz w:val="24"/>
          <w:szCs w:val="24"/>
          <w:color w:val="auto"/>
        </w:rPr>
      </w:pPr>
    </w:p>
    <w:tbl>
      <w:tblPr>
        <w:tblLayout w:type="fixed"/>
        <w:tblInd w:w="620" w:type="dxa"/>
        <w:tblCellMar>
          <w:top w:w="0" w:type="dxa"/>
          <w:left w:w="0" w:type="dxa"/>
          <w:bottom w:w="0" w:type="dxa"/>
          <w:right w:w="0" w:type="dxa"/>
        </w:tblCellMar>
      </w:tblPr>
      <w:tr>
        <w:trPr>
          <w:trHeight w:val="193"/>
        </w:trPr>
        <w:tc>
          <w:tcPr>
            <w:tcW w:w="3660" w:type="dxa"/>
            <w:vAlign w:val="bottom"/>
          </w:tcPr>
          <w:p>
            <w:pPr>
              <w:spacing w:after="0"/>
              <w:rPr>
                <w:sz w:val="16"/>
                <w:szCs w:val="16"/>
                <w:color w:val="auto"/>
              </w:rPr>
            </w:pPr>
          </w:p>
        </w:tc>
        <w:tc>
          <w:tcPr>
            <w:tcW w:w="2820" w:type="dxa"/>
            <w:vAlign w:val="bottom"/>
          </w:tcPr>
          <w:p>
            <w:pPr>
              <w:jc w:val="center"/>
              <w:ind w:left="494"/>
              <w:spacing w:after="0"/>
              <w:rPr>
                <w:sz w:val="20"/>
                <w:szCs w:val="20"/>
                <w:color w:val="auto"/>
              </w:rPr>
            </w:pPr>
            <w:r>
              <w:rPr>
                <w:rFonts w:ascii="Courier New" w:cs="Courier New" w:eastAsia="Courier New" w:hAnsi="Courier New"/>
                <w:sz w:val="17"/>
                <w:szCs w:val="17"/>
                <w:color w:val="auto"/>
              </w:rPr>
              <w:t>Shares Outstanding</w:t>
            </w:r>
          </w:p>
        </w:tc>
      </w:tr>
      <w:tr>
        <w:trPr>
          <w:trHeight w:val="198"/>
        </w:trPr>
        <w:tc>
          <w:tcPr>
            <w:tcW w:w="366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Description of Class</w:t>
            </w:r>
          </w:p>
        </w:tc>
        <w:tc>
          <w:tcPr>
            <w:tcW w:w="2820" w:type="dxa"/>
            <w:vAlign w:val="bottom"/>
          </w:tcPr>
          <w:p>
            <w:pPr>
              <w:jc w:val="center"/>
              <w:ind w:left="474"/>
              <w:spacing w:after="0"/>
              <w:rPr>
                <w:sz w:val="20"/>
                <w:szCs w:val="20"/>
                <w:color w:val="auto"/>
              </w:rPr>
            </w:pPr>
            <w:r>
              <w:rPr>
                <w:rFonts w:ascii="Courier New" w:cs="Courier New" w:eastAsia="Courier New" w:hAnsi="Courier New"/>
                <w:sz w:val="17"/>
                <w:szCs w:val="17"/>
                <w:color w:val="auto"/>
              </w:rPr>
              <w:t>as of November 1, 2002</w:t>
            </w:r>
          </w:p>
        </w:tc>
      </w:tr>
      <w:tr>
        <w:trPr>
          <w:trHeight w:val="198"/>
        </w:trPr>
        <w:tc>
          <w:tcPr>
            <w:tcW w:w="366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w:t>
            </w:r>
          </w:p>
        </w:tc>
        <w:tc>
          <w:tcPr>
            <w:tcW w:w="2820" w:type="dxa"/>
            <w:vAlign w:val="bottom"/>
          </w:tcPr>
          <w:p>
            <w:pPr>
              <w:jc w:val="center"/>
              <w:ind w:left="474"/>
              <w:spacing w:after="0"/>
              <w:rPr>
                <w:sz w:val="20"/>
                <w:szCs w:val="20"/>
                <w:color w:val="auto"/>
              </w:rPr>
            </w:pPr>
            <w:r>
              <w:rPr>
                <w:rFonts w:ascii="Courier New" w:cs="Courier New" w:eastAsia="Courier New" w:hAnsi="Courier New"/>
                <w:sz w:val="17"/>
                <w:szCs w:val="17"/>
                <w:color w:val="auto"/>
              </w:rPr>
              <w:t>----------------------</w:t>
            </w:r>
          </w:p>
        </w:tc>
      </w:tr>
      <w:tr>
        <w:trPr>
          <w:trHeight w:val="198"/>
        </w:trPr>
        <w:tc>
          <w:tcPr>
            <w:tcW w:w="3660" w:type="dxa"/>
            <w:vAlign w:val="bottom"/>
          </w:tcPr>
          <w:p>
            <w:pPr>
              <w:jc w:val="center"/>
              <w:ind w:right="474"/>
              <w:spacing w:after="0"/>
              <w:rPr>
                <w:sz w:val="20"/>
                <w:szCs w:val="20"/>
                <w:color w:val="auto"/>
              </w:rPr>
            </w:pPr>
            <w:r>
              <w:rPr>
                <w:rFonts w:ascii="Courier New" w:cs="Courier New" w:eastAsia="Courier New" w:hAnsi="Courier New"/>
                <w:sz w:val="17"/>
                <w:szCs w:val="17"/>
                <w:color w:val="auto"/>
              </w:rPr>
              <w:t>Common Stock, $0.001 par value</w:t>
            </w:r>
          </w:p>
        </w:tc>
        <w:tc>
          <w:tcPr>
            <w:tcW w:w="2820" w:type="dxa"/>
            <w:vAlign w:val="bottom"/>
          </w:tcPr>
          <w:p>
            <w:pPr>
              <w:jc w:val="center"/>
              <w:ind w:left="494"/>
              <w:spacing w:after="0"/>
              <w:rPr>
                <w:sz w:val="20"/>
                <w:szCs w:val="20"/>
                <w:color w:val="auto"/>
              </w:rPr>
            </w:pPr>
            <w:r>
              <w:rPr>
                <w:rFonts w:ascii="Courier New" w:cs="Courier New" w:eastAsia="Courier New" w:hAnsi="Courier New"/>
                <w:sz w:val="17"/>
                <w:szCs w:val="17"/>
                <w:color w:val="auto"/>
              </w:rPr>
              <w:t>11,207,580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CLEARONE COMMUNICATIONS, INC.</w:t>
      </w:r>
    </w:p>
    <w:p>
      <w:pPr>
        <w:spacing w:after="0" w:line="203" w:lineRule="exact"/>
        <w:rPr>
          <w:sz w:val="24"/>
          <w:szCs w:val="24"/>
          <w:color w:val="auto"/>
        </w:rPr>
      </w:pPr>
    </w:p>
    <w:p>
      <w:pPr>
        <w:ind w:left="3920"/>
        <w:spacing w:after="0"/>
        <w:rPr>
          <w:sz w:val="20"/>
          <w:szCs w:val="20"/>
          <w:color w:val="auto"/>
        </w:rPr>
      </w:pPr>
      <w:r>
        <w:rPr>
          <w:rFonts w:ascii="Courier New" w:cs="Courier New" w:eastAsia="Courier New" w:hAnsi="Courier New"/>
          <w:sz w:val="17"/>
          <w:szCs w:val="17"/>
          <w:color w:val="auto"/>
        </w:rPr>
        <w:t>INDEX</w:t>
      </w:r>
    </w:p>
    <w:p>
      <w:pPr>
        <w:spacing w:after="0" w:line="200" w:lineRule="exact"/>
        <w:rPr>
          <w:sz w:val="24"/>
          <w:szCs w:val="24"/>
          <w:color w:val="auto"/>
        </w:rPr>
      </w:pPr>
    </w:p>
    <w:p>
      <w:pPr>
        <w:spacing w:after="0" w:line="201" w:lineRule="exact"/>
        <w:rPr>
          <w:sz w:val="24"/>
          <w:szCs w:val="24"/>
          <w:color w:val="auto"/>
        </w:rPr>
      </w:pPr>
    </w:p>
    <w:p>
      <w:pPr>
        <w:jc w:val="center"/>
        <w:ind w:left="4440"/>
        <w:spacing w:after="0"/>
        <w:rPr>
          <w:sz w:val="20"/>
          <w:szCs w:val="20"/>
          <w:color w:val="auto"/>
        </w:rPr>
      </w:pPr>
      <w:r>
        <w:rPr>
          <w:rFonts w:ascii="Courier New" w:cs="Courier New" w:eastAsia="Courier New" w:hAnsi="Courier New"/>
          <w:sz w:val="17"/>
          <w:szCs w:val="17"/>
          <w:color w:val="auto"/>
        </w:rPr>
        <w:t>Page</w:t>
      </w:r>
    </w:p>
    <w:p>
      <w:pPr>
        <w:spacing w:after="0" w:line="5" w:lineRule="exact"/>
        <w:rPr>
          <w:sz w:val="24"/>
          <w:szCs w:val="24"/>
          <w:color w:val="auto"/>
        </w:rPr>
      </w:pPr>
    </w:p>
    <w:p>
      <w:pPr>
        <w:jc w:val="center"/>
        <w:ind w:left="4440"/>
        <w:spacing w:after="0"/>
        <w:rPr>
          <w:sz w:val="20"/>
          <w:szCs w:val="20"/>
          <w:color w:val="auto"/>
        </w:rPr>
      </w:pPr>
      <w:r>
        <w:rPr>
          <w:rFonts w:ascii="Courier New" w:cs="Courier New" w:eastAsia="Courier New" w:hAnsi="Courier New"/>
          <w:sz w:val="17"/>
          <w:szCs w:val="17"/>
          <w:color w:val="auto"/>
        </w:rPr>
        <w:t>Number</w:t>
      </w:r>
    </w:p>
    <w:p>
      <w:pPr>
        <w:spacing w:after="0" w:line="5" w:lineRule="exact"/>
        <w:rPr>
          <w:sz w:val="24"/>
          <w:szCs w:val="24"/>
          <w:color w:val="auto"/>
        </w:rPr>
      </w:pPr>
    </w:p>
    <w:p>
      <w:pPr>
        <w:ind w:left="7620"/>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4"/>
          <w:szCs w:val="24"/>
          <w:color w:val="auto"/>
        </w:rPr>
      </w:pPr>
    </w:p>
    <w:p>
      <w:pPr>
        <w:spacing w:after="0"/>
        <w:tabs>
          <w:tab w:leader="none" w:pos="2040" w:val="left"/>
        </w:tabs>
        <w:rPr>
          <w:sz w:val="20"/>
          <w:szCs w:val="20"/>
          <w:color w:val="auto"/>
        </w:rPr>
      </w:pPr>
      <w:r>
        <w:rPr>
          <w:rFonts w:ascii="Courier New" w:cs="Courier New" w:eastAsia="Courier New" w:hAnsi="Courier New"/>
          <w:sz w:val="17"/>
          <w:szCs w:val="17"/>
          <w:color w:val="auto"/>
        </w:rPr>
        <w:t>PART I - FINANCIAL</w:t>
        <w:tab/>
        <w:t>INFORMATION</w:t>
      </w:r>
    </w:p>
    <w:p>
      <w:pPr>
        <w:spacing w:after="0" w:line="203" w:lineRule="exact"/>
        <w:rPr>
          <w:sz w:val="24"/>
          <w:szCs w:val="24"/>
          <w:color w:val="auto"/>
        </w:rPr>
      </w:pPr>
    </w:p>
    <w:p>
      <w:pPr>
        <w:ind w:left="220"/>
        <w:spacing w:after="0"/>
        <w:tabs>
          <w:tab w:leader="none" w:pos="1120" w:val="left"/>
        </w:tabs>
        <w:rPr>
          <w:sz w:val="20"/>
          <w:szCs w:val="20"/>
          <w:color w:val="auto"/>
        </w:rPr>
      </w:pPr>
      <w:r>
        <w:rPr>
          <w:rFonts w:ascii="Courier New" w:cs="Courier New" w:eastAsia="Courier New" w:hAnsi="Courier New"/>
          <w:sz w:val="17"/>
          <w:szCs w:val="17"/>
          <w:color w:val="auto"/>
        </w:rPr>
        <w:t>Item 1.</w:t>
        <w:tab/>
        <w:t>Consolidated Financial Statements</w:t>
      </w:r>
    </w:p>
    <w:p>
      <w:pPr>
        <w:spacing w:after="0" w:line="203"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Consolidated Balance Sheets</w:t>
      </w:r>
    </w:p>
    <w:p>
      <w:pPr>
        <w:spacing w:after="0" w:line="5" w:lineRule="exact"/>
        <w:rPr>
          <w:sz w:val="24"/>
          <w:szCs w:val="24"/>
          <w:color w:val="auto"/>
        </w:rPr>
      </w:pPr>
    </w:p>
    <w:p>
      <w:pPr>
        <w:ind w:left="1340"/>
        <w:spacing w:after="0"/>
        <w:tabs>
          <w:tab w:leader="dot" w:pos="7920" w:val="left"/>
        </w:tabs>
        <w:rPr>
          <w:sz w:val="20"/>
          <w:szCs w:val="20"/>
          <w:color w:val="auto"/>
        </w:rPr>
      </w:pPr>
      <w:r>
        <w:rPr>
          <w:rFonts w:ascii="Courier New" w:cs="Courier New" w:eastAsia="Courier New" w:hAnsi="Courier New"/>
          <w:sz w:val="17"/>
          <w:szCs w:val="17"/>
          <w:color w:val="auto"/>
        </w:rPr>
        <w:t>September 30, 2002 (unaudited) and June 30, 2002</w:t>
      </w:r>
      <w:r>
        <w:rPr>
          <w:sz w:val="20"/>
          <w:szCs w:val="20"/>
          <w:color w:val="auto"/>
        </w:rPr>
        <w:tab/>
      </w:r>
      <w:r>
        <w:rPr>
          <w:rFonts w:ascii="Courier New" w:cs="Courier New" w:eastAsia="Courier New" w:hAnsi="Courier New"/>
          <w:sz w:val="16"/>
          <w:szCs w:val="16"/>
          <w:color w:val="auto"/>
        </w:rPr>
        <w:t>3</w:t>
      </w:r>
    </w:p>
    <w:p>
      <w:pPr>
        <w:spacing w:after="0" w:line="200" w:lineRule="exact"/>
        <w:rPr>
          <w:sz w:val="24"/>
          <w:szCs w:val="24"/>
          <w:color w:val="auto"/>
        </w:rPr>
      </w:pPr>
    </w:p>
    <w:p>
      <w:pPr>
        <w:spacing w:after="0" w:line="201" w:lineRule="exact"/>
        <w:rPr>
          <w:sz w:val="24"/>
          <w:szCs w:val="24"/>
          <w:color w:val="auto"/>
        </w:rPr>
      </w:pPr>
    </w:p>
    <w:p>
      <w:pPr>
        <w:ind w:left="114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5" w:lineRule="exact"/>
        <w:rPr>
          <w:sz w:val="24"/>
          <w:szCs w:val="24"/>
          <w:color w:val="auto"/>
        </w:rPr>
      </w:pPr>
    </w:p>
    <w:p>
      <w:pPr>
        <w:ind w:left="1340"/>
        <w:spacing w:after="0"/>
        <w:tabs>
          <w:tab w:leader="dot" w:pos="7920" w:val="left"/>
        </w:tabs>
        <w:rPr>
          <w:sz w:val="20"/>
          <w:szCs w:val="20"/>
          <w:color w:val="auto"/>
        </w:rPr>
      </w:pPr>
      <w:r>
        <w:rPr>
          <w:rFonts w:ascii="Courier New" w:cs="Courier New" w:eastAsia="Courier New" w:hAnsi="Courier New"/>
          <w:sz w:val="17"/>
          <w:szCs w:val="17"/>
          <w:color w:val="auto"/>
        </w:rPr>
        <w:t>Three Months Ended September 30, 2002 and 2001 (unaudited)</w:t>
      </w:r>
      <w:r>
        <w:rPr>
          <w:sz w:val="20"/>
          <w:szCs w:val="20"/>
          <w:color w:val="auto"/>
        </w:rPr>
        <w:tab/>
      </w:r>
      <w:r>
        <w:rPr>
          <w:rFonts w:ascii="Courier New" w:cs="Courier New" w:eastAsia="Courier New" w:hAnsi="Courier New"/>
          <w:sz w:val="16"/>
          <w:szCs w:val="16"/>
          <w:color w:val="auto"/>
        </w:rPr>
        <w:t>4</w:t>
      </w:r>
    </w:p>
    <w:p>
      <w:pPr>
        <w:sectPr>
          <w:pgSz w:w="11900" w:h="16848" w:orient="portrait"/>
          <w:cols w:equalWidth="0" w:num="1">
            <w:col w:w="10219"/>
          </w:cols>
          <w:pgMar w:left="240" w:top="247"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1040" w:type="dxa"/>
            <w:vAlign w:val="bottom"/>
          </w:tcPr>
          <w:p>
            <w:pPr>
              <w:spacing w:after="0"/>
              <w:rPr>
                <w:sz w:val="16"/>
                <w:szCs w:val="16"/>
                <w:color w:val="auto"/>
              </w:rPr>
            </w:pPr>
          </w:p>
        </w:tc>
        <w:tc>
          <w:tcPr>
            <w:tcW w:w="6780" w:type="dxa"/>
            <w:vAlign w:val="bottom"/>
          </w:tcPr>
          <w:p>
            <w:pPr>
              <w:ind w:left="100"/>
              <w:spacing w:after="0"/>
              <w:rPr>
                <w:sz w:val="20"/>
                <w:szCs w:val="20"/>
                <w:color w:val="auto"/>
              </w:rPr>
            </w:pPr>
            <w:r>
              <w:rPr>
                <w:rFonts w:ascii="Courier New" w:cs="Courier New" w:eastAsia="Courier New" w:hAnsi="Courier New"/>
                <w:sz w:val="17"/>
                <w:szCs w:val="17"/>
                <w:color w:val="auto"/>
              </w:rPr>
              <w:t>Consolidated Statements of Cash Flows</w:t>
            </w:r>
          </w:p>
        </w:tc>
        <w:tc>
          <w:tcPr>
            <w:tcW w:w="220" w:type="dxa"/>
            <w:vAlign w:val="bottom"/>
          </w:tcPr>
          <w:p>
            <w:pPr>
              <w:spacing w:after="0"/>
              <w:rPr>
                <w:sz w:val="16"/>
                <w:szCs w:val="16"/>
                <w:color w:val="auto"/>
              </w:rPr>
            </w:pPr>
          </w:p>
        </w:tc>
      </w:tr>
      <w:tr>
        <w:trPr>
          <w:trHeight w:val="198"/>
        </w:trPr>
        <w:tc>
          <w:tcPr>
            <w:tcW w:w="1040" w:type="dxa"/>
            <w:vAlign w:val="bottom"/>
          </w:tcPr>
          <w:p>
            <w:pPr>
              <w:spacing w:after="0"/>
              <w:rPr>
                <w:sz w:val="17"/>
                <w:szCs w:val="17"/>
                <w:color w:val="auto"/>
              </w:rPr>
            </w:pPr>
          </w:p>
        </w:tc>
        <w:tc>
          <w:tcPr>
            <w:tcW w:w="6780" w:type="dxa"/>
            <w:vAlign w:val="bottom"/>
          </w:tcPr>
          <w:p>
            <w:pPr>
              <w:ind w:left="300"/>
              <w:spacing w:after="0"/>
              <w:rPr>
                <w:sz w:val="20"/>
                <w:szCs w:val="20"/>
                <w:color w:val="auto"/>
              </w:rPr>
            </w:pPr>
            <w:r>
              <w:rPr>
                <w:rFonts w:ascii="Courier New" w:cs="Courier New" w:eastAsia="Courier New" w:hAnsi="Courier New"/>
                <w:sz w:val="17"/>
                <w:szCs w:val="17"/>
                <w:color w:val="auto"/>
              </w:rPr>
              <w:t>Three Months Ended September 30, 2002 and 2001 (unaudited).....</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5</w:t>
            </w:r>
          </w:p>
        </w:tc>
      </w:tr>
      <w:tr>
        <w:trPr>
          <w:trHeight w:val="594"/>
        </w:trPr>
        <w:tc>
          <w:tcPr>
            <w:tcW w:w="1040" w:type="dxa"/>
            <w:vAlign w:val="bottom"/>
          </w:tcPr>
          <w:p>
            <w:pPr>
              <w:spacing w:after="0"/>
              <w:rPr>
                <w:sz w:val="24"/>
                <w:szCs w:val="24"/>
                <w:color w:val="auto"/>
              </w:rPr>
            </w:pPr>
          </w:p>
        </w:tc>
        <w:tc>
          <w:tcPr>
            <w:tcW w:w="6780" w:type="dxa"/>
            <w:vAlign w:val="bottom"/>
          </w:tcPr>
          <w:p>
            <w:pPr>
              <w:ind w:left="100"/>
              <w:spacing w:after="0"/>
              <w:rPr>
                <w:sz w:val="20"/>
                <w:szCs w:val="20"/>
                <w:color w:val="auto"/>
              </w:rPr>
            </w:pPr>
            <w:r>
              <w:rPr>
                <w:rFonts w:ascii="Courier New" w:cs="Courier New" w:eastAsia="Courier New" w:hAnsi="Courier New"/>
                <w:sz w:val="17"/>
                <w:szCs w:val="17"/>
                <w:color w:val="auto"/>
              </w:rPr>
              <w:t>Notes to Consolidated Financial Statements.......................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6</w:t>
            </w:r>
          </w:p>
        </w:tc>
      </w:tr>
      <w:tr>
        <w:trPr>
          <w:trHeight w:val="594"/>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2.</w:t>
            </w:r>
          </w:p>
        </w:tc>
        <w:tc>
          <w:tcPr>
            <w:tcW w:w="6780" w:type="dxa"/>
            <w:vAlign w:val="bottom"/>
          </w:tcPr>
          <w:p>
            <w:pPr>
              <w:ind w:left="100"/>
              <w:spacing w:after="0"/>
              <w:rPr>
                <w:sz w:val="20"/>
                <w:szCs w:val="20"/>
                <w:color w:val="auto"/>
              </w:rPr>
            </w:pPr>
            <w:r>
              <w:rPr>
                <w:rFonts w:ascii="Courier New" w:cs="Courier New" w:eastAsia="Courier New" w:hAnsi="Courier New"/>
                <w:sz w:val="17"/>
                <w:szCs w:val="17"/>
                <w:color w:val="auto"/>
              </w:rPr>
              <w:t>Management's Discussion and Analysis of Financial Condition</w:t>
            </w:r>
          </w:p>
        </w:tc>
        <w:tc>
          <w:tcPr>
            <w:tcW w:w="220" w:type="dxa"/>
            <w:vAlign w:val="bottom"/>
          </w:tcPr>
          <w:p>
            <w:pPr>
              <w:spacing w:after="0"/>
              <w:rPr>
                <w:sz w:val="24"/>
                <w:szCs w:val="24"/>
                <w:color w:val="auto"/>
              </w:rPr>
            </w:pPr>
          </w:p>
        </w:tc>
      </w:tr>
      <w:tr>
        <w:trPr>
          <w:trHeight w:val="198"/>
        </w:trPr>
        <w:tc>
          <w:tcPr>
            <w:tcW w:w="1040" w:type="dxa"/>
            <w:vAlign w:val="bottom"/>
          </w:tcPr>
          <w:p>
            <w:pPr>
              <w:spacing w:after="0"/>
              <w:rPr>
                <w:sz w:val="17"/>
                <w:szCs w:val="17"/>
                <w:color w:val="auto"/>
              </w:rPr>
            </w:pPr>
          </w:p>
        </w:tc>
        <w:tc>
          <w:tcPr>
            <w:tcW w:w="6780" w:type="dxa"/>
            <w:vAlign w:val="bottom"/>
          </w:tcPr>
          <w:p>
            <w:pPr>
              <w:ind w:left="100"/>
              <w:spacing w:after="0"/>
              <w:rPr>
                <w:sz w:val="20"/>
                <w:szCs w:val="20"/>
                <w:color w:val="auto"/>
              </w:rPr>
            </w:pPr>
            <w:r>
              <w:rPr>
                <w:rFonts w:ascii="Courier New" w:cs="Courier New" w:eastAsia="Courier New" w:hAnsi="Courier New"/>
                <w:sz w:val="17"/>
                <w:szCs w:val="17"/>
                <w:color w:val="auto"/>
              </w:rPr>
              <w:t>and Results of Operations........................................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12</w:t>
            </w:r>
          </w:p>
        </w:tc>
      </w:tr>
      <w:tr>
        <w:trPr>
          <w:trHeight w:val="396"/>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3.</w:t>
            </w:r>
          </w:p>
        </w:tc>
        <w:tc>
          <w:tcPr>
            <w:tcW w:w="6780" w:type="dxa"/>
            <w:vAlign w:val="bottom"/>
          </w:tcPr>
          <w:p>
            <w:pPr>
              <w:ind w:left="100"/>
              <w:spacing w:after="0"/>
              <w:rPr>
                <w:sz w:val="20"/>
                <w:szCs w:val="20"/>
                <w:color w:val="auto"/>
              </w:rPr>
            </w:pPr>
            <w:r>
              <w:rPr>
                <w:rFonts w:ascii="Courier New" w:cs="Courier New" w:eastAsia="Courier New" w:hAnsi="Courier New"/>
                <w:sz w:val="17"/>
                <w:szCs w:val="17"/>
                <w:color w:val="auto"/>
              </w:rPr>
              <w:t>Qualitative and Quantitative Disclosure about Market Risk........</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23</w:t>
            </w:r>
          </w:p>
        </w:tc>
      </w:tr>
      <w:tr>
        <w:trPr>
          <w:trHeight w:val="396"/>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4.</w:t>
            </w:r>
          </w:p>
        </w:tc>
        <w:tc>
          <w:tcPr>
            <w:tcW w:w="6780" w:type="dxa"/>
            <w:vAlign w:val="bottom"/>
          </w:tcPr>
          <w:p>
            <w:pPr>
              <w:ind w:left="100"/>
              <w:spacing w:after="0"/>
              <w:rPr>
                <w:sz w:val="20"/>
                <w:szCs w:val="20"/>
                <w:color w:val="auto"/>
              </w:rPr>
            </w:pPr>
            <w:r>
              <w:rPr>
                <w:rFonts w:ascii="Courier New" w:cs="Courier New" w:eastAsia="Courier New" w:hAnsi="Courier New"/>
                <w:sz w:val="17"/>
                <w:szCs w:val="17"/>
                <w:color w:val="auto"/>
              </w:rPr>
              <w:t>Disclosure Controls..............................................</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23</w:t>
            </w:r>
          </w:p>
        </w:tc>
      </w:tr>
      <w:tr>
        <w:trPr>
          <w:trHeight w:val="792"/>
        </w:trPr>
        <w:tc>
          <w:tcPr>
            <w:tcW w:w="7820" w:type="dxa"/>
            <w:vAlign w:val="bottom"/>
            <w:gridSpan w:val="2"/>
          </w:tcPr>
          <w:p>
            <w:pPr>
              <w:spacing w:after="0"/>
              <w:rPr>
                <w:sz w:val="20"/>
                <w:szCs w:val="20"/>
                <w:color w:val="auto"/>
              </w:rPr>
            </w:pPr>
            <w:r>
              <w:rPr>
                <w:rFonts w:ascii="Courier New" w:cs="Courier New" w:eastAsia="Courier New" w:hAnsi="Courier New"/>
                <w:sz w:val="17"/>
                <w:szCs w:val="17"/>
                <w:color w:val="auto"/>
              </w:rPr>
              <w:t>PART II - OTHER  INFORMATION</w:t>
            </w:r>
          </w:p>
        </w:tc>
        <w:tc>
          <w:tcPr>
            <w:tcW w:w="220" w:type="dxa"/>
            <w:vAlign w:val="bottom"/>
          </w:tcPr>
          <w:p>
            <w:pPr>
              <w:spacing w:after="0"/>
              <w:rPr>
                <w:sz w:val="24"/>
                <w:szCs w:val="24"/>
                <w:color w:val="auto"/>
              </w:rPr>
            </w:pPr>
          </w:p>
        </w:tc>
      </w:tr>
      <w:tr>
        <w:trPr>
          <w:trHeight w:val="396"/>
        </w:trPr>
        <w:tc>
          <w:tcPr>
            <w:tcW w:w="1040" w:type="dxa"/>
            <w:vAlign w:val="bottom"/>
          </w:tcPr>
          <w:p>
            <w:pPr>
              <w:ind w:left="220"/>
              <w:spacing w:after="0"/>
              <w:rPr>
                <w:sz w:val="20"/>
                <w:szCs w:val="20"/>
                <w:color w:val="auto"/>
              </w:rPr>
            </w:pPr>
            <w:r>
              <w:rPr>
                <w:rFonts w:ascii="Courier New" w:cs="Courier New" w:eastAsia="Courier New" w:hAnsi="Courier New"/>
                <w:sz w:val="17"/>
                <w:szCs w:val="17"/>
                <w:color w:val="auto"/>
              </w:rPr>
              <w:t>Item 6.</w:t>
            </w:r>
          </w:p>
        </w:tc>
        <w:tc>
          <w:tcPr>
            <w:tcW w:w="6780" w:type="dxa"/>
            <w:vAlign w:val="bottom"/>
          </w:tcPr>
          <w:p>
            <w:pPr>
              <w:ind w:left="100"/>
              <w:spacing w:after="0"/>
              <w:rPr>
                <w:sz w:val="20"/>
                <w:szCs w:val="20"/>
                <w:color w:val="auto"/>
              </w:rPr>
            </w:pPr>
            <w:r>
              <w:rPr>
                <w:rFonts w:ascii="Courier New" w:cs="Courier New" w:eastAsia="Courier New" w:hAnsi="Courier New"/>
                <w:sz w:val="17"/>
                <w:szCs w:val="17"/>
                <w:color w:val="auto"/>
              </w:rPr>
              <w:t>Exhibits and Reports on Form 8-K.................................</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w w:val="97"/>
              </w:rPr>
              <w:t>24</w:t>
            </w:r>
          </w:p>
        </w:tc>
      </w:tr>
      <w:tr>
        <w:trPr>
          <w:trHeight w:val="792"/>
        </w:trPr>
        <w:tc>
          <w:tcPr>
            <w:tcW w:w="1040" w:type="dxa"/>
            <w:vAlign w:val="bottom"/>
          </w:tcPr>
          <w:p>
            <w:pPr>
              <w:spacing w:after="0"/>
              <w:rPr>
                <w:sz w:val="24"/>
                <w:szCs w:val="24"/>
                <w:color w:val="auto"/>
              </w:rPr>
            </w:pPr>
          </w:p>
        </w:tc>
        <w:tc>
          <w:tcPr>
            <w:tcW w:w="6780" w:type="dxa"/>
            <w:vAlign w:val="bottom"/>
          </w:tcPr>
          <w:p>
            <w:pPr>
              <w:ind w:left="2980"/>
              <w:spacing w:after="0"/>
              <w:rPr>
                <w:sz w:val="20"/>
                <w:szCs w:val="20"/>
                <w:color w:val="auto"/>
              </w:rPr>
            </w:pPr>
            <w:r>
              <w:rPr>
                <w:rFonts w:ascii="Courier New" w:cs="Courier New" w:eastAsia="Courier New" w:hAnsi="Courier New"/>
                <w:sz w:val="17"/>
                <w:szCs w:val="17"/>
                <w:color w:val="auto"/>
              </w:rPr>
              <w:t>2</w:t>
            </w:r>
          </w:p>
        </w:tc>
        <w:tc>
          <w:tcPr>
            <w:tcW w:w="220" w:type="dxa"/>
            <w:vAlign w:val="bottom"/>
          </w:tcPr>
          <w:p>
            <w:pPr>
              <w:spacing w:after="0"/>
              <w:rPr>
                <w:sz w:val="24"/>
                <w:szCs w:val="24"/>
                <w:color w:val="auto"/>
              </w:rPr>
            </w:pPr>
          </w:p>
        </w:tc>
      </w:tr>
    </w:tbl>
    <w:p>
      <w:pPr>
        <w:sectPr>
          <w:pgSz w:w="11900" w:h="16838" w:orient="portrait"/>
          <w:cols w:equalWidth="0" w:num="1">
            <w:col w:w="10219"/>
          </w:cols>
          <w:pgMar w:left="240" w:top="538" w:right="1440" w:bottom="1440" w:gutter="0" w:footer="0" w:header="0"/>
        </w:sectPr>
      </w:pPr>
    </w:p>
    <w:bookmarkStart w:id="2" w:name="page3"/>
    <w:bookmarkEnd w:id="2"/>
    <w:p>
      <w:pPr>
        <w:jc w:val="center"/>
        <w:ind w:right="1859"/>
        <w:spacing w:after="0"/>
        <w:rPr>
          <w:sz w:val="20"/>
          <w:szCs w:val="20"/>
          <w:color w:val="auto"/>
        </w:rPr>
      </w:pPr>
      <w:r>
        <w:rPr>
          <w:rFonts w:ascii="Courier New" w:cs="Courier New" w:eastAsia="Courier New" w:hAnsi="Courier New"/>
          <w:sz w:val="17"/>
          <w:szCs w:val="17"/>
          <w:color w:val="auto"/>
        </w:rPr>
        <w:t>CLEARONE COMMUNICATIONS, INC.</w:t>
      </w:r>
    </w:p>
    <w:p>
      <w:pPr>
        <w:spacing w:after="0" w:line="20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CONSOLIDATED BALANCE SHEETS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(Unaudited)</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8"/>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September 30,</w:t>
            </w:r>
          </w:p>
        </w:tc>
        <w:tc>
          <w:tcPr>
            <w:tcW w:w="260" w:type="dxa"/>
            <w:vAlign w:val="bottom"/>
          </w:tcPr>
          <w:p>
            <w:pPr>
              <w:spacing w:after="0"/>
              <w:rPr>
                <w:sz w:val="17"/>
                <w:szCs w:val="17"/>
                <w:color w:val="auto"/>
              </w:rPr>
            </w:pP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June 30,</w:t>
            </w:r>
          </w:p>
        </w:tc>
      </w:tr>
      <w:tr>
        <w:trPr>
          <w:trHeight w:val="198"/>
        </w:trPr>
        <w:tc>
          <w:tcPr>
            <w:tcW w:w="6540" w:type="dxa"/>
            <w:vAlign w:val="bottom"/>
          </w:tcPr>
          <w:p>
            <w:pPr>
              <w:spacing w:after="0"/>
              <w:rPr>
                <w:sz w:val="17"/>
                <w:szCs w:val="17"/>
                <w:color w:val="auto"/>
              </w:rPr>
            </w:pPr>
          </w:p>
        </w:tc>
        <w:tc>
          <w:tcPr>
            <w:tcW w:w="3140" w:type="dxa"/>
            <w:vAlign w:val="bottom"/>
            <w:gridSpan w:val="4"/>
          </w:tcPr>
          <w:p>
            <w:pPr>
              <w:ind w:left="6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2002</w:t>
            </w:r>
          </w:p>
        </w:tc>
        <w:tc>
          <w:tcPr>
            <w:tcW w:w="260" w:type="dxa"/>
            <w:vAlign w:val="bottom"/>
          </w:tcPr>
          <w:p>
            <w:pPr>
              <w:spacing w:after="0"/>
              <w:rPr>
                <w:sz w:val="17"/>
                <w:szCs w:val="17"/>
                <w:color w:val="auto"/>
              </w:rPr>
            </w:pPr>
          </w:p>
        </w:tc>
        <w:tc>
          <w:tcPr>
            <w:tcW w:w="11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2002</w:t>
            </w:r>
          </w:p>
        </w:tc>
      </w:tr>
      <w:tr>
        <w:trPr>
          <w:trHeight w:val="198"/>
        </w:trPr>
        <w:tc>
          <w:tcPr>
            <w:tcW w:w="6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18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ind w:right="2534"/>
              <w:spacing w:after="0"/>
              <w:rPr>
                <w:sz w:val="20"/>
                <w:szCs w:val="20"/>
                <w:color w:val="auto"/>
              </w:rPr>
            </w:pPr>
            <w:r>
              <w:rPr>
                <w:rFonts w:ascii="Courier New" w:cs="Courier New" w:eastAsia="Courier New" w:hAnsi="Courier New"/>
                <w:sz w:val="17"/>
                <w:szCs w:val="17"/>
                <w:color w:val="auto"/>
              </w:rPr>
              <w:t>ASSETS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594"/>
        </w:trPr>
        <w:tc>
          <w:tcPr>
            <w:tcW w:w="654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5,404,948</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$ 14,248,502</w:t>
            </w:r>
          </w:p>
        </w:tc>
      </w:tr>
      <w:tr>
        <w:trPr>
          <w:trHeight w:val="198"/>
        </w:trPr>
        <w:tc>
          <w:tcPr>
            <w:tcW w:w="6540" w:type="dxa"/>
            <w:vAlign w:val="bottom"/>
          </w:tcPr>
          <w:p>
            <w:pPr>
              <w:ind w:left="420"/>
              <w:spacing w:after="0"/>
              <w:rPr>
                <w:sz w:val="20"/>
                <w:szCs w:val="20"/>
                <w:color w:val="auto"/>
              </w:rPr>
            </w:pPr>
            <w:r>
              <w:rPr>
                <w:rFonts w:ascii="Courier New" w:cs="Courier New" w:eastAsia="Courier New" w:hAnsi="Courier New"/>
                <w:sz w:val="17"/>
                <w:szCs w:val="17"/>
                <w:color w:val="auto"/>
              </w:rPr>
              <w:t>Accounts receivable, less allowances of $1,180,800 as of</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September 30, 2002 and $1,213,000 as of June 30, 2002..</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18,664,531</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20,316,730</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Note receivable - current portion..........................</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193,858</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195,598</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Inventory..................................................</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10,652,498</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8,605,550</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Income tax receivable......................................</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115,976</w:t>
            </w:r>
          </w:p>
        </w:tc>
        <w:tc>
          <w:tcPr>
            <w:tcW w:w="260" w:type="dxa"/>
            <w:vAlign w:val="bottom"/>
          </w:tcPr>
          <w:p>
            <w:pPr>
              <w:spacing w:after="0"/>
              <w:rPr>
                <w:sz w:val="17"/>
                <w:szCs w:val="17"/>
                <w:color w:val="auto"/>
              </w:rPr>
            </w:pPr>
          </w:p>
        </w:tc>
        <w:tc>
          <w:tcPr>
            <w:tcW w:w="11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Deferred tax assets........................................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1,293,281</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1,293,281</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827,165</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609,956</w:t>
            </w:r>
          </w:p>
        </w:tc>
      </w:tr>
      <w:tr>
        <w:trPr>
          <w:trHeight w:val="198"/>
        </w:trPr>
        <w:tc>
          <w:tcPr>
            <w:tcW w:w="6540" w:type="dxa"/>
            <w:vAlign w:val="bottom"/>
          </w:tcPr>
          <w:p>
            <w:pPr>
              <w:spacing w:after="0"/>
              <w:rPr>
                <w:sz w:val="17"/>
                <w:szCs w:val="17"/>
                <w:color w:val="auto"/>
              </w:rPr>
            </w:pP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Total current assets...................................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37,152,257</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45,269,617</w:t>
            </w:r>
          </w:p>
        </w:tc>
      </w:tr>
      <w:tr>
        <w:trPr>
          <w:trHeight w:val="396"/>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Property and equipment, net....................................</w:t>
            </w:r>
          </w:p>
        </w:tc>
        <w:tc>
          <w:tcPr>
            <w:tcW w:w="260" w:type="dxa"/>
            <w:vAlign w:val="bottom"/>
          </w:tcPr>
          <w:p>
            <w:pPr>
              <w:spacing w:after="0"/>
              <w:rPr>
                <w:sz w:val="24"/>
                <w:szCs w:val="24"/>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6,188,752</w:t>
            </w:r>
          </w:p>
        </w:tc>
        <w:tc>
          <w:tcPr>
            <w:tcW w:w="260" w:type="dxa"/>
            <w:vAlign w:val="bottom"/>
          </w:tcPr>
          <w:p>
            <w:pPr>
              <w:spacing w:after="0"/>
              <w:rPr>
                <w:sz w:val="24"/>
                <w:szCs w:val="24"/>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5,769,444</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Goodwill, net..................................................</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26,750,704</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20,552,832</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Note receivable - long term portion............................</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1,430,096</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1,490,028</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Other intangible assets, net...................................</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7,289,000</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6,991,410</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Deposits and other assets......................................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83,176</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73,362</w:t>
            </w:r>
          </w:p>
        </w:tc>
      </w:tr>
      <w:tr>
        <w:trPr>
          <w:trHeight w:val="198"/>
        </w:trPr>
        <w:tc>
          <w:tcPr>
            <w:tcW w:w="6540" w:type="dxa"/>
            <w:vAlign w:val="bottom"/>
          </w:tcPr>
          <w:p>
            <w:pPr>
              <w:spacing w:after="0"/>
              <w:rPr>
                <w:sz w:val="17"/>
                <w:szCs w:val="17"/>
                <w:color w:val="auto"/>
              </w:rPr>
            </w:pP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Total assets...........................................</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78,893,985</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$ 80,146,693</w:t>
            </w:r>
          </w:p>
        </w:tc>
      </w:tr>
      <w:tr>
        <w:trPr>
          <w:trHeight w:val="198"/>
        </w:trPr>
        <w:tc>
          <w:tcPr>
            <w:tcW w:w="6540" w:type="dxa"/>
            <w:vAlign w:val="bottom"/>
          </w:tcPr>
          <w:p>
            <w:pPr>
              <w:spacing w:after="0"/>
              <w:rPr>
                <w:sz w:val="17"/>
                <w:szCs w:val="17"/>
                <w:color w:val="auto"/>
              </w:rPr>
            </w:pP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540" w:type="dxa"/>
            <w:vAlign w:val="bottom"/>
          </w:tcPr>
          <w:p>
            <w:pPr>
              <w:jc w:val="right"/>
              <w:ind w:right="994"/>
              <w:spacing w:after="0"/>
              <w:rPr>
                <w:sz w:val="20"/>
                <w:szCs w:val="20"/>
                <w:color w:val="auto"/>
              </w:rPr>
            </w:pPr>
            <w:r>
              <w:rPr>
                <w:rFonts w:ascii="Courier New" w:cs="Courier New" w:eastAsia="Courier New" w:hAnsi="Courier New"/>
                <w:sz w:val="17"/>
                <w:szCs w:val="17"/>
                <w:color w:val="auto"/>
              </w:rPr>
              <w:t>LIABILITIES AND SHAREHOLDERS' EQUITY</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6"/>
        </w:trPr>
        <w:tc>
          <w:tcPr>
            <w:tcW w:w="654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Line of credit.............................................</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196,386</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3,832,601</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3,053,819</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Accrued compensation and other benefits....................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586,731</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801,243</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Income tax payable.........................................</w:t>
            </w:r>
          </w:p>
        </w:tc>
        <w:tc>
          <w:tcPr>
            <w:tcW w:w="260" w:type="dxa"/>
            <w:vAlign w:val="bottom"/>
          </w:tcPr>
          <w:p>
            <w:pPr>
              <w:spacing w:after="0"/>
              <w:rPr>
                <w:sz w:val="17"/>
                <w:szCs w:val="17"/>
                <w:color w:val="auto"/>
              </w:rPr>
            </w:pPr>
          </w:p>
        </w:tc>
        <w:tc>
          <w:tcPr>
            <w:tcW w:w="14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820,729</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Accrued severance..........................................</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420,435</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416,240</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Other accrued expenses.....................................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1,371,313</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1,079,111</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Unearned revenue - current portion.........................</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695,339</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607,076</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Current portion of capital lease obligations...............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45,268</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60,443</w:t>
            </w:r>
          </w:p>
        </w:tc>
      </w:tr>
      <w:tr>
        <w:trPr>
          <w:trHeight w:val="198"/>
        </w:trPr>
        <w:tc>
          <w:tcPr>
            <w:tcW w:w="6540" w:type="dxa"/>
            <w:vAlign w:val="bottom"/>
          </w:tcPr>
          <w:p>
            <w:pPr>
              <w:spacing w:after="0"/>
              <w:rPr>
                <w:sz w:val="17"/>
                <w:szCs w:val="17"/>
                <w:color w:val="auto"/>
              </w:rPr>
            </w:pP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Total current liabilities..............................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6,951,687</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7,035,047</w:t>
            </w:r>
          </w:p>
        </w:tc>
      </w:tr>
      <w:tr>
        <w:trPr>
          <w:trHeight w:val="396"/>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Capital lease obligations......................................</w:t>
            </w:r>
          </w:p>
        </w:tc>
        <w:tc>
          <w:tcPr>
            <w:tcW w:w="260" w:type="dxa"/>
            <w:vAlign w:val="bottom"/>
          </w:tcPr>
          <w:p>
            <w:pPr>
              <w:spacing w:after="0"/>
              <w:rPr>
                <w:sz w:val="24"/>
                <w:szCs w:val="24"/>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32,461</w:t>
            </w:r>
          </w:p>
        </w:tc>
        <w:tc>
          <w:tcPr>
            <w:tcW w:w="260" w:type="dxa"/>
            <w:vAlign w:val="bottom"/>
          </w:tcPr>
          <w:p>
            <w:pPr>
              <w:spacing w:after="0"/>
              <w:rPr>
                <w:sz w:val="24"/>
                <w:szCs w:val="24"/>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40,876</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Unearned revenue...............................................</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220,488</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276,825</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Deferred tax liability.........................................</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1,457,762</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1,457,762</w:t>
            </w:r>
          </w:p>
        </w:tc>
      </w:tr>
      <w:tr>
        <w:trPr>
          <w:trHeight w:val="198"/>
        </w:trPr>
        <w:tc>
          <w:tcPr>
            <w:tcW w:w="6540" w:type="dxa"/>
            <w:vAlign w:val="bottom"/>
          </w:tcPr>
          <w:p>
            <w:pPr>
              <w:spacing w:after="0"/>
              <w:rPr>
                <w:sz w:val="17"/>
                <w:szCs w:val="17"/>
                <w:color w:val="auto"/>
              </w:rPr>
            </w:pP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8,662,398</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8,810,510</w:t>
            </w:r>
          </w:p>
        </w:tc>
      </w:tr>
      <w:tr>
        <w:trPr>
          <w:trHeight w:val="396"/>
        </w:trPr>
        <w:tc>
          <w:tcPr>
            <w:tcW w:w="654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6"/>
        </w:trPr>
        <w:tc>
          <w:tcPr>
            <w:tcW w:w="6540" w:type="dxa"/>
            <w:vAlign w:val="bottom"/>
          </w:tcPr>
          <w:p>
            <w:pPr>
              <w:ind w:left="420"/>
              <w:spacing w:after="0"/>
              <w:rPr>
                <w:sz w:val="20"/>
                <w:szCs w:val="20"/>
                <w:color w:val="auto"/>
              </w:rPr>
            </w:pPr>
            <w:r>
              <w:rPr>
                <w:rFonts w:ascii="Courier New" w:cs="Courier New" w:eastAsia="Courier New" w:hAnsi="Courier New"/>
                <w:sz w:val="17"/>
                <w:szCs w:val="17"/>
                <w:color w:val="auto"/>
              </w:rPr>
              <w:t>Common stock, 50,000,000 shares authorized, par value</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8"/>
        </w:trPr>
        <w:tc>
          <w:tcPr>
            <w:tcW w:w="6540" w:type="dxa"/>
            <w:vAlign w:val="bottom"/>
          </w:tcPr>
          <w:p>
            <w:pPr>
              <w:ind w:left="620"/>
              <w:spacing w:after="0"/>
              <w:rPr>
                <w:sz w:val="20"/>
                <w:szCs w:val="20"/>
                <w:color w:val="auto"/>
              </w:rPr>
            </w:pPr>
            <w:r>
              <w:rPr>
                <w:rFonts w:ascii="Courier New" w:cs="Courier New" w:eastAsia="Courier New" w:hAnsi="Courier New"/>
                <w:sz w:val="17"/>
                <w:szCs w:val="17"/>
                <w:color w:val="auto"/>
              </w:rPr>
              <w:t>$.001, 11,197,580 and 11,178,392 shares issued and</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6540" w:type="dxa"/>
            <w:vAlign w:val="bottom"/>
          </w:tcPr>
          <w:p>
            <w:pPr>
              <w:ind w:left="620"/>
              <w:spacing w:after="0"/>
              <w:rPr>
                <w:sz w:val="20"/>
                <w:szCs w:val="20"/>
                <w:color w:val="auto"/>
              </w:rPr>
            </w:pPr>
            <w:r>
              <w:rPr>
                <w:rFonts w:ascii="Courier New" w:cs="Courier New" w:eastAsia="Courier New" w:hAnsi="Courier New"/>
                <w:sz w:val="17"/>
                <w:szCs w:val="17"/>
                <w:color w:val="auto"/>
              </w:rPr>
              <w:t>outstanding at September 30, 2002 and June 30, 2002,</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respectively.............................................</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11,198</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11,178</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Additional paid-in capital.................................</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48,439,269</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48,384,060</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Retained earnings..........................................</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21,781,120</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22,940,945</w:t>
            </w:r>
          </w:p>
        </w:tc>
      </w:tr>
      <w:tr>
        <w:trPr>
          <w:trHeight w:val="198"/>
        </w:trPr>
        <w:tc>
          <w:tcPr>
            <w:tcW w:w="6540" w:type="dxa"/>
            <w:vAlign w:val="bottom"/>
          </w:tcPr>
          <w:p>
            <w:pPr>
              <w:spacing w:after="0"/>
              <w:rPr>
                <w:sz w:val="17"/>
                <w:szCs w:val="17"/>
                <w:color w:val="auto"/>
              </w:rPr>
            </w:pP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Total shareholders' equity.............................</w:t>
            </w:r>
          </w:p>
        </w:tc>
        <w:tc>
          <w:tcPr>
            <w:tcW w:w="2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70,231,587</w:t>
            </w:r>
          </w:p>
        </w:tc>
        <w:tc>
          <w:tcPr>
            <w:tcW w:w="260" w:type="dxa"/>
            <w:vAlign w:val="bottom"/>
          </w:tcPr>
          <w:p>
            <w:pPr>
              <w:spacing w:after="0"/>
              <w:rPr>
                <w:sz w:val="17"/>
                <w:szCs w:val="17"/>
                <w:color w:val="auto"/>
              </w:rPr>
            </w:pP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71,336,183</w:t>
            </w:r>
          </w:p>
        </w:tc>
      </w:tr>
      <w:tr>
        <w:trPr>
          <w:trHeight w:val="198"/>
        </w:trPr>
        <w:tc>
          <w:tcPr>
            <w:tcW w:w="6540" w:type="dxa"/>
            <w:vAlign w:val="bottom"/>
          </w:tcPr>
          <w:p>
            <w:pPr>
              <w:spacing w:after="0"/>
              <w:rPr>
                <w:sz w:val="17"/>
                <w:szCs w:val="17"/>
                <w:color w:val="auto"/>
              </w:rPr>
            </w:pP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Total liabilities and shareholders' equity.............</w:t>
            </w:r>
          </w:p>
        </w:tc>
        <w:tc>
          <w:tcPr>
            <w:tcW w:w="2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78,893,985</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$ 80,146,693</w:t>
            </w:r>
          </w:p>
        </w:tc>
      </w:tr>
      <w:tr>
        <w:trPr>
          <w:trHeight w:val="198"/>
        </w:trPr>
        <w:tc>
          <w:tcPr>
            <w:tcW w:w="6540" w:type="dxa"/>
            <w:vAlign w:val="bottom"/>
          </w:tcPr>
          <w:p>
            <w:pPr>
              <w:spacing w:after="0"/>
              <w:rPr>
                <w:sz w:val="17"/>
                <w:szCs w:val="17"/>
                <w:color w:val="auto"/>
              </w:rPr>
            </w:pPr>
          </w:p>
        </w:tc>
        <w:tc>
          <w:tcPr>
            <w:tcW w:w="17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1105" w:right="1440" w:bottom="523" w:gutter="0" w:footer="0" w:header="0"/>
        </w:sectPr>
      </w:pPr>
    </w:p>
    <w:bookmarkStart w:id="3" w:name="page4"/>
    <w:bookmarkEnd w:id="3"/>
    <w:p>
      <w:pPr>
        <w:jc w:val="center"/>
        <w:ind w:right="2140"/>
        <w:spacing w:after="0"/>
        <w:rPr>
          <w:sz w:val="20"/>
          <w:szCs w:val="20"/>
          <w:color w:val="auto"/>
        </w:rPr>
      </w:pPr>
      <w:r>
        <w:rPr>
          <w:rFonts w:ascii="Courier New" w:cs="Courier New" w:eastAsia="Courier New" w:hAnsi="Courier New"/>
          <w:sz w:val="17"/>
          <w:szCs w:val="17"/>
          <w:color w:val="auto"/>
        </w:rPr>
        <w:t>CLEARONE COMMUNICATIONS, INC.</w:t>
      </w:r>
    </w:p>
    <w:p>
      <w:pPr>
        <w:spacing w:after="0" w:line="20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CONSOLIDATED STATEMENTS OF OPERATIONS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38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(Unaudited)</w:t>
            </w:r>
          </w:p>
        </w:tc>
        <w:tc>
          <w:tcPr>
            <w:tcW w:w="660" w:type="dxa"/>
            <w:vAlign w:val="bottom"/>
          </w:tcPr>
          <w:p>
            <w:pPr>
              <w:spacing w:after="0"/>
              <w:rPr>
                <w:sz w:val="16"/>
                <w:szCs w:val="16"/>
                <w:color w:val="auto"/>
              </w:rPr>
            </w:pPr>
          </w:p>
        </w:tc>
      </w:tr>
      <w:tr>
        <w:trPr>
          <w:trHeight w:val="198"/>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560" w:type="dxa"/>
            <w:vAlign w:val="bottom"/>
            <w:gridSpan w:val="4"/>
          </w:tcPr>
          <w:p>
            <w:pPr>
              <w:jc w:val="right"/>
              <w:ind w:right="594"/>
              <w:spacing w:after="0"/>
              <w:rPr>
                <w:sz w:val="20"/>
                <w:szCs w:val="20"/>
                <w:color w:val="auto"/>
              </w:rPr>
            </w:pPr>
            <w:r>
              <w:rPr>
                <w:rFonts w:ascii="Courier New" w:cs="Courier New" w:eastAsia="Courier New" w:hAnsi="Courier New"/>
                <w:sz w:val="17"/>
                <w:szCs w:val="17"/>
                <w:color w:val="auto"/>
              </w:rPr>
              <w:t>Three Months Ended</w:t>
            </w:r>
          </w:p>
        </w:tc>
        <w:tc>
          <w:tcPr>
            <w:tcW w:w="660" w:type="dxa"/>
            <w:vAlign w:val="bottom"/>
          </w:tcPr>
          <w:p>
            <w:pPr>
              <w:spacing w:after="0"/>
              <w:rPr>
                <w:sz w:val="17"/>
                <w:szCs w:val="17"/>
                <w:color w:val="auto"/>
              </w:rPr>
            </w:pPr>
          </w:p>
        </w:tc>
      </w:tr>
      <w:tr>
        <w:trPr>
          <w:trHeight w:val="198"/>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380" w:type="dxa"/>
            <w:vAlign w:val="bottom"/>
            <w:gridSpan w:val="3"/>
          </w:tcPr>
          <w:p>
            <w:pPr>
              <w:ind w:left="160"/>
              <w:spacing w:after="0"/>
              <w:rPr>
                <w:sz w:val="20"/>
                <w:szCs w:val="20"/>
                <w:color w:val="auto"/>
              </w:rPr>
            </w:pPr>
            <w:r>
              <w:rPr>
                <w:rFonts w:ascii="Courier New" w:cs="Courier New" w:eastAsia="Courier New" w:hAnsi="Courier New"/>
                <w:sz w:val="17"/>
                <w:szCs w:val="17"/>
                <w:color w:val="auto"/>
              </w:rPr>
              <w:t>September 30,</w:t>
            </w:r>
          </w:p>
        </w:tc>
        <w:tc>
          <w:tcPr>
            <w:tcW w:w="660" w:type="dxa"/>
            <w:vAlign w:val="bottom"/>
          </w:tcPr>
          <w:p>
            <w:pPr>
              <w:spacing w:after="0"/>
              <w:rPr>
                <w:sz w:val="17"/>
                <w:szCs w:val="17"/>
                <w:color w:val="auto"/>
              </w:rPr>
            </w:pPr>
          </w:p>
        </w:tc>
      </w:tr>
      <w:tr>
        <w:trPr>
          <w:trHeight w:val="198"/>
        </w:trPr>
        <w:tc>
          <w:tcPr>
            <w:tcW w:w="6020" w:type="dxa"/>
            <w:vAlign w:val="bottom"/>
          </w:tcPr>
          <w:p>
            <w:pPr>
              <w:spacing w:after="0"/>
              <w:rPr>
                <w:sz w:val="17"/>
                <w:szCs w:val="17"/>
                <w:color w:val="auto"/>
              </w:rPr>
            </w:pPr>
          </w:p>
        </w:tc>
        <w:tc>
          <w:tcPr>
            <w:tcW w:w="4480" w:type="dxa"/>
            <w:vAlign w:val="bottom"/>
            <w:gridSpan w:val="6"/>
          </w:tcPr>
          <w:p>
            <w:pPr>
              <w:ind w:left="160"/>
              <w:spacing w:after="0"/>
              <w:rPr>
                <w:sz w:val="20"/>
                <w:szCs w:val="20"/>
                <w:color w:val="auto"/>
              </w:rPr>
            </w:pPr>
            <w:r>
              <w:rPr>
                <w:rFonts w:ascii="Courier New" w:cs="Courier New" w:eastAsia="Courier New" w:hAnsi="Courier New"/>
                <w:sz w:val="17"/>
                <w:szCs w:val="17"/>
                <w:color w:val="auto"/>
              </w:rPr>
              <w:t>------------------------------------------</w:t>
            </w:r>
          </w:p>
        </w:tc>
      </w:tr>
      <w:tr>
        <w:trPr>
          <w:trHeight w:val="198"/>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2002</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2001</w:t>
            </w:r>
          </w:p>
        </w:tc>
        <w:tc>
          <w:tcPr>
            <w:tcW w:w="660" w:type="dxa"/>
            <w:vAlign w:val="bottom"/>
          </w:tcPr>
          <w:p>
            <w:pPr>
              <w:spacing w:after="0"/>
              <w:rPr>
                <w:sz w:val="17"/>
                <w:szCs w:val="17"/>
                <w:color w:val="auto"/>
              </w:rPr>
            </w:pPr>
          </w:p>
        </w:tc>
      </w:tr>
      <w:tr>
        <w:trPr>
          <w:trHeight w:val="198"/>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r>
      <w:tr>
        <w:trPr>
          <w:trHeight w:val="594"/>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Product sales............................................</w:t>
            </w: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$ 5,455,955</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42.0%</w:t>
            </w: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$ 7,491,317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66.8%</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Services sales...........................................</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7,541,952</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58.0%</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3,729,066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33.2%</w:t>
            </w:r>
          </w:p>
        </w:tc>
      </w:tr>
      <w:tr>
        <w:trPr>
          <w:trHeight w:val="198"/>
        </w:trPr>
        <w:tc>
          <w:tcPr>
            <w:tcW w:w="6020" w:type="dxa"/>
            <w:vAlign w:val="bottom"/>
          </w:tcPr>
          <w:p>
            <w:pPr>
              <w:spacing w:after="0"/>
              <w:rPr>
                <w:sz w:val="17"/>
                <w:szCs w:val="17"/>
                <w:color w:val="auto"/>
              </w:rPr>
            </w:pP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Total net sales......................................</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w w:val="99"/>
              </w:rPr>
              <w:t>12,997,907</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100.0%</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w w:val="97"/>
              </w:rPr>
              <w:t>11,220,383</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100.0%</w:t>
            </w:r>
          </w:p>
        </w:tc>
      </w:tr>
      <w:tr>
        <w:trPr>
          <w:trHeight w:val="396"/>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Cost of goods sold - products............................</w:t>
            </w:r>
          </w:p>
        </w:tc>
        <w:tc>
          <w:tcPr>
            <w:tcW w:w="260" w:type="dxa"/>
            <w:vAlign w:val="bottom"/>
          </w:tcPr>
          <w:p>
            <w:pPr>
              <w:spacing w:after="0"/>
              <w:rPr>
                <w:sz w:val="24"/>
                <w:szCs w:val="24"/>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3,244,040</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59.5%</w:t>
            </w:r>
          </w:p>
        </w:tc>
        <w:tc>
          <w:tcPr>
            <w:tcW w:w="260" w:type="dxa"/>
            <w:vAlign w:val="bottom"/>
          </w:tcPr>
          <w:p>
            <w:pPr>
              <w:spacing w:after="0"/>
              <w:rPr>
                <w:sz w:val="24"/>
                <w:szCs w:val="24"/>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2,826,233</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37.7%</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Cost of goods sold - services............................</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4,195,929</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55.6%</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1,755,744</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47.1%</w:t>
            </w:r>
          </w:p>
        </w:tc>
      </w:tr>
      <w:tr>
        <w:trPr>
          <w:trHeight w:val="198"/>
        </w:trPr>
        <w:tc>
          <w:tcPr>
            <w:tcW w:w="6020" w:type="dxa"/>
            <w:vAlign w:val="bottom"/>
          </w:tcPr>
          <w:p>
            <w:pPr>
              <w:spacing w:after="0"/>
              <w:rPr>
                <w:sz w:val="17"/>
                <w:szCs w:val="17"/>
                <w:color w:val="auto"/>
              </w:rPr>
            </w:pP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Total cost of goods sold.............................</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7,439,969</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57.2%</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4,581,977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40.8%</w:t>
            </w:r>
          </w:p>
        </w:tc>
      </w:tr>
      <w:tr>
        <w:trPr>
          <w:trHeight w:val="198"/>
        </w:trPr>
        <w:tc>
          <w:tcPr>
            <w:tcW w:w="6020" w:type="dxa"/>
            <w:vAlign w:val="bottom"/>
          </w:tcPr>
          <w:p>
            <w:pPr>
              <w:spacing w:after="0"/>
              <w:rPr>
                <w:sz w:val="17"/>
                <w:szCs w:val="17"/>
                <w:color w:val="auto"/>
              </w:rPr>
            </w:pP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Gross profit.............................................</w:t>
            </w:r>
          </w:p>
        </w:tc>
        <w:tc>
          <w:tcPr>
            <w:tcW w:w="260" w:type="dxa"/>
            <w:vAlign w:val="bottom"/>
          </w:tcPr>
          <w:p>
            <w:pPr>
              <w:spacing w:after="0"/>
              <w:rPr>
                <w:sz w:val="24"/>
                <w:szCs w:val="24"/>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5,557,938</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42.8%</w:t>
            </w:r>
          </w:p>
        </w:tc>
        <w:tc>
          <w:tcPr>
            <w:tcW w:w="260" w:type="dxa"/>
            <w:vAlign w:val="bottom"/>
          </w:tcPr>
          <w:p>
            <w:pPr>
              <w:spacing w:after="0"/>
              <w:rPr>
                <w:sz w:val="24"/>
                <w:szCs w:val="24"/>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6,638,406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59.2%</w:t>
            </w:r>
          </w:p>
        </w:tc>
      </w:tr>
      <w:tr>
        <w:trPr>
          <w:trHeight w:val="3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Operating expenses: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Marketing and selling................................</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3,242,927</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24.9%</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2,469,427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22.0%</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General and administrative...........................</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2,183,330</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16.8%</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1,279,667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11.4%</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Product development..................................</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972,109</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7.5%</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751,951</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6.7%</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One-time charges.....................................</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1,947,087</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15.0%</w:t>
            </w:r>
          </w:p>
        </w:tc>
        <w:tc>
          <w:tcPr>
            <w:tcW w:w="2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0.0%</w:t>
            </w:r>
          </w:p>
        </w:tc>
      </w:tr>
      <w:tr>
        <w:trPr>
          <w:trHeight w:val="198"/>
        </w:trPr>
        <w:tc>
          <w:tcPr>
            <w:tcW w:w="6020" w:type="dxa"/>
            <w:vAlign w:val="bottom"/>
          </w:tcPr>
          <w:p>
            <w:pPr>
              <w:spacing w:after="0"/>
              <w:rPr>
                <w:sz w:val="17"/>
                <w:szCs w:val="17"/>
                <w:color w:val="auto"/>
              </w:rPr>
            </w:pP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Total operating expenses.........................</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8,345,453</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64.2%</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4,501,045</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40.1%</w:t>
            </w:r>
          </w:p>
        </w:tc>
      </w:tr>
      <w:tr>
        <w:trPr>
          <w:trHeight w:val="198"/>
        </w:trPr>
        <w:tc>
          <w:tcPr>
            <w:tcW w:w="6020" w:type="dxa"/>
            <w:vAlign w:val="bottom"/>
          </w:tcPr>
          <w:p>
            <w:pPr>
              <w:spacing w:after="0"/>
              <w:rPr>
                <w:sz w:val="17"/>
                <w:szCs w:val="17"/>
                <w:color w:val="auto"/>
              </w:rPr>
            </w:pP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Operating income (loss)..........................</w:t>
            </w:r>
          </w:p>
        </w:tc>
        <w:tc>
          <w:tcPr>
            <w:tcW w:w="260" w:type="dxa"/>
            <w:vAlign w:val="bottom"/>
          </w:tcPr>
          <w:p>
            <w:pPr>
              <w:spacing w:after="0"/>
              <w:rPr>
                <w:sz w:val="24"/>
                <w:szCs w:val="24"/>
                <w:color w:val="auto"/>
              </w:rPr>
            </w:pPr>
          </w:p>
        </w:tc>
        <w:tc>
          <w:tcPr>
            <w:tcW w:w="21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(2,787,515) (21.4)%</w:t>
            </w:r>
          </w:p>
        </w:tc>
        <w:tc>
          <w:tcPr>
            <w:tcW w:w="260" w:type="dxa"/>
            <w:vAlign w:val="bottom"/>
          </w:tcPr>
          <w:p>
            <w:pPr>
              <w:spacing w:after="0"/>
              <w:rPr>
                <w:sz w:val="24"/>
                <w:szCs w:val="24"/>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2,137,361</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19.1%</w:t>
            </w:r>
          </w:p>
        </w:tc>
      </w:tr>
      <w:tr>
        <w:trPr>
          <w:trHeight w:val="3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Other income (expense):</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Interest income......................................</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76,227</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0.6%</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108,087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0.9%</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Interest expense.....................................</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(8,664)</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(0.1)%</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(5,034)</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0.0%</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Other, net...........................................</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16,237</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0.1%</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29,989</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0.3%</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Gain (loss) on foreign currency transactions.........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(7,036)</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(0.1)%</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11,884</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0.1%</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Gain on sale of product line.........................</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1,111,715</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8.6%</w:t>
            </w:r>
          </w:p>
        </w:tc>
        <w:tc>
          <w:tcPr>
            <w:tcW w:w="2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0.0%</w:t>
            </w:r>
          </w:p>
        </w:tc>
      </w:tr>
      <w:tr>
        <w:trPr>
          <w:trHeight w:val="198"/>
        </w:trPr>
        <w:tc>
          <w:tcPr>
            <w:tcW w:w="6020" w:type="dxa"/>
            <w:vAlign w:val="bottom"/>
          </w:tcPr>
          <w:p>
            <w:pPr>
              <w:spacing w:after="0"/>
              <w:rPr>
                <w:sz w:val="17"/>
                <w:szCs w:val="17"/>
                <w:color w:val="auto"/>
              </w:rPr>
            </w:pP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Total other income...............................</w:t>
            </w:r>
          </w:p>
        </w:tc>
        <w:tc>
          <w:tcPr>
            <w:tcW w:w="260" w:type="dxa"/>
            <w:vAlign w:val="bottom"/>
          </w:tcPr>
          <w:p>
            <w:pPr>
              <w:spacing w:after="0"/>
              <w:rPr>
                <w:sz w:val="17"/>
                <w:szCs w:val="17"/>
                <w:color w:val="auto"/>
              </w:rPr>
            </w:pPr>
          </w:p>
        </w:tc>
        <w:tc>
          <w:tcPr>
            <w:tcW w:w="1180" w:type="dxa"/>
            <w:vAlign w:val="bottom"/>
          </w:tcPr>
          <w:p>
            <w:pPr>
              <w:jc w:val="right"/>
              <w:ind w:right="54"/>
              <w:spacing w:after="0"/>
              <w:rPr>
                <w:sz w:val="20"/>
                <w:szCs w:val="20"/>
                <w:color w:val="auto"/>
              </w:rPr>
            </w:pPr>
            <w:r>
              <w:rPr>
                <w:rFonts w:ascii="Courier New" w:cs="Courier New" w:eastAsia="Courier New" w:hAnsi="Courier New"/>
                <w:sz w:val="17"/>
                <w:szCs w:val="17"/>
                <w:color w:val="auto"/>
              </w:rPr>
              <w:t>1,188,479</w:t>
            </w:r>
          </w:p>
        </w:tc>
        <w:tc>
          <w:tcPr>
            <w:tcW w:w="9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9.1%</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144,926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1.3%</w:t>
            </w:r>
          </w:p>
        </w:tc>
      </w:tr>
      <w:tr>
        <w:trPr>
          <w:trHeight w:val="198"/>
        </w:trPr>
        <w:tc>
          <w:tcPr>
            <w:tcW w:w="6020" w:type="dxa"/>
            <w:vAlign w:val="bottom"/>
          </w:tcPr>
          <w:p>
            <w:pPr>
              <w:spacing w:after="0"/>
              <w:rPr>
                <w:sz w:val="17"/>
                <w:szCs w:val="17"/>
                <w:color w:val="auto"/>
              </w:rPr>
            </w:pP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Income (loss) before income taxes........................</w:t>
            </w:r>
          </w:p>
        </w:tc>
        <w:tc>
          <w:tcPr>
            <w:tcW w:w="260" w:type="dxa"/>
            <w:vAlign w:val="bottom"/>
          </w:tcPr>
          <w:p>
            <w:pPr>
              <w:spacing w:after="0"/>
              <w:rPr>
                <w:sz w:val="24"/>
                <w:szCs w:val="24"/>
                <w:color w:val="auto"/>
              </w:rPr>
            </w:pPr>
          </w:p>
        </w:tc>
        <w:tc>
          <w:tcPr>
            <w:tcW w:w="212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(1,599,036) (12.3)%</w:t>
            </w:r>
          </w:p>
        </w:tc>
        <w:tc>
          <w:tcPr>
            <w:tcW w:w="260" w:type="dxa"/>
            <w:vAlign w:val="bottom"/>
          </w:tcPr>
          <w:p>
            <w:pPr>
              <w:spacing w:after="0"/>
              <w:rPr>
                <w:sz w:val="24"/>
                <w:szCs w:val="24"/>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2,282,287</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20.4%</w:t>
            </w: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Provision (benefit) for income taxes.....................</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(439,211)</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(3.4)%</w:t>
            </w:r>
          </w:p>
        </w:tc>
        <w:tc>
          <w:tcPr>
            <w:tcW w:w="260" w:type="dxa"/>
            <w:vAlign w:val="bottom"/>
          </w:tcPr>
          <w:p>
            <w:pPr>
              <w:spacing w:after="0"/>
              <w:rPr>
                <w:sz w:val="17"/>
                <w:szCs w:val="17"/>
                <w:color w:val="auto"/>
              </w:rPr>
            </w:pP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870,581</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7.8%</w:t>
            </w:r>
          </w:p>
        </w:tc>
      </w:tr>
      <w:tr>
        <w:trPr>
          <w:trHeight w:val="198"/>
        </w:trPr>
        <w:tc>
          <w:tcPr>
            <w:tcW w:w="6020" w:type="dxa"/>
            <w:vAlign w:val="bottom"/>
          </w:tcPr>
          <w:p>
            <w:pPr>
              <w:spacing w:after="0"/>
              <w:rPr>
                <w:sz w:val="17"/>
                <w:szCs w:val="17"/>
                <w:color w:val="auto"/>
              </w:rPr>
            </w:pP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Net income (loss)................................</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$(1,159,825)</w:t>
            </w:r>
          </w:p>
        </w:tc>
        <w:tc>
          <w:tcPr>
            <w:tcW w:w="940" w:type="dxa"/>
            <w:vAlign w:val="bottom"/>
          </w:tcPr>
          <w:p>
            <w:pPr>
              <w:jc w:val="right"/>
              <w:ind w:right="74"/>
              <w:spacing w:after="0"/>
              <w:rPr>
                <w:sz w:val="20"/>
                <w:szCs w:val="20"/>
                <w:color w:val="auto"/>
              </w:rPr>
            </w:pPr>
            <w:r>
              <w:rPr>
                <w:rFonts w:ascii="Courier New" w:cs="Courier New" w:eastAsia="Courier New" w:hAnsi="Courier New"/>
                <w:sz w:val="17"/>
                <w:szCs w:val="17"/>
                <w:color w:val="auto"/>
              </w:rPr>
              <w:t>(8.9)%</w:t>
            </w: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$ 1,411,706</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12.6%</w:t>
            </w:r>
          </w:p>
        </w:tc>
      </w:tr>
      <w:tr>
        <w:trPr>
          <w:trHeight w:val="198"/>
        </w:trPr>
        <w:tc>
          <w:tcPr>
            <w:tcW w:w="6020" w:type="dxa"/>
            <w:vAlign w:val="bottom"/>
          </w:tcPr>
          <w:p>
            <w:pPr>
              <w:spacing w:after="0"/>
              <w:rPr>
                <w:sz w:val="17"/>
                <w:szCs w:val="17"/>
                <w:color w:val="auto"/>
              </w:rPr>
            </w:pPr>
          </w:p>
        </w:tc>
        <w:tc>
          <w:tcPr>
            <w:tcW w:w="1440" w:type="dxa"/>
            <w:vAlign w:val="bottom"/>
            <w:gridSpan w:val="2"/>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940" w:type="dxa"/>
            <w:vAlign w:val="bottom"/>
          </w:tcPr>
          <w:p>
            <w:pPr>
              <w:spacing w:after="0"/>
              <w:rPr>
                <w:sz w:val="17"/>
                <w:szCs w:val="17"/>
                <w:color w:val="auto"/>
              </w:rPr>
            </w:pPr>
          </w:p>
        </w:tc>
        <w:tc>
          <w:tcPr>
            <w:tcW w:w="1440" w:type="dxa"/>
            <w:vAlign w:val="bottom"/>
            <w:gridSpan w:val="2"/>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r>
      <w:tr>
        <w:trPr>
          <w:trHeight w:val="396"/>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Basic earnings (loss) per common share...................</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(0.10)</w:t>
            </w:r>
          </w:p>
        </w:tc>
        <w:tc>
          <w:tcPr>
            <w:tcW w:w="94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0.16</w:t>
            </w:r>
          </w:p>
        </w:tc>
        <w:tc>
          <w:tcPr>
            <w:tcW w:w="660" w:type="dxa"/>
            <w:vAlign w:val="bottom"/>
          </w:tcPr>
          <w:p>
            <w:pPr>
              <w:spacing w:after="0"/>
              <w:rPr>
                <w:sz w:val="24"/>
                <w:szCs w:val="24"/>
                <w:color w:val="auto"/>
              </w:rPr>
            </w:pPr>
          </w:p>
        </w:tc>
      </w:tr>
      <w:tr>
        <w:trPr>
          <w:trHeight w:val="198"/>
        </w:trPr>
        <w:tc>
          <w:tcPr>
            <w:tcW w:w="6020" w:type="dxa"/>
            <w:vAlign w:val="bottom"/>
          </w:tcPr>
          <w:p>
            <w:pPr>
              <w:jc w:val="right"/>
              <w:ind w:right="54"/>
              <w:spacing w:after="0"/>
              <w:rPr>
                <w:sz w:val="20"/>
                <w:szCs w:val="20"/>
                <w:color w:val="auto"/>
              </w:rPr>
            </w:pPr>
            <w:r>
              <w:rPr>
                <w:rFonts w:ascii="Courier New" w:cs="Courier New" w:eastAsia="Courier New" w:hAnsi="Courier New"/>
                <w:sz w:val="17"/>
                <w:szCs w:val="17"/>
                <w:color w:val="auto"/>
              </w:rPr>
              <w:t>Diluted earnings (loss) per common share.................</w:t>
            </w:r>
          </w:p>
        </w:tc>
        <w:tc>
          <w:tcPr>
            <w:tcW w:w="260" w:type="dxa"/>
            <w:vAlign w:val="bottom"/>
          </w:tcPr>
          <w:p>
            <w:pPr>
              <w:ind w:left="160"/>
              <w:spacing w:after="0"/>
              <w:rPr>
                <w:sz w:val="20"/>
                <w:szCs w:val="20"/>
                <w:color w:val="auto"/>
              </w:rPr>
            </w:pPr>
            <w:r>
              <w:rPr>
                <w:rFonts w:ascii="Courier New" w:cs="Courier New" w:eastAsia="Courier New" w:hAnsi="Courier New"/>
                <w:sz w:val="17"/>
                <w:szCs w:val="17"/>
                <w:color w:val="auto"/>
                <w:w w:val="77"/>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(0.10)</w:t>
            </w:r>
          </w:p>
        </w:tc>
        <w:tc>
          <w:tcPr>
            <w:tcW w:w="9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0.16</w:t>
            </w:r>
          </w:p>
        </w:tc>
        <w:tc>
          <w:tcPr>
            <w:tcW w:w="6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500"/>
          </w:cols>
          <w:pgMar w:left="240" w:top="1105" w:right="1159" w:bottom="1440" w:gutter="0" w:footer="0" w:header="0"/>
        </w:sectPr>
      </w:pPr>
    </w:p>
    <w:bookmarkStart w:id="4" w:name="page5"/>
    <w:bookmarkEnd w:id="4"/>
    <w:p>
      <w:pPr>
        <w:jc w:val="center"/>
        <w:ind w:right="1859"/>
        <w:spacing w:after="0"/>
        <w:rPr>
          <w:sz w:val="20"/>
          <w:szCs w:val="20"/>
          <w:color w:val="auto"/>
        </w:rPr>
      </w:pPr>
      <w:r>
        <w:rPr>
          <w:rFonts w:ascii="Courier New" w:cs="Courier New" w:eastAsia="Courier New" w:hAnsi="Courier New"/>
          <w:sz w:val="17"/>
          <w:szCs w:val="17"/>
          <w:color w:val="auto"/>
        </w:rPr>
        <w:t>CLEARONE COMMUNICATIONS, INC.</w:t>
      </w:r>
    </w:p>
    <w:p>
      <w:pPr>
        <w:spacing w:after="0" w:line="203" w:lineRule="exact"/>
        <w:rPr>
          <w:sz w:val="20"/>
          <w:szCs w:val="20"/>
          <w:color w:val="auto"/>
        </w:rPr>
      </w:pPr>
    </w:p>
    <w:p>
      <w:pPr>
        <w:ind w:left="2280"/>
        <w:spacing w:after="0"/>
        <w:rPr>
          <w:sz w:val="20"/>
          <w:szCs w:val="20"/>
          <w:color w:val="auto"/>
        </w:rPr>
      </w:pPr>
      <w:r>
        <w:rPr>
          <w:rFonts w:ascii="Courier New" w:cs="Courier New" w:eastAsia="Courier New" w:hAnsi="Courier New"/>
          <w:sz w:val="17"/>
          <w:szCs w:val="17"/>
          <w:color w:val="auto"/>
        </w:rPr>
        <w:t>CONSOLIDATED STATEMENTS OF CASH FLOWS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(Unaudited)</w:t>
            </w:r>
          </w:p>
        </w:tc>
      </w:tr>
      <w:tr>
        <w:trPr>
          <w:trHeight w:val="198"/>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3"/>
          </w:tcPr>
          <w:p>
            <w:pPr>
              <w:ind w:left="320"/>
              <w:spacing w:after="0"/>
              <w:rPr>
                <w:sz w:val="20"/>
                <w:szCs w:val="20"/>
                <w:color w:val="auto"/>
              </w:rPr>
            </w:pPr>
            <w:r>
              <w:rPr>
                <w:rFonts w:ascii="Courier New" w:cs="Courier New" w:eastAsia="Courier New" w:hAnsi="Courier New"/>
                <w:sz w:val="17"/>
                <w:szCs w:val="17"/>
                <w:color w:val="auto"/>
              </w:rPr>
              <w:t>Three Months Ended</w:t>
            </w:r>
          </w:p>
        </w:tc>
      </w:tr>
      <w:tr>
        <w:trPr>
          <w:trHeight w:val="198"/>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80" w:type="dxa"/>
            <w:vAlign w:val="bottom"/>
            <w:gridSpan w:val="3"/>
          </w:tcPr>
          <w:p>
            <w:pPr>
              <w:ind w:left="620"/>
              <w:spacing w:after="0"/>
              <w:rPr>
                <w:sz w:val="20"/>
                <w:szCs w:val="20"/>
                <w:color w:val="auto"/>
              </w:rPr>
            </w:pPr>
            <w:r>
              <w:rPr>
                <w:rFonts w:ascii="Courier New" w:cs="Courier New" w:eastAsia="Courier New" w:hAnsi="Courier New"/>
                <w:sz w:val="17"/>
                <w:szCs w:val="17"/>
                <w:color w:val="auto"/>
              </w:rPr>
              <w:t>September 30,</w:t>
            </w:r>
          </w:p>
        </w:tc>
      </w:tr>
      <w:tr>
        <w:trPr>
          <w:trHeight w:val="198"/>
        </w:trPr>
        <w:tc>
          <w:tcPr>
            <w:tcW w:w="6860" w:type="dxa"/>
            <w:vAlign w:val="bottom"/>
          </w:tcPr>
          <w:p>
            <w:pPr>
              <w:spacing w:after="0"/>
              <w:rPr>
                <w:sz w:val="17"/>
                <w:szCs w:val="17"/>
                <w:color w:val="auto"/>
              </w:rPr>
            </w:pPr>
          </w:p>
        </w:tc>
        <w:tc>
          <w:tcPr>
            <w:tcW w:w="2820" w:type="dxa"/>
            <w:vAlign w:val="bottom"/>
            <w:gridSpan w:val="4"/>
          </w:tcPr>
          <w:p>
            <w:pPr>
              <w:ind w:left="140"/>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2002</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2001</w:t>
            </w:r>
          </w:p>
        </w:tc>
      </w:tr>
      <w:tr>
        <w:trPr>
          <w:trHeight w:val="198"/>
        </w:trPr>
        <w:tc>
          <w:tcPr>
            <w:tcW w:w="6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594"/>
        </w:trPr>
        <w:tc>
          <w:tcPr>
            <w:tcW w:w="686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Net income (loss) ............................................</w:t>
            </w:r>
          </w:p>
        </w:tc>
        <w:tc>
          <w:tcPr>
            <w:tcW w:w="148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$(1,159,825)</w:t>
            </w: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$ 1,411,706</w:t>
            </w:r>
          </w:p>
        </w:tc>
      </w:tr>
      <w:tr>
        <w:trPr>
          <w:trHeight w:val="198"/>
        </w:trPr>
        <w:tc>
          <w:tcPr>
            <w:tcW w:w="6860" w:type="dxa"/>
            <w:vAlign w:val="bottom"/>
          </w:tcPr>
          <w:p>
            <w:pPr>
              <w:jc w:val="right"/>
              <w:ind w:right="2134"/>
              <w:spacing w:after="0"/>
              <w:rPr>
                <w:sz w:val="20"/>
                <w:szCs w:val="20"/>
                <w:color w:val="auto"/>
              </w:rPr>
            </w:pPr>
            <w:r>
              <w:rPr>
                <w:rFonts w:ascii="Courier New" w:cs="Courier New" w:eastAsia="Courier New" w:hAnsi="Courier New"/>
                <w:sz w:val="17"/>
                <w:szCs w:val="17"/>
                <w:color w:val="auto"/>
              </w:rPr>
              <w:t>Adjustments to reconcile net income (loss)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6860" w:type="dxa"/>
            <w:vAlign w:val="bottom"/>
          </w:tcPr>
          <w:p>
            <w:pPr>
              <w:jc w:val="right"/>
              <w:ind w:right="594"/>
              <w:spacing w:after="0"/>
              <w:rPr>
                <w:sz w:val="20"/>
                <w:szCs w:val="20"/>
                <w:color w:val="auto"/>
              </w:rPr>
            </w:pPr>
            <w:r>
              <w:rPr>
                <w:rFonts w:ascii="Courier New" w:cs="Courier New" w:eastAsia="Courier New" w:hAnsi="Courier New"/>
                <w:sz w:val="17"/>
                <w:szCs w:val="17"/>
                <w:color w:val="auto"/>
              </w:rPr>
              <w:t>to net cash (used in) provided by operating activities: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Depreciation and amortization of property and equipment....</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456,438</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277,090</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Amortization of intangible assets..........................</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276,311</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67,598</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Provision for bad debts....................................</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54,248</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33,574</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Gain on sale of product line...............................</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(1,111,715)</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Non-cash one-time charges..................................</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1,383,529</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ind w:right="1614"/>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Accounts receivable.....................................</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2,067,736</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w w:val="97"/>
              </w:rPr>
              <w:t>(1,669,718)</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Inventory...............................................</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(3,410,374)</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391,273</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Income taxes............................................</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(978,812)</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553,039</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Other assets............................................</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(239,963)</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48,366</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Unearned revenue........................................</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(3,088)</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Accounts payable and other accrued expenses.............</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(41,260)</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261,713</w:t>
            </w:r>
          </w:p>
        </w:tc>
      </w:tr>
      <w:tr>
        <w:trPr>
          <w:trHeight w:val="198"/>
        </w:trPr>
        <w:tc>
          <w:tcPr>
            <w:tcW w:w="6860" w:type="dxa"/>
            <w:vAlign w:val="bottom"/>
          </w:tcPr>
          <w:p>
            <w:pPr>
              <w:spacing w:after="0"/>
              <w:rPr>
                <w:sz w:val="17"/>
                <w:szCs w:val="17"/>
                <w:color w:val="auto"/>
              </w:rPr>
            </w:pPr>
          </w:p>
        </w:tc>
        <w:tc>
          <w:tcPr>
            <w:tcW w:w="14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Net cash provided by (used in) operating activities...</w:t>
            </w:r>
          </w:p>
        </w:tc>
        <w:tc>
          <w:tcPr>
            <w:tcW w:w="240" w:type="dxa"/>
            <w:vAlign w:val="bottom"/>
          </w:tcPr>
          <w:p>
            <w:pPr>
              <w:spacing w:after="0"/>
              <w:rPr>
                <w:sz w:val="24"/>
                <w:szCs w:val="24"/>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(2,706,775)</w:t>
            </w:r>
          </w:p>
        </w:tc>
        <w:tc>
          <w:tcPr>
            <w:tcW w:w="2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1,374,641</w:t>
            </w:r>
          </w:p>
        </w:tc>
      </w:tr>
      <w:tr>
        <w:trPr>
          <w:trHeight w:val="396"/>
        </w:trPr>
        <w:tc>
          <w:tcPr>
            <w:tcW w:w="686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Purchases of property and equipment...........................</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(731,049)</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(391,357)</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Net proceeds from sale of product line........................</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1,213,237</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Purchase of business..........................................</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(6,515,892)</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Proceeds from note receivable.................................</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61,672</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spacing w:after="0"/>
              <w:rPr>
                <w:sz w:val="17"/>
                <w:szCs w:val="17"/>
                <w:color w:val="auto"/>
              </w:rPr>
            </w:pPr>
          </w:p>
        </w:tc>
        <w:tc>
          <w:tcPr>
            <w:tcW w:w="14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Net cash used in investing activities.................</w:t>
            </w:r>
          </w:p>
        </w:tc>
        <w:tc>
          <w:tcPr>
            <w:tcW w:w="240" w:type="dxa"/>
            <w:vAlign w:val="bottom"/>
          </w:tcPr>
          <w:p>
            <w:pPr>
              <w:spacing w:after="0"/>
              <w:rPr>
                <w:sz w:val="24"/>
                <w:szCs w:val="24"/>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(5,972,032)</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(391,357)</w:t>
            </w:r>
          </w:p>
        </w:tc>
      </w:tr>
      <w:tr>
        <w:trPr>
          <w:trHeight w:val="396"/>
        </w:trPr>
        <w:tc>
          <w:tcPr>
            <w:tcW w:w="686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Net proceeds from issuance of common stock....................</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4,493</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Exercise of employee stock options............................</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50,736</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200,770</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Repurchase of common stock....................................</w:t>
            </w:r>
          </w:p>
        </w:tc>
        <w:tc>
          <w:tcPr>
            <w:tcW w:w="240" w:type="dxa"/>
            <w:vAlign w:val="bottom"/>
          </w:tcPr>
          <w:p>
            <w:pPr>
              <w:spacing w:after="0"/>
              <w:rPr>
                <w:sz w:val="17"/>
                <w:szCs w:val="17"/>
                <w:color w:val="auto"/>
              </w:rPr>
            </w:pPr>
          </w:p>
        </w:tc>
        <w:tc>
          <w:tcPr>
            <w:tcW w:w="12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(52,964)</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Principal payments on capital lease obligations...............</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(23,590)</w:t>
            </w:r>
          </w:p>
        </w:tc>
        <w:tc>
          <w:tcPr>
            <w:tcW w:w="2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(62,607)</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Payments on line of credit....................................</w:t>
            </w:r>
          </w:p>
        </w:tc>
        <w:tc>
          <w:tcPr>
            <w:tcW w:w="24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(196,386)</w:t>
            </w:r>
          </w:p>
        </w:tc>
        <w:tc>
          <w:tcPr>
            <w:tcW w:w="220" w:type="dxa"/>
            <w:vAlign w:val="bottom"/>
          </w:tcPr>
          <w:p>
            <w:pPr>
              <w:spacing w:after="0"/>
              <w:rPr>
                <w:sz w:val="17"/>
                <w:szCs w:val="17"/>
                <w:color w:val="auto"/>
              </w:rPr>
            </w:pPr>
          </w:p>
        </w:tc>
        <w:tc>
          <w:tcPr>
            <w:tcW w:w="112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396"/>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Net cash provided by (used in) financing activities...</w:t>
            </w:r>
          </w:p>
        </w:tc>
        <w:tc>
          <w:tcPr>
            <w:tcW w:w="240" w:type="dxa"/>
            <w:vAlign w:val="bottom"/>
          </w:tcPr>
          <w:p>
            <w:pPr>
              <w:spacing w:after="0"/>
              <w:rPr>
                <w:sz w:val="24"/>
                <w:szCs w:val="24"/>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(164,747)</w:t>
            </w:r>
          </w:p>
        </w:tc>
        <w:tc>
          <w:tcPr>
            <w:tcW w:w="2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85,199</w:t>
            </w:r>
          </w:p>
        </w:tc>
      </w:tr>
      <w:tr>
        <w:trPr>
          <w:trHeight w:val="198"/>
        </w:trPr>
        <w:tc>
          <w:tcPr>
            <w:tcW w:w="6860" w:type="dxa"/>
            <w:vAlign w:val="bottom"/>
          </w:tcPr>
          <w:p>
            <w:pPr>
              <w:spacing w:after="0"/>
              <w:rPr>
                <w:sz w:val="17"/>
                <w:szCs w:val="17"/>
                <w:color w:val="auto"/>
              </w:rPr>
            </w:pPr>
          </w:p>
        </w:tc>
        <w:tc>
          <w:tcPr>
            <w:tcW w:w="14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Net increase (decrease) in cash..................................</w:t>
            </w:r>
          </w:p>
        </w:tc>
        <w:tc>
          <w:tcPr>
            <w:tcW w:w="240" w:type="dxa"/>
            <w:vAlign w:val="bottom"/>
          </w:tcPr>
          <w:p>
            <w:pPr>
              <w:spacing w:after="0"/>
              <w:rPr>
                <w:sz w:val="24"/>
                <w:szCs w:val="24"/>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w w:val="99"/>
              </w:rPr>
              <w:t>(8,843,554)</w:t>
            </w:r>
          </w:p>
        </w:tc>
        <w:tc>
          <w:tcPr>
            <w:tcW w:w="220" w:type="dxa"/>
            <w:vAlign w:val="bottom"/>
          </w:tcPr>
          <w:p>
            <w:pPr>
              <w:spacing w:after="0"/>
              <w:rPr>
                <w:sz w:val="24"/>
                <w:szCs w:val="24"/>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1,068,483</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Cash and cash equivalents at the beginning of the year...........</w:t>
            </w:r>
          </w:p>
        </w:tc>
        <w:tc>
          <w:tcPr>
            <w:tcW w:w="240" w:type="dxa"/>
            <w:vAlign w:val="bottom"/>
          </w:tcPr>
          <w:p>
            <w:pPr>
              <w:spacing w:after="0"/>
              <w:rPr>
                <w:sz w:val="17"/>
                <w:szCs w:val="17"/>
                <w:color w:val="auto"/>
              </w:rPr>
            </w:pPr>
          </w:p>
        </w:tc>
        <w:tc>
          <w:tcPr>
            <w:tcW w:w="1240" w:type="dxa"/>
            <w:vAlign w:val="bottom"/>
          </w:tcPr>
          <w:p>
            <w:pPr>
              <w:jc w:val="right"/>
              <w:ind w:right="114"/>
              <w:spacing w:after="0"/>
              <w:rPr>
                <w:sz w:val="20"/>
                <w:szCs w:val="20"/>
                <w:color w:val="auto"/>
              </w:rPr>
            </w:pPr>
            <w:r>
              <w:rPr>
                <w:rFonts w:ascii="Courier New" w:cs="Courier New" w:eastAsia="Courier New" w:hAnsi="Courier New"/>
                <w:sz w:val="17"/>
                <w:szCs w:val="17"/>
                <w:color w:val="auto"/>
                <w:w w:val="99"/>
              </w:rPr>
              <w:t>14,248,502</w:t>
            </w:r>
          </w:p>
        </w:tc>
        <w:tc>
          <w:tcPr>
            <w:tcW w:w="220" w:type="dxa"/>
            <w:vAlign w:val="bottom"/>
          </w:tcPr>
          <w:p>
            <w:pPr>
              <w:spacing w:after="0"/>
              <w:rPr>
                <w:sz w:val="17"/>
                <w:szCs w:val="17"/>
                <w:color w:val="auto"/>
              </w:rPr>
            </w:pPr>
          </w:p>
        </w:tc>
        <w:tc>
          <w:tcPr>
            <w:tcW w:w="112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6,852,243</w:t>
            </w:r>
          </w:p>
        </w:tc>
      </w:tr>
      <w:tr>
        <w:trPr>
          <w:trHeight w:val="198"/>
        </w:trPr>
        <w:tc>
          <w:tcPr>
            <w:tcW w:w="6860" w:type="dxa"/>
            <w:vAlign w:val="bottom"/>
          </w:tcPr>
          <w:p>
            <w:pPr>
              <w:spacing w:after="0"/>
              <w:rPr>
                <w:sz w:val="17"/>
                <w:szCs w:val="17"/>
                <w:color w:val="auto"/>
              </w:rPr>
            </w:pPr>
          </w:p>
        </w:tc>
        <w:tc>
          <w:tcPr>
            <w:tcW w:w="14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Cash and cash equivalents at the end of the period...............</w:t>
            </w:r>
          </w:p>
        </w:tc>
        <w:tc>
          <w:tcPr>
            <w:tcW w:w="14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$ 5,404,948</w:t>
            </w: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$ 7,920,726</w:t>
            </w:r>
          </w:p>
        </w:tc>
      </w:tr>
      <w:tr>
        <w:trPr>
          <w:trHeight w:val="198"/>
        </w:trPr>
        <w:tc>
          <w:tcPr>
            <w:tcW w:w="6860" w:type="dxa"/>
            <w:vAlign w:val="bottom"/>
          </w:tcPr>
          <w:p>
            <w:pPr>
              <w:spacing w:after="0"/>
              <w:rPr>
                <w:sz w:val="17"/>
                <w:szCs w:val="17"/>
                <w:color w:val="auto"/>
              </w:rPr>
            </w:pPr>
          </w:p>
        </w:tc>
        <w:tc>
          <w:tcPr>
            <w:tcW w:w="148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3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860" w:type="dxa"/>
            <w:vAlign w:val="bottom"/>
          </w:tcPr>
          <w:p>
            <w:pPr>
              <w:spacing w:after="0"/>
              <w:rPr>
                <w:sz w:val="20"/>
                <w:szCs w:val="20"/>
                <w:color w:val="auto"/>
              </w:rPr>
            </w:pPr>
            <w:r>
              <w:rPr>
                <w:rFonts w:ascii="Courier New" w:cs="Courier New" w:eastAsia="Courier New" w:hAnsi="Courier New"/>
                <w:sz w:val="17"/>
                <w:szCs w:val="17"/>
                <w:color w:val="auto"/>
              </w:rPr>
              <w:t>Supplemental disclosure of cash flow information:</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Income taxes paid.............................................</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(489,400)</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(240,000)</w:t>
            </w:r>
          </w:p>
        </w:tc>
      </w:tr>
      <w:tr>
        <w:trPr>
          <w:trHeight w:val="198"/>
        </w:trPr>
        <w:tc>
          <w:tcPr>
            <w:tcW w:w="68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Interest paid.................................................</w:t>
            </w:r>
          </w:p>
        </w:tc>
        <w:tc>
          <w:tcPr>
            <w:tcW w:w="240" w:type="dxa"/>
            <w:vAlign w:val="bottom"/>
          </w:tcPr>
          <w:p>
            <w:pPr>
              <w:ind w:left="140"/>
              <w:spacing w:after="0"/>
              <w:rPr>
                <w:sz w:val="20"/>
                <w:szCs w:val="20"/>
                <w:color w:val="auto"/>
              </w:rPr>
            </w:pPr>
            <w:r>
              <w:rPr>
                <w:rFonts w:ascii="Courier New" w:cs="Courier New" w:eastAsia="Courier New" w:hAnsi="Courier New"/>
                <w:sz w:val="17"/>
                <w:szCs w:val="17"/>
                <w:color w:val="auto"/>
                <w:w w:val="77"/>
              </w:rPr>
              <w:t>$</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(8,664)</w:t>
            </w:r>
          </w:p>
        </w:tc>
        <w:tc>
          <w:tcPr>
            <w:tcW w:w="2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(5,034)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000"/>
        <w:spacing w:after="0"/>
        <w:rPr>
          <w:sz w:val="20"/>
          <w:szCs w:val="20"/>
          <w:color w:val="auto"/>
        </w:rPr>
      </w:pPr>
      <w:r>
        <w:rPr>
          <w:rFonts w:ascii="Courier New" w:cs="Courier New" w:eastAsia="Courier New" w:hAnsi="Courier New"/>
          <w:sz w:val="17"/>
          <w:szCs w:val="17"/>
          <w:color w:val="auto"/>
        </w:rPr>
        <w:t>See accompanying notes</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1105" w:right="1440" w:bottom="919" w:gutter="0" w:footer="0" w:header="0"/>
        </w:sectPr>
      </w:pPr>
    </w:p>
    <w:bookmarkStart w:id="5" w:name="page6"/>
    <w:bookmarkEnd w:id="5"/>
    <w:p>
      <w:pPr>
        <w:ind w:left="2680"/>
        <w:spacing w:after="0"/>
        <w:rPr>
          <w:sz w:val="20"/>
          <w:szCs w:val="20"/>
          <w:color w:val="auto"/>
        </w:rPr>
      </w:pPr>
      <w:r>
        <w:rPr>
          <w:rFonts w:ascii="Courier New" w:cs="Courier New" w:eastAsia="Courier New" w:hAnsi="Courier New"/>
          <w:sz w:val="17"/>
          <w:szCs w:val="17"/>
          <w:color w:val="auto"/>
        </w:rPr>
        <w:t>CLEARONE COMMUNICATIONS, INC.</w:t>
      </w:r>
    </w:p>
    <w:p>
      <w:pPr>
        <w:spacing w:after="0" w:line="203"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w:t>
      </w:r>
    </w:p>
    <w:p>
      <w:pPr>
        <w:spacing w:after="0" w:line="5" w:lineRule="exact"/>
        <w:rPr>
          <w:sz w:val="20"/>
          <w:szCs w:val="20"/>
          <w:color w:val="auto"/>
        </w:rPr>
      </w:pPr>
    </w:p>
    <w:p>
      <w:pPr>
        <w:ind w:left="3200"/>
        <w:spacing w:after="0"/>
        <w:rPr>
          <w:sz w:val="20"/>
          <w:szCs w:val="20"/>
          <w:color w:val="auto"/>
        </w:rPr>
      </w:pPr>
      <w:r>
        <w:rPr>
          <w:rFonts w:ascii="Courier New" w:cs="Courier New" w:eastAsia="Courier New" w:hAnsi="Courier New"/>
          <w:sz w:val="17"/>
          <w:szCs w:val="17"/>
          <w:color w:val="auto"/>
        </w:rPr>
        <w:t>September 30, 2002</w:t>
      </w:r>
    </w:p>
    <w:p>
      <w:pPr>
        <w:spacing w:after="0" w:line="5"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(Unaudited)</w:t>
      </w:r>
    </w:p>
    <w:p>
      <w:pPr>
        <w:spacing w:after="0" w:line="203" w:lineRule="exact"/>
        <w:rPr>
          <w:sz w:val="20"/>
          <w:szCs w:val="20"/>
          <w:color w:val="auto"/>
        </w:rPr>
      </w:pPr>
    </w:p>
    <w:p>
      <w:pPr>
        <w:ind w:left="420" w:hanging="414"/>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Basis of Presentation</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Effective January 1, 2002, Gentner Communications Corp. changed its name to ClearOne Communications, Inc. ClearOne began trading under the symbol CLRO on March 15, 2002.</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accompanying unaudited financial statements have been prepared in accordance with accounting principles generally accepted in the United States for interim financial information and with the instructions to Form 10-Q of Regulation S-X. Accordingly, certain information and footnote disclosures normally included in complete financial statements have been condensed or omitted. These financial statements should be read in conjunction with the financial statements and footnotes thereto included in the Company's 2002 Annual Report on Form 10-K.</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New Accounting Pronouncements - In July 2001, the FASB issued SFAS No. 142, "Goodwill and Other Intangible Assets" which addresses financial accounting and reporting for acquired goodwill and other intangible assets and supersedes APB Opinion No. 17, "Intangible Assets." SFAS No. 142 eliminates amortization of goodwill and intangible assets with indefinite lives and instead sets forth methods to periodically evaluate goodwill for impairment in accordance with this statement. Intangible assets with finite lives will continue to be amortized over their useful lives and evaluated for impairment in accordance with SFAS No.</w:t>
      </w:r>
    </w:p>
    <w:p>
      <w:pPr>
        <w:spacing w:after="0" w:line="5" w:lineRule="exact"/>
        <w:rPr>
          <w:sz w:val="20"/>
          <w:szCs w:val="20"/>
          <w:color w:val="auto"/>
        </w:rPr>
      </w:pPr>
    </w:p>
    <w:p>
      <w:pPr>
        <w:jc w:val="both"/>
        <w:ind w:right="2179" w:firstLine="6"/>
        <w:spacing w:after="0" w:line="246" w:lineRule="auto"/>
        <w:tabs>
          <w:tab w:leader="none" w:pos="51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SFAS No. 142 provides guidance for testing goodwill and intangible assets that will not be amortized for impairment. The amortization provisions of SFAS No. 142 apply to goodwill and intangible assets acquired after June 30, 2001.</w:t>
      </w:r>
    </w:p>
    <w:p>
      <w:pPr>
        <w:spacing w:after="0" w:line="1" w:lineRule="exact"/>
        <w:rPr>
          <w:rFonts w:ascii="Courier New" w:cs="Courier New" w:eastAsia="Courier New" w:hAnsi="Courier New"/>
          <w:sz w:val="17"/>
          <w:szCs w:val="17"/>
          <w:color w:val="auto"/>
        </w:rPr>
      </w:pPr>
    </w:p>
    <w:p>
      <w:pPr>
        <w:ind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adopted SFAS No. 142 with respect to its fiscal year 2002 acquisitions of Ivron Systems, Ltd., as of October 3, 2001 and E.mergent, Inc. as of May 31, 2002 and its fiscal year 2003 acquisition of OM Video as of August 27, 2002. With respect to goodwill and intangible assets acquired prior to July 1, 2001, the Company adopted this statement effective July 1, 2002.</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As of September 30, 2002, the Company's gross goodwill balance is $27.1 million, including $6.2 million of goodwill acquired in the first quarter of fiscal year 2003 resulting from the acquisition of OM Video. As of September 30, 2002, the Company had accumulated amortization relating to goodwill of $376,000. The adoption of SFAS No. 142 will reduce the Company's amortization expense by approximately $188,000 annually beginning in fiscal year 2003 due to the nonamortization of goodwill. Amortization expense for goodwill for the three months ended September 30, 2001 was $47,000. Adjusted net income (loss) and net income (loss) per common share for the three months ended September 30, 2001 compared to the actual results for the three months ended September 30, 2002 is as follows: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60" w:type="dxa"/>
            <w:vAlign w:val="bottom"/>
          </w:tcPr>
          <w:p>
            <w:pPr>
              <w:spacing w:after="0"/>
              <w:rPr>
                <w:sz w:val="16"/>
                <w:szCs w:val="16"/>
                <w:color w:val="auto"/>
              </w:rPr>
            </w:pPr>
          </w:p>
        </w:tc>
        <w:tc>
          <w:tcPr>
            <w:tcW w:w="3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For three months ended September 30</w:t>
            </w:r>
          </w:p>
        </w:tc>
      </w:tr>
      <w:tr>
        <w:trPr>
          <w:trHeight w:val="198"/>
        </w:trPr>
        <w:tc>
          <w:tcPr>
            <w:tcW w:w="5660" w:type="dxa"/>
            <w:vAlign w:val="bottom"/>
          </w:tcPr>
          <w:p>
            <w:pPr>
              <w:spacing w:after="0"/>
              <w:rPr>
                <w:sz w:val="17"/>
                <w:szCs w:val="17"/>
                <w:color w:val="auto"/>
              </w:rPr>
            </w:pPr>
          </w:p>
        </w:tc>
        <w:tc>
          <w:tcPr>
            <w:tcW w:w="3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660" w:type="dxa"/>
            <w:vAlign w:val="bottom"/>
          </w:tcPr>
          <w:p>
            <w:pPr>
              <w:spacing w:after="0"/>
              <w:rPr>
                <w:sz w:val="17"/>
                <w:szCs w:val="17"/>
                <w:color w:val="auto"/>
              </w:rPr>
            </w:pPr>
          </w:p>
        </w:tc>
        <w:tc>
          <w:tcPr>
            <w:tcW w:w="1960" w:type="dxa"/>
            <w:vAlign w:val="bottom"/>
          </w:tcPr>
          <w:p>
            <w:pPr>
              <w:jc w:val="center"/>
              <w:ind w:left="234"/>
              <w:spacing w:after="0"/>
              <w:rPr>
                <w:sz w:val="20"/>
                <w:szCs w:val="20"/>
                <w:color w:val="auto"/>
              </w:rPr>
            </w:pPr>
            <w:r>
              <w:rPr>
                <w:rFonts w:ascii="Courier New" w:cs="Courier New" w:eastAsia="Courier New" w:hAnsi="Courier New"/>
                <w:sz w:val="17"/>
                <w:szCs w:val="17"/>
                <w:color w:val="auto"/>
                <w:w w:val="97"/>
              </w:rPr>
              <w:t>2002</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2001</w:t>
            </w:r>
          </w:p>
        </w:tc>
      </w:tr>
      <w:tr>
        <w:trPr>
          <w:trHeight w:val="198"/>
        </w:trPr>
        <w:tc>
          <w:tcPr>
            <w:tcW w:w="5660" w:type="dxa"/>
            <w:vAlign w:val="bottom"/>
          </w:tcPr>
          <w:p>
            <w:pPr>
              <w:spacing w:after="0"/>
              <w:rPr>
                <w:sz w:val="17"/>
                <w:szCs w:val="17"/>
                <w:color w:val="auto"/>
              </w:rPr>
            </w:pPr>
          </w:p>
        </w:tc>
        <w:tc>
          <w:tcPr>
            <w:tcW w:w="1960" w:type="dxa"/>
            <w:vAlign w:val="bottom"/>
          </w:tcPr>
          <w:p>
            <w:pPr>
              <w:jc w:val="center"/>
              <w:ind w:left="234"/>
              <w:spacing w:after="0"/>
              <w:rPr>
                <w:sz w:val="20"/>
                <w:szCs w:val="20"/>
                <w:color w:val="auto"/>
              </w:rPr>
            </w:pPr>
            <w:r>
              <w:rPr>
                <w:rFonts w:ascii="Courier New" w:cs="Courier New" w:eastAsia="Courier New" w:hAnsi="Courier New"/>
                <w:sz w:val="17"/>
                <w:szCs w:val="17"/>
                <w:color w:val="auto"/>
                <w:w w:val="97"/>
              </w:rPr>
              <w:t>----</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594"/>
        </w:trPr>
        <w:tc>
          <w:tcPr>
            <w:tcW w:w="5660" w:type="dxa"/>
            <w:vAlign w:val="bottom"/>
          </w:tcPr>
          <w:p>
            <w:pPr>
              <w:spacing w:after="0"/>
              <w:rPr>
                <w:sz w:val="20"/>
                <w:szCs w:val="20"/>
                <w:color w:val="auto"/>
              </w:rPr>
            </w:pPr>
            <w:r>
              <w:rPr>
                <w:rFonts w:ascii="Courier New" w:cs="Courier New" w:eastAsia="Courier New" w:hAnsi="Courier New"/>
                <w:sz w:val="17"/>
                <w:szCs w:val="17"/>
                <w:color w:val="auto"/>
              </w:rPr>
              <w:t>Reported net income (loss)..........................</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$(1,159,825)</w:t>
            </w:r>
          </w:p>
        </w:tc>
        <w:tc>
          <w:tcPr>
            <w:tcW w:w="19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$ 1,411,706</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Goodwill amortization...............................</w:t>
            </w:r>
          </w:p>
        </w:tc>
        <w:tc>
          <w:tcPr>
            <w:tcW w:w="1960" w:type="dxa"/>
            <w:vAlign w:val="bottom"/>
          </w:tcPr>
          <w:p>
            <w:pPr>
              <w:ind w:left="1140"/>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47,000</w:t>
            </w:r>
          </w:p>
        </w:tc>
      </w:tr>
      <w:tr>
        <w:trPr>
          <w:trHeight w:val="198"/>
        </w:trPr>
        <w:tc>
          <w:tcPr>
            <w:tcW w:w="5660" w:type="dxa"/>
            <w:vAlign w:val="bottom"/>
          </w:tcPr>
          <w:p>
            <w:pPr>
              <w:spacing w:after="0"/>
              <w:rPr>
                <w:sz w:val="17"/>
                <w:szCs w:val="17"/>
                <w:color w:val="auto"/>
              </w:rPr>
            </w:pP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Adjusted net income (loss)..........................</w:t>
            </w: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$(1,159,825)</w:t>
            </w:r>
          </w:p>
        </w:tc>
        <w:tc>
          <w:tcPr>
            <w:tcW w:w="19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$ 1,458,706</w:t>
            </w:r>
          </w:p>
        </w:tc>
      </w:tr>
      <w:tr>
        <w:trPr>
          <w:trHeight w:val="198"/>
        </w:trPr>
        <w:tc>
          <w:tcPr>
            <w:tcW w:w="5660" w:type="dxa"/>
            <w:vAlign w:val="bottom"/>
          </w:tcPr>
          <w:p>
            <w:pPr>
              <w:spacing w:after="0"/>
              <w:rPr>
                <w:sz w:val="17"/>
                <w:szCs w:val="17"/>
                <w:color w:val="auto"/>
              </w:rPr>
            </w:pPr>
          </w:p>
        </w:tc>
        <w:tc>
          <w:tcPr>
            <w:tcW w:w="1960" w:type="dxa"/>
            <w:vAlign w:val="bottom"/>
          </w:tcPr>
          <w:p>
            <w:pPr>
              <w:ind w:left="420"/>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w:t>
            </w:r>
          </w:p>
        </w:tc>
      </w:tr>
      <w:tr>
        <w:trPr>
          <w:trHeight w:val="396"/>
        </w:trPr>
        <w:tc>
          <w:tcPr>
            <w:tcW w:w="5660" w:type="dxa"/>
            <w:vAlign w:val="bottom"/>
          </w:tcPr>
          <w:p>
            <w:pPr>
              <w:spacing w:after="0"/>
              <w:rPr>
                <w:sz w:val="20"/>
                <w:szCs w:val="20"/>
                <w:color w:val="auto"/>
              </w:rPr>
            </w:pPr>
            <w:r>
              <w:rPr>
                <w:rFonts w:ascii="Courier New" w:cs="Courier New" w:eastAsia="Courier New" w:hAnsi="Courier New"/>
                <w:sz w:val="17"/>
                <w:szCs w:val="17"/>
                <w:color w:val="auto"/>
              </w:rPr>
              <w:t>Basic net income (loss) per share reported..........</w:t>
            </w:r>
          </w:p>
        </w:tc>
        <w:tc>
          <w:tcPr>
            <w:tcW w:w="1960" w:type="dxa"/>
            <w:vAlign w:val="bottom"/>
          </w:tcPr>
          <w:p>
            <w:pPr>
              <w:ind w:left="720"/>
              <w:spacing w:after="0"/>
              <w:rPr>
                <w:sz w:val="20"/>
                <w:szCs w:val="20"/>
                <w:color w:val="auto"/>
              </w:rPr>
            </w:pPr>
            <w:r>
              <w:rPr>
                <w:rFonts w:ascii="Courier New" w:cs="Courier New" w:eastAsia="Courier New" w:hAnsi="Courier New"/>
                <w:sz w:val="17"/>
                <w:szCs w:val="17"/>
                <w:color w:val="auto"/>
              </w:rPr>
              <w:t>$(0.10)</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$0.16</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Goodwill amortization...............................</w:t>
            </w:r>
          </w:p>
        </w:tc>
        <w:tc>
          <w:tcPr>
            <w:tcW w:w="1960" w:type="dxa"/>
            <w:vAlign w:val="bottom"/>
          </w:tcPr>
          <w:p>
            <w:pPr>
              <w:jc w:val="center"/>
              <w:ind w:left="234"/>
              <w:spacing w:after="0"/>
              <w:rPr>
                <w:sz w:val="20"/>
                <w:szCs w:val="20"/>
                <w:color w:val="auto"/>
              </w:rPr>
            </w:pPr>
            <w:r>
              <w:rPr>
                <w:rFonts w:ascii="Courier New" w:cs="Courier New" w:eastAsia="Courier New" w:hAnsi="Courier New"/>
                <w:sz w:val="17"/>
                <w:szCs w:val="17"/>
                <w:color w:val="auto"/>
                <w:w w:val="97"/>
              </w:rPr>
              <w:t>--</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0.01</w:t>
            </w:r>
          </w:p>
        </w:tc>
      </w:tr>
      <w:tr>
        <w:trPr>
          <w:trHeight w:val="198"/>
        </w:trPr>
        <w:tc>
          <w:tcPr>
            <w:tcW w:w="5660" w:type="dxa"/>
            <w:vAlign w:val="bottom"/>
          </w:tcPr>
          <w:p>
            <w:pPr>
              <w:spacing w:after="0"/>
              <w:rPr>
                <w:sz w:val="17"/>
                <w:szCs w:val="17"/>
                <w:color w:val="auto"/>
              </w:rPr>
            </w:pPr>
          </w:p>
        </w:tc>
        <w:tc>
          <w:tcPr>
            <w:tcW w:w="196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Adjusted............................................</w:t>
            </w:r>
          </w:p>
        </w:tc>
        <w:tc>
          <w:tcPr>
            <w:tcW w:w="1960" w:type="dxa"/>
            <w:vAlign w:val="bottom"/>
          </w:tcPr>
          <w:p>
            <w:pPr>
              <w:ind w:left="720"/>
              <w:spacing w:after="0"/>
              <w:rPr>
                <w:sz w:val="20"/>
                <w:szCs w:val="20"/>
                <w:color w:val="auto"/>
              </w:rPr>
            </w:pPr>
            <w:r>
              <w:rPr>
                <w:rFonts w:ascii="Courier New" w:cs="Courier New" w:eastAsia="Courier New" w:hAnsi="Courier New"/>
                <w:sz w:val="17"/>
                <w:szCs w:val="17"/>
                <w:color w:val="auto"/>
              </w:rPr>
              <w:t>$(0.10)</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$0.17</w:t>
            </w:r>
          </w:p>
        </w:tc>
      </w:tr>
      <w:tr>
        <w:trPr>
          <w:trHeight w:val="198"/>
        </w:trPr>
        <w:tc>
          <w:tcPr>
            <w:tcW w:w="5660" w:type="dxa"/>
            <w:vAlign w:val="bottom"/>
          </w:tcPr>
          <w:p>
            <w:pPr>
              <w:spacing w:after="0"/>
              <w:rPr>
                <w:sz w:val="17"/>
                <w:szCs w:val="17"/>
                <w:color w:val="auto"/>
              </w:rPr>
            </w:pPr>
          </w:p>
        </w:tc>
        <w:tc>
          <w:tcPr>
            <w:tcW w:w="196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396"/>
        </w:trPr>
        <w:tc>
          <w:tcPr>
            <w:tcW w:w="5660" w:type="dxa"/>
            <w:vAlign w:val="bottom"/>
          </w:tcPr>
          <w:p>
            <w:pPr>
              <w:spacing w:after="0"/>
              <w:rPr>
                <w:sz w:val="20"/>
                <w:szCs w:val="20"/>
                <w:color w:val="auto"/>
              </w:rPr>
            </w:pPr>
            <w:r>
              <w:rPr>
                <w:rFonts w:ascii="Courier New" w:cs="Courier New" w:eastAsia="Courier New" w:hAnsi="Courier New"/>
                <w:sz w:val="17"/>
                <w:szCs w:val="17"/>
                <w:color w:val="auto"/>
              </w:rPr>
              <w:t>Diluted net income (loss) per share reported........</w:t>
            </w:r>
          </w:p>
        </w:tc>
        <w:tc>
          <w:tcPr>
            <w:tcW w:w="1960" w:type="dxa"/>
            <w:vAlign w:val="bottom"/>
          </w:tcPr>
          <w:p>
            <w:pPr>
              <w:ind w:left="720"/>
              <w:spacing w:after="0"/>
              <w:rPr>
                <w:sz w:val="20"/>
                <w:szCs w:val="20"/>
                <w:color w:val="auto"/>
              </w:rPr>
            </w:pPr>
            <w:r>
              <w:rPr>
                <w:rFonts w:ascii="Courier New" w:cs="Courier New" w:eastAsia="Courier New" w:hAnsi="Courier New"/>
                <w:sz w:val="17"/>
                <w:szCs w:val="17"/>
                <w:color w:val="auto"/>
              </w:rPr>
              <w:t>$(0.10)</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$0.16</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Goodwill amortization...............................</w:t>
            </w:r>
          </w:p>
        </w:tc>
        <w:tc>
          <w:tcPr>
            <w:tcW w:w="1960" w:type="dxa"/>
            <w:vAlign w:val="bottom"/>
          </w:tcPr>
          <w:p>
            <w:pPr>
              <w:jc w:val="center"/>
              <w:ind w:left="234"/>
              <w:spacing w:after="0"/>
              <w:rPr>
                <w:sz w:val="20"/>
                <w:szCs w:val="20"/>
                <w:color w:val="auto"/>
              </w:rPr>
            </w:pPr>
            <w:r>
              <w:rPr>
                <w:rFonts w:ascii="Courier New" w:cs="Courier New" w:eastAsia="Courier New" w:hAnsi="Courier New"/>
                <w:sz w:val="17"/>
                <w:szCs w:val="17"/>
                <w:color w:val="auto"/>
                <w:w w:val="97"/>
              </w:rPr>
              <w:t>--</w:t>
            </w:r>
          </w:p>
        </w:tc>
        <w:tc>
          <w:tcPr>
            <w:tcW w:w="196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w:t>
            </w:r>
          </w:p>
        </w:tc>
      </w:tr>
      <w:tr>
        <w:trPr>
          <w:trHeight w:val="198"/>
        </w:trPr>
        <w:tc>
          <w:tcPr>
            <w:tcW w:w="5660" w:type="dxa"/>
            <w:vAlign w:val="bottom"/>
          </w:tcPr>
          <w:p>
            <w:pPr>
              <w:spacing w:after="0"/>
              <w:rPr>
                <w:sz w:val="17"/>
                <w:szCs w:val="17"/>
                <w:color w:val="auto"/>
              </w:rPr>
            </w:pPr>
          </w:p>
        </w:tc>
        <w:tc>
          <w:tcPr>
            <w:tcW w:w="196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r>
      <w:tr>
        <w:trPr>
          <w:trHeight w:val="198"/>
        </w:trPr>
        <w:tc>
          <w:tcPr>
            <w:tcW w:w="5660" w:type="dxa"/>
            <w:vAlign w:val="bottom"/>
          </w:tcPr>
          <w:p>
            <w:pPr>
              <w:spacing w:after="0"/>
              <w:rPr>
                <w:sz w:val="20"/>
                <w:szCs w:val="20"/>
                <w:color w:val="auto"/>
              </w:rPr>
            </w:pPr>
            <w:r>
              <w:rPr>
                <w:rFonts w:ascii="Courier New" w:cs="Courier New" w:eastAsia="Courier New" w:hAnsi="Courier New"/>
                <w:sz w:val="17"/>
                <w:szCs w:val="17"/>
                <w:color w:val="auto"/>
              </w:rPr>
              <w:t>Adjusted............................................</w:t>
            </w:r>
          </w:p>
        </w:tc>
        <w:tc>
          <w:tcPr>
            <w:tcW w:w="1960" w:type="dxa"/>
            <w:vAlign w:val="bottom"/>
          </w:tcPr>
          <w:p>
            <w:pPr>
              <w:ind w:left="720"/>
              <w:spacing w:after="0"/>
              <w:rPr>
                <w:sz w:val="20"/>
                <w:szCs w:val="20"/>
                <w:color w:val="auto"/>
              </w:rPr>
            </w:pPr>
            <w:r>
              <w:rPr>
                <w:rFonts w:ascii="Courier New" w:cs="Courier New" w:eastAsia="Courier New" w:hAnsi="Courier New"/>
                <w:sz w:val="17"/>
                <w:szCs w:val="17"/>
                <w:color w:val="auto"/>
              </w:rPr>
              <w:t>$(0.10)</w:t>
            </w:r>
          </w:p>
        </w:tc>
        <w:tc>
          <w:tcPr>
            <w:tcW w:w="196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$0.16</w:t>
            </w:r>
          </w:p>
        </w:tc>
      </w:tr>
    </w:tbl>
    <w:p>
      <w:pPr>
        <w:sectPr>
          <w:pgSz w:w="11900" w:h="16838" w:orient="portrait"/>
          <w:cols w:equalWidth="0" w:num="1">
            <w:col w:w="10219"/>
          </w:cols>
          <w:pgMar w:left="240" w:top="907" w:right="1440" w:bottom="0" w:gutter="0" w:footer="0" w:header="0"/>
        </w:sectPr>
      </w:pPr>
    </w:p>
    <w:bookmarkStart w:id="6" w:name="page7"/>
    <w:bookmarkEnd w:id="6"/>
    <w:p>
      <w:pPr>
        <w:jc w:val="both"/>
        <w:ind w:left="5180"/>
        <w:spacing w:after="0"/>
        <w:tabs>
          <w:tab w:leader="none" w:pos="712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8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9019"/>
          </w:cols>
          <w:pgMar w:left="1440" w:top="142" w:right="1440" w:bottom="1440" w:gutter="0" w:footer="0" w:header="0"/>
        </w:sectPr>
      </w:pPr>
    </w:p>
    <w:bookmarkStart w:id="7" w:name="page8"/>
    <w:bookmarkEnd w:id="7"/>
    <w:p>
      <w:pPr>
        <w:ind w:left="12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The following table summarizes the gross carrying value and accumulated amortization for each major class of intangible assets and their amortizable lives as of September 30, 2002:</w:t>
      </w:r>
    </w:p>
    <w:p>
      <w:pPr>
        <w:spacing w:after="0" w:line="200" w:lineRule="exact"/>
        <w:rPr>
          <w:sz w:val="20"/>
          <w:szCs w:val="20"/>
          <w:color w:val="auto"/>
        </w:rPr>
      </w:pPr>
    </w:p>
    <w:p>
      <w:pPr>
        <w:spacing w:after="0" w:line="396" w:lineRule="exact"/>
        <w:rPr>
          <w:sz w:val="20"/>
          <w:szCs w:val="20"/>
          <w:color w:val="auto"/>
        </w:rPr>
      </w:pPr>
    </w:p>
    <w:tbl>
      <w:tblPr>
        <w:tblLayout w:type="fixed"/>
        <w:tblInd w:w="820" w:type="dxa"/>
        <w:tblCellMar>
          <w:top w:w="0" w:type="dxa"/>
          <w:left w:w="0" w:type="dxa"/>
          <w:bottom w:w="0" w:type="dxa"/>
          <w:right w:w="0" w:type="dxa"/>
        </w:tblCellMar>
      </w:tblPr>
      <w:tr>
        <w:trPr>
          <w:trHeight w:val="193"/>
        </w:trPr>
        <w:tc>
          <w:tcPr>
            <w:tcW w:w="3920" w:type="dxa"/>
            <w:vAlign w:val="bottom"/>
          </w:tcPr>
          <w:p>
            <w:pPr>
              <w:spacing w:after="0"/>
              <w:rPr>
                <w:sz w:val="16"/>
                <w:szCs w:val="16"/>
                <w:color w:val="auto"/>
              </w:rPr>
            </w:pPr>
          </w:p>
        </w:tc>
        <w:tc>
          <w:tcPr>
            <w:tcW w:w="1760" w:type="dxa"/>
            <w:vAlign w:val="bottom"/>
          </w:tcPr>
          <w:p>
            <w:pPr>
              <w:jc w:val="center"/>
              <w:ind w:right="34"/>
              <w:spacing w:after="0"/>
              <w:rPr>
                <w:sz w:val="20"/>
                <w:szCs w:val="20"/>
                <w:color w:val="auto"/>
              </w:rPr>
            </w:pPr>
            <w:r>
              <w:rPr>
                <w:rFonts w:ascii="Courier New" w:cs="Courier New" w:eastAsia="Courier New" w:hAnsi="Courier New"/>
                <w:sz w:val="17"/>
                <w:szCs w:val="17"/>
                <w:color w:val="auto"/>
              </w:rPr>
              <w:t>Gross Carrying</w:t>
            </w:r>
          </w:p>
        </w:tc>
        <w:tc>
          <w:tcPr>
            <w:tcW w:w="1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Accumulated</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Amortizable</w:t>
            </w:r>
          </w:p>
        </w:tc>
      </w:tr>
      <w:tr>
        <w:trPr>
          <w:trHeight w:val="198"/>
        </w:trPr>
        <w:tc>
          <w:tcPr>
            <w:tcW w:w="3920" w:type="dxa"/>
            <w:vAlign w:val="bottom"/>
          </w:tcPr>
          <w:p>
            <w:pPr>
              <w:spacing w:after="0"/>
              <w:rPr>
                <w:sz w:val="17"/>
                <w:szCs w:val="17"/>
                <w:color w:val="auto"/>
              </w:rPr>
            </w:pPr>
          </w:p>
        </w:tc>
        <w:tc>
          <w:tcPr>
            <w:tcW w:w="1760" w:type="dxa"/>
            <w:vAlign w:val="bottom"/>
          </w:tcPr>
          <w:p>
            <w:pPr>
              <w:jc w:val="center"/>
              <w:ind w:right="14"/>
              <w:spacing w:after="0"/>
              <w:rPr>
                <w:sz w:val="20"/>
                <w:szCs w:val="20"/>
                <w:color w:val="auto"/>
              </w:rPr>
            </w:pPr>
            <w:r>
              <w:rPr>
                <w:rFonts w:ascii="Courier New" w:cs="Courier New" w:eastAsia="Courier New" w:hAnsi="Courier New"/>
                <w:sz w:val="17"/>
                <w:szCs w:val="17"/>
                <w:color w:val="auto"/>
              </w:rPr>
              <w:t>Amount</w:t>
            </w:r>
          </w:p>
        </w:tc>
        <w:tc>
          <w:tcPr>
            <w:tcW w:w="1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Amortization</w:t>
            </w:r>
          </w:p>
        </w:tc>
        <w:tc>
          <w:tcPr>
            <w:tcW w:w="1380" w:type="dxa"/>
            <w:vAlign w:val="bottom"/>
            <w:gridSpan w:val="2"/>
          </w:tcPr>
          <w:p>
            <w:pPr>
              <w:jc w:val="right"/>
              <w:ind w:right="334"/>
              <w:spacing w:after="0"/>
              <w:rPr>
                <w:sz w:val="20"/>
                <w:szCs w:val="20"/>
                <w:color w:val="auto"/>
              </w:rPr>
            </w:pPr>
            <w:r>
              <w:rPr>
                <w:rFonts w:ascii="Courier New" w:cs="Courier New" w:eastAsia="Courier New" w:hAnsi="Courier New"/>
                <w:sz w:val="17"/>
                <w:szCs w:val="17"/>
                <w:color w:val="auto"/>
              </w:rPr>
              <w:t>Life</w:t>
            </w:r>
          </w:p>
        </w:tc>
      </w:tr>
      <w:tr>
        <w:trPr>
          <w:trHeight w:val="198"/>
        </w:trPr>
        <w:tc>
          <w:tcPr>
            <w:tcW w:w="3920" w:type="dxa"/>
            <w:vAlign w:val="bottom"/>
          </w:tcPr>
          <w:p>
            <w:pPr>
              <w:spacing w:after="0"/>
              <w:rPr>
                <w:sz w:val="17"/>
                <w:szCs w:val="17"/>
                <w:color w:val="auto"/>
              </w:rPr>
            </w:pPr>
          </w:p>
        </w:tc>
        <w:tc>
          <w:tcPr>
            <w:tcW w:w="1760" w:type="dxa"/>
            <w:vAlign w:val="bottom"/>
          </w:tcPr>
          <w:p>
            <w:pPr>
              <w:jc w:val="center"/>
              <w:ind w:right="3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3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920" w:type="dxa"/>
            <w:vAlign w:val="bottom"/>
          </w:tcPr>
          <w:p>
            <w:pPr>
              <w:spacing w:after="0"/>
              <w:rPr>
                <w:sz w:val="20"/>
                <w:szCs w:val="20"/>
                <w:color w:val="auto"/>
              </w:rPr>
            </w:pPr>
            <w:r>
              <w:rPr>
                <w:rFonts w:ascii="Courier New" w:cs="Courier New" w:eastAsia="Courier New" w:hAnsi="Courier New"/>
                <w:sz w:val="17"/>
                <w:szCs w:val="17"/>
                <w:color w:val="auto"/>
              </w:rPr>
              <w:t>Contracts............................</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$1,420,970</w:t>
            </w:r>
          </w:p>
        </w:tc>
        <w:tc>
          <w:tcPr>
            <w:tcW w:w="170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$306,828</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1.5-3</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3920" w:type="dxa"/>
            <w:vAlign w:val="bottom"/>
          </w:tcPr>
          <w:p>
            <w:pPr>
              <w:spacing w:after="0"/>
              <w:rPr>
                <w:sz w:val="20"/>
                <w:szCs w:val="20"/>
                <w:color w:val="auto"/>
              </w:rPr>
            </w:pPr>
            <w:r>
              <w:rPr>
                <w:rFonts w:ascii="Courier New" w:cs="Courier New" w:eastAsia="Courier New" w:hAnsi="Courier New"/>
                <w:sz w:val="17"/>
                <w:szCs w:val="17"/>
                <w:color w:val="auto"/>
              </w:rPr>
              <w:t>Technology...........................</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5,256,369</w:t>
            </w:r>
          </w:p>
        </w:tc>
        <w:tc>
          <w:tcPr>
            <w:tcW w:w="170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625,222</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3-15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3920" w:type="dxa"/>
            <w:vAlign w:val="bottom"/>
          </w:tcPr>
          <w:p>
            <w:pPr>
              <w:spacing w:after="0"/>
              <w:rPr>
                <w:sz w:val="20"/>
                <w:szCs w:val="20"/>
                <w:color w:val="auto"/>
              </w:rPr>
            </w:pPr>
            <w:r>
              <w:rPr>
                <w:rFonts w:ascii="Courier New" w:cs="Courier New" w:eastAsia="Courier New" w:hAnsi="Courier New"/>
                <w:sz w:val="17"/>
                <w:szCs w:val="17"/>
                <w:color w:val="auto"/>
              </w:rPr>
              <w:t>Patents..............................</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1,602,826</w:t>
            </w:r>
          </w:p>
        </w:tc>
        <w:tc>
          <w:tcPr>
            <w:tcW w:w="170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59,115</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10-15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years</w:t>
            </w:r>
          </w:p>
        </w:tc>
      </w:tr>
      <w:tr>
        <w:trPr>
          <w:trHeight w:val="198"/>
        </w:trPr>
        <w:tc>
          <w:tcPr>
            <w:tcW w:w="3920" w:type="dxa"/>
            <w:vAlign w:val="bottom"/>
          </w:tcPr>
          <w:p>
            <w:pPr>
              <w:spacing w:after="0"/>
              <w:rPr>
                <w:sz w:val="17"/>
                <w:szCs w:val="17"/>
                <w:color w:val="auto"/>
              </w:rPr>
            </w:pP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8"/>
        </w:trPr>
        <w:tc>
          <w:tcPr>
            <w:tcW w:w="3920" w:type="dxa"/>
            <w:vAlign w:val="bottom"/>
          </w:tcPr>
          <w:p>
            <w:pPr>
              <w:spacing w:after="0"/>
              <w:rPr>
                <w:sz w:val="20"/>
                <w:szCs w:val="20"/>
                <w:color w:val="auto"/>
              </w:rPr>
            </w:pPr>
            <w:r>
              <w:rPr>
                <w:rFonts w:ascii="Courier New" w:cs="Courier New" w:eastAsia="Courier New" w:hAnsi="Courier New"/>
                <w:sz w:val="17"/>
                <w:szCs w:val="17"/>
                <w:color w:val="auto"/>
              </w:rPr>
              <w:t>Total amortizable intangible assets..</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$8,280,165</w:t>
            </w:r>
          </w:p>
        </w:tc>
        <w:tc>
          <w:tcPr>
            <w:tcW w:w="170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$991,165</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8"/>
        </w:trPr>
        <w:tc>
          <w:tcPr>
            <w:tcW w:w="3920" w:type="dxa"/>
            <w:vAlign w:val="bottom"/>
          </w:tcPr>
          <w:p>
            <w:pPr>
              <w:spacing w:after="0"/>
              <w:rPr>
                <w:sz w:val="17"/>
                <w:szCs w:val="17"/>
                <w:color w:val="auto"/>
              </w:rPr>
            </w:pP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700" w:type="dxa"/>
            <w:vAlign w:val="bottom"/>
          </w:tcPr>
          <w:p>
            <w:pPr>
              <w:jc w:val="right"/>
              <w:ind w:right="294"/>
              <w:spacing w:after="0"/>
              <w:rPr>
                <w:sz w:val="20"/>
                <w:szCs w:val="20"/>
                <w:color w:val="auto"/>
              </w:rPr>
            </w:pPr>
            <w:r>
              <w:rPr>
                <w:rFonts w:ascii="Courier New" w:cs="Courier New" w:eastAsia="Courier New" w:hAnsi="Courier New"/>
                <w:sz w:val="17"/>
                <w:szCs w:val="17"/>
                <w:color w:val="auto"/>
              </w:rPr>
              <w:t>========</w:t>
            </w:r>
          </w:p>
        </w:tc>
        <w:tc>
          <w:tcPr>
            <w:tcW w:w="820" w:type="dxa"/>
            <w:vAlign w:val="bottom"/>
          </w:tcPr>
          <w:p>
            <w:pPr>
              <w:spacing w:after="0"/>
              <w:rPr>
                <w:sz w:val="17"/>
                <w:szCs w:val="17"/>
                <w:color w:val="auto"/>
              </w:rPr>
            </w:pPr>
          </w:p>
        </w:tc>
        <w:tc>
          <w:tcPr>
            <w:tcW w:w="560" w:type="dxa"/>
            <w:vAlign w:val="bottom"/>
          </w:tcPr>
          <w:p>
            <w:pPr>
              <w:spacing w:after="0"/>
              <w:rPr>
                <w:sz w:val="17"/>
                <w:szCs w:val="17"/>
                <w:color w:val="auto"/>
              </w:rPr>
            </w:pPr>
          </w:p>
        </w:tc>
      </w:tr>
    </w:tbl>
    <w:p>
      <w:pPr>
        <w:spacing w:after="0" w:line="200" w:lineRule="exact"/>
        <w:rPr>
          <w:sz w:val="20"/>
          <w:szCs w:val="20"/>
          <w:color w:val="auto"/>
        </w:rPr>
      </w:pP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total amortization expense for intangible assets was $276,000 and $21,000 for the quarters ended September 30, 2002 and 2001, respectively. The estimated amortization expense for the next five fiscal years beginning July 1, 2002 is as follows:</w:t>
      </w:r>
    </w:p>
    <w:p>
      <w:pPr>
        <w:spacing w:after="0" w:line="200" w:lineRule="exact"/>
        <w:rPr>
          <w:sz w:val="20"/>
          <w:szCs w:val="20"/>
          <w:color w:val="auto"/>
        </w:rPr>
      </w:pPr>
    </w:p>
    <w:tbl>
      <w:tblPr>
        <w:tblLayout w:type="fixed"/>
        <w:tblInd w:w="820" w:type="dxa"/>
        <w:tblCellMar>
          <w:top w:w="0" w:type="dxa"/>
          <w:left w:w="0" w:type="dxa"/>
          <w:bottom w:w="0" w:type="dxa"/>
          <w:right w:w="0" w:type="dxa"/>
        </w:tblCellMar>
      </w:tblPr>
      <w:tr>
        <w:trPr>
          <w:trHeight w:val="193"/>
        </w:trPr>
        <w:tc>
          <w:tcPr>
            <w:tcW w:w="5980" w:type="dxa"/>
            <w:vAlign w:val="bottom"/>
            <w:gridSpan w:val="7"/>
          </w:tcPr>
          <w:p>
            <w:pPr>
              <w:spacing w:after="0"/>
              <w:rPr>
                <w:sz w:val="20"/>
                <w:szCs w:val="20"/>
                <w:color w:val="auto"/>
              </w:rPr>
            </w:pPr>
            <w:r>
              <w:rPr>
                <w:rFonts w:ascii="Courier New" w:cs="Courier New" w:eastAsia="Courier New" w:hAnsi="Courier New"/>
                <w:sz w:val="17"/>
                <w:szCs w:val="17"/>
                <w:color w:val="auto"/>
              </w:rPr>
              <w:t>For the year ended June 30, 2003........................</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$ 1,308,000</w:t>
            </w:r>
          </w:p>
        </w:tc>
      </w:tr>
      <w:tr>
        <w:trPr>
          <w:trHeight w:val="198"/>
        </w:trPr>
        <w:tc>
          <w:tcPr>
            <w:tcW w:w="5980" w:type="dxa"/>
            <w:vAlign w:val="bottom"/>
            <w:gridSpan w:val="7"/>
          </w:tcPr>
          <w:p>
            <w:pPr>
              <w:spacing w:after="0"/>
              <w:rPr>
                <w:sz w:val="20"/>
                <w:szCs w:val="20"/>
                <w:color w:val="auto"/>
              </w:rPr>
            </w:pPr>
            <w:r>
              <w:rPr>
                <w:rFonts w:ascii="Courier New" w:cs="Courier New" w:eastAsia="Courier New" w:hAnsi="Courier New"/>
                <w:sz w:val="17"/>
                <w:szCs w:val="17"/>
                <w:color w:val="auto"/>
              </w:rPr>
              <w:t>For the year ended June 30, 2004........................</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1,095,000</w:t>
            </w:r>
          </w:p>
        </w:tc>
      </w:tr>
      <w:tr>
        <w:trPr>
          <w:trHeight w:val="198"/>
        </w:trPr>
        <w:tc>
          <w:tcPr>
            <w:tcW w:w="5980" w:type="dxa"/>
            <w:vAlign w:val="bottom"/>
            <w:gridSpan w:val="7"/>
          </w:tcPr>
          <w:p>
            <w:pPr>
              <w:spacing w:after="0"/>
              <w:rPr>
                <w:sz w:val="20"/>
                <w:szCs w:val="20"/>
                <w:color w:val="auto"/>
              </w:rPr>
            </w:pPr>
            <w:r>
              <w:rPr>
                <w:rFonts w:ascii="Courier New" w:cs="Courier New" w:eastAsia="Courier New" w:hAnsi="Courier New"/>
                <w:sz w:val="17"/>
                <w:szCs w:val="17"/>
                <w:color w:val="auto"/>
              </w:rPr>
              <w:t>For the year ended June 30, 2005........................</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708,000</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For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year</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ended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June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3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2006........................</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583,000</w:t>
            </w:r>
          </w:p>
        </w:tc>
      </w:tr>
      <w:tr>
        <w:trPr>
          <w:trHeight w:val="198"/>
        </w:trPr>
        <w:tc>
          <w:tcPr>
            <w:tcW w:w="360" w:type="dxa"/>
            <w:vAlign w:val="bottom"/>
          </w:tcPr>
          <w:p>
            <w:pPr>
              <w:spacing w:after="0"/>
              <w:rPr>
                <w:sz w:val="20"/>
                <w:szCs w:val="20"/>
                <w:color w:val="auto"/>
              </w:rPr>
            </w:pPr>
            <w:r>
              <w:rPr>
                <w:rFonts w:ascii="Courier New" w:cs="Courier New" w:eastAsia="Courier New" w:hAnsi="Courier New"/>
                <w:sz w:val="17"/>
                <w:szCs w:val="17"/>
                <w:color w:val="auto"/>
              </w:rPr>
              <w:t>For</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year</w:t>
            </w:r>
          </w:p>
        </w:tc>
        <w:tc>
          <w:tcPr>
            <w:tcW w:w="620" w:type="dxa"/>
            <w:vAlign w:val="bottom"/>
          </w:tcPr>
          <w:p>
            <w:pPr>
              <w:ind w:left="40"/>
              <w:spacing w:after="0"/>
              <w:rPr>
                <w:sz w:val="20"/>
                <w:szCs w:val="20"/>
                <w:color w:val="auto"/>
              </w:rPr>
            </w:pPr>
            <w:r>
              <w:rPr>
                <w:rFonts w:ascii="Courier New" w:cs="Courier New" w:eastAsia="Courier New" w:hAnsi="Courier New"/>
                <w:sz w:val="17"/>
                <w:szCs w:val="17"/>
                <w:color w:val="auto"/>
              </w:rPr>
              <w:t>ended</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June</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c>
          <w:tcPr>
            <w:tcW w:w="31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2007........................</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433,000</w:t>
            </w:r>
          </w:p>
        </w:tc>
      </w:tr>
    </w:tbl>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SFAS No. 142 provides a six-month transition period from the effective date of adoption for the Company to complete Step 1 (determining and comparing the fair value of the Company's reporting units to their carrying values) of the transitional impairment test. The Company anticipates completing this impairment assessment by December 31, 2002. If, upon completion of Step 1, the carrying value exceeds the fair value, the goodwill of the reporting unit is potentially impaired and the Company must complete Step 2 in order to measure the impairment loss. Step 2 involves the calculation of the implied fair value of goodwill and must be completed by June 30, 2003. However, the Company currently does not expect to fail Step 1 of the transitional impairment test and therefore, does not expect to record an impairment loss upon completion of the transitional impairment analysis.</w:t>
      </w:r>
    </w:p>
    <w:p>
      <w:pPr>
        <w:spacing w:after="0" w:line="205"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August 2001, the FASB issued SFAS No. 144, "Accounting for the Impairment or Disposal of Long-Lived Assets." This Statement addresses financial accounting and reporting for the impairment or disposal of long-lived assets. This 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The Company adopted SFAS No. 144 effective July 1, 2002. The adoption of SFAS No. 144 did not have a material impact on the Company's financial conditions or results of operations.</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 July 2002, the FASB issued Statement of Financial Accounting Standards No. 146, "Accounting for Costs Associated with Exit or Disposal Activities". SFAS No. 146 addresses financial accounting and reporting for costs associated with exit or disposal activities and nullifies EITF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Under EITF No. 94-3, a liability for an exit cost was recognized at the date of an entity's commitment to an exit plan. A fundamental conclusion reached by the FASB in SFAS No. 146 is that an entity's commitment to a plan, by itself, does not create an obligation that meets the definition of a liability. Therefore, SFAS No. 146 eliminates the definition and requirements for recognition of exit costs in EITF No. 94-3. SFAS No. 146 also establishes that fair value is the objective for initial measurement of the liability. SFAS No. 146 is effective for exit or disposal activities that are initiated after December 31, 2002, with early adoption encouraged. The Company is currently evaluating the impact of SFAS No. 146 on its financial statements.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907" w:right="1440" w:bottom="0" w:gutter="0" w:footer="0" w:header="0"/>
        </w:sectPr>
      </w:pPr>
    </w:p>
    <w:bookmarkStart w:id="8" w:name="page9"/>
    <w:bookmarkEnd w:id="8"/>
    <w:p>
      <w:pPr>
        <w:ind w:left="12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left="420" w:hanging="414"/>
        <w:spacing w:after="0"/>
        <w:tabs>
          <w:tab w:leader="none" w:pos="4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Earnings Per Common Share</w:t>
      </w:r>
    </w:p>
    <w:p>
      <w:pPr>
        <w:spacing w:after="0" w:line="203" w:lineRule="exact"/>
        <w:rPr>
          <w:sz w:val="20"/>
          <w:szCs w:val="20"/>
          <w:color w:val="auto"/>
        </w:rPr>
      </w:pPr>
    </w:p>
    <w:p>
      <w:pPr>
        <w:ind w:right="3480"/>
        <w:spacing w:after="0" w:line="247" w:lineRule="auto"/>
        <w:rPr>
          <w:sz w:val="20"/>
          <w:szCs w:val="20"/>
          <w:color w:val="auto"/>
        </w:rPr>
      </w:pPr>
      <w:r>
        <w:rPr>
          <w:rFonts w:ascii="Courier New" w:cs="Courier New" w:eastAsia="Courier New" w:hAnsi="Courier New"/>
          <w:sz w:val="17"/>
          <w:szCs w:val="17"/>
          <w:color w:val="auto"/>
        </w:rPr>
        <w:t>The following table sets forth the computation of basic and diluted net income (loss) per share:</w:t>
      </w:r>
    </w:p>
    <w:p>
      <w:pPr>
        <w:spacing w:after="0" w:line="396" w:lineRule="exact"/>
        <w:rPr>
          <w:sz w:val="20"/>
          <w:szCs w:val="20"/>
          <w:color w:val="auto"/>
        </w:rPr>
      </w:pPr>
    </w:p>
    <w:p>
      <w:pPr>
        <w:ind w:left="9280"/>
        <w:spacing w:after="0"/>
        <w:rPr>
          <w:sz w:val="20"/>
          <w:szCs w:val="20"/>
          <w:color w:val="auto"/>
        </w:rPr>
      </w:pPr>
      <w:r>
        <w:rPr>
          <w:rFonts w:ascii="Courier New" w:cs="Courier New" w:eastAsia="Courier New" w:hAnsi="Courier New"/>
          <w:sz w:val="17"/>
          <w:szCs w:val="17"/>
          <w:color w:val="auto"/>
        </w:rPr>
        <w:t>Three months ended</w:t>
      </w:r>
    </w:p>
    <w:p>
      <w:pPr>
        <w:spacing w:after="0" w:line="5" w:lineRule="exact"/>
        <w:rPr>
          <w:sz w:val="20"/>
          <w:szCs w:val="20"/>
          <w:color w:val="auto"/>
        </w:rPr>
      </w:pPr>
    </w:p>
    <w:p>
      <w:pPr>
        <w:ind w:left="9580"/>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ind w:left="95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9160"/>
        <w:spacing w:after="0"/>
        <w:tabs>
          <w:tab w:leader="none" w:pos="10800" w:val="left"/>
        </w:tabs>
        <w:rPr>
          <w:sz w:val="20"/>
          <w:szCs w:val="20"/>
          <w:color w:val="auto"/>
        </w:rPr>
      </w:pPr>
      <w:r>
        <w:rPr>
          <w:rFonts w:ascii="Courier New" w:cs="Courier New" w:eastAsia="Courier New" w:hAnsi="Courier New"/>
          <w:sz w:val="16"/>
          <w:szCs w:val="16"/>
          <w:color w:val="auto"/>
        </w:rPr>
        <w:t>2002</w:t>
      </w:r>
      <w:r>
        <w:rPr>
          <w:sz w:val="20"/>
          <w:szCs w:val="20"/>
          <w:color w:val="auto"/>
        </w:rPr>
        <w:tab/>
      </w:r>
      <w:r>
        <w:rPr>
          <w:rFonts w:ascii="Courier New" w:cs="Courier New" w:eastAsia="Courier New" w:hAnsi="Courier New"/>
          <w:sz w:val="16"/>
          <w:szCs w:val="16"/>
          <w:color w:val="auto"/>
        </w:rPr>
        <w:t>2001</w:t>
      </w:r>
    </w:p>
    <w:p>
      <w:pPr>
        <w:spacing w:after="0" w:line="17" w:lineRule="exact"/>
        <w:rPr>
          <w:sz w:val="20"/>
          <w:szCs w:val="20"/>
          <w:color w:val="auto"/>
        </w:rPr>
      </w:pPr>
    </w:p>
    <w:p>
      <w:pPr>
        <w:ind w:left="9160"/>
        <w:spacing w:after="0"/>
        <w:tabs>
          <w:tab w:leader="none" w:pos="108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Numerator:</w:t>
      </w:r>
    </w:p>
    <w:p>
      <w:pPr>
        <w:sectPr>
          <w:pgSz w:w="11900" w:h="16838" w:orient="portrait"/>
          <w:cols w:equalWidth="0" w:num="1">
            <w:col w:w="11520"/>
          </w:cols>
          <w:pgMar w:left="240" w:top="907" w:right="139" w:bottom="0" w:gutter="0" w:footer="0" w:header="0"/>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Net income (loss)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 (1,159,825)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jc w:val="both"/>
        <w:spacing w:after="0" w:line="262" w:lineRule="auto"/>
        <w:rPr>
          <w:sz w:val="20"/>
          <w:szCs w:val="20"/>
          <w:color w:val="auto"/>
        </w:rPr>
      </w:pPr>
      <w:r>
        <w:rPr>
          <w:rFonts w:ascii="Courier New" w:cs="Courier New" w:eastAsia="Courier New" w:hAnsi="Courier New"/>
          <w:sz w:val="16"/>
          <w:szCs w:val="16"/>
          <w:color w:val="auto"/>
        </w:rPr>
        <w:t>$ 1,411,706 ============</w:t>
      </w:r>
    </w:p>
    <w:p>
      <w:pPr>
        <w:spacing w:after="0" w:line="1" w:lineRule="exact"/>
        <w:rPr>
          <w:sz w:val="20"/>
          <w:szCs w:val="20"/>
          <w:color w:val="auto"/>
        </w:rPr>
      </w:pPr>
    </w:p>
    <w:p>
      <w:pPr>
        <w:sectPr>
          <w:pgSz w:w="11900" w:h="16838" w:orient="portrait"/>
          <w:cols w:equalWidth="0" w:num="3">
            <w:col w:w="8340" w:space="320"/>
            <w:col w:w="1340" w:space="300"/>
            <w:col w:w="1220"/>
          </w:cols>
          <w:pgMar w:left="240" w:top="907" w:right="139" w:bottom="0" w:gutter="0" w:footer="0" w:header="0"/>
          <w:type w:val="continuous"/>
        </w:sectPr>
      </w:pPr>
    </w:p>
    <w:p>
      <w:pPr>
        <w:spacing w:after="0"/>
        <w:rPr>
          <w:sz w:val="20"/>
          <w:szCs w:val="20"/>
          <w:color w:val="auto"/>
        </w:rPr>
      </w:pPr>
      <w:r>
        <w:rPr>
          <w:rFonts w:ascii="Courier New" w:cs="Courier New" w:eastAsia="Courier New" w:hAnsi="Courier New"/>
          <w:sz w:val="17"/>
          <w:szCs w:val="17"/>
          <w:color w:val="auto"/>
        </w:rPr>
        <w:t>Denominator:</w:t>
      </w:r>
    </w:p>
    <w:p>
      <w:pPr>
        <w:sectPr>
          <w:pgSz w:w="11900" w:h="16838" w:orient="portrait"/>
          <w:cols w:equalWidth="0" w:num="1">
            <w:col w:w="11520"/>
          </w:cols>
          <w:pgMar w:left="240" w:top="907" w:right="139" w:bottom="0" w:gutter="0" w:footer="0" w:header="0"/>
          <w:type w:val="continuous"/>
        </w:sectPr>
      </w:pP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Denominator for basic net (loss) income per share - weighted average shares .</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Dilutive common stock equivalents using treasury stock method ...............</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Denominator for diluted net income (loss) per share - weighted average shares</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11,179,580</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11,179,580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spacing w:after="0" w:line="266" w:lineRule="auto"/>
        <w:rPr>
          <w:sz w:val="20"/>
          <w:szCs w:val="20"/>
          <w:color w:val="auto"/>
        </w:rPr>
      </w:pPr>
      <w:r>
        <w:rPr>
          <w:rFonts w:ascii="Courier New" w:cs="Courier New" w:eastAsia="Courier New" w:hAnsi="Courier New"/>
          <w:sz w:val="16"/>
          <w:szCs w:val="16"/>
          <w:color w:val="auto"/>
        </w:rPr>
        <w:t>8,608,479 451,833 ------------ 9,060,312 ============</w:t>
      </w:r>
    </w:p>
    <w:p>
      <w:pPr>
        <w:spacing w:after="0" w:line="200" w:lineRule="exact"/>
        <w:rPr>
          <w:sz w:val="20"/>
          <w:szCs w:val="20"/>
          <w:color w:val="auto"/>
        </w:rPr>
      </w:pPr>
    </w:p>
    <w:p>
      <w:pPr>
        <w:sectPr>
          <w:pgSz w:w="11900" w:h="16838" w:orient="portrait"/>
          <w:cols w:equalWidth="0" w:num="3">
            <w:col w:w="8340" w:space="320"/>
            <w:col w:w="1220" w:space="420"/>
            <w:col w:w="1220"/>
          </w:cols>
          <w:pgMar w:left="240" w:top="907" w:right="139" w:bottom="0" w:gutter="0" w:footer="0" w:header="0"/>
          <w:type w:val="continuous"/>
        </w:sectPr>
      </w:pP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Basic net income (loss) per share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Diluted net income (loss) per share .............................................</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(0.10)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(0.10)</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0.16</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0.16</w:t>
      </w:r>
    </w:p>
    <w:p>
      <w:pPr>
        <w:spacing w:after="0" w:line="211" w:lineRule="exact"/>
        <w:rPr>
          <w:sz w:val="20"/>
          <w:szCs w:val="20"/>
          <w:color w:val="auto"/>
        </w:rPr>
      </w:pPr>
    </w:p>
    <w:p>
      <w:pPr>
        <w:sectPr>
          <w:pgSz w:w="11900" w:h="16838" w:orient="portrait"/>
          <w:cols w:equalWidth="0" w:num="5">
            <w:col w:w="8340" w:space="320"/>
            <w:col w:w="100" w:space="620"/>
            <w:col w:w="620" w:space="300"/>
            <w:col w:w="100" w:space="720"/>
            <w:col w:w="400"/>
          </w:cols>
          <w:pgMar w:left="240" w:top="907" w:right="139" w:bottom="0" w:gutter="0" w:footer="0" w:header="0"/>
          <w:type w:val="continuous"/>
        </w:sectPr>
      </w:pPr>
    </w:p>
    <w:p>
      <w:pPr>
        <w:spacing w:after="0" w:line="20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7"/>
          <w:szCs w:val="17"/>
          <w:color w:val="auto"/>
        </w:rPr>
        <w:t>3.</w:t>
        <w:tab/>
        <w:t>Comprehensive Income</w:t>
      </w:r>
    </w:p>
    <w:p>
      <w:pPr>
        <w:spacing w:after="0" w:line="203" w:lineRule="exact"/>
        <w:rPr>
          <w:sz w:val="20"/>
          <w:szCs w:val="20"/>
          <w:color w:val="auto"/>
        </w:rPr>
      </w:pPr>
    </w:p>
    <w:p>
      <w:pPr>
        <w:ind w:right="3280"/>
        <w:spacing w:after="0" w:line="247" w:lineRule="auto"/>
        <w:rPr>
          <w:sz w:val="20"/>
          <w:szCs w:val="20"/>
          <w:color w:val="auto"/>
        </w:rPr>
      </w:pPr>
      <w:r>
        <w:rPr>
          <w:rFonts w:ascii="Courier New" w:cs="Courier New" w:eastAsia="Courier New" w:hAnsi="Courier New"/>
          <w:sz w:val="17"/>
          <w:szCs w:val="17"/>
          <w:color w:val="auto"/>
        </w:rPr>
        <w:t>Comprehensive income (loss) for the three-month periods ended September 30, 2002 and 2001 was equal to net income (loss).</w:t>
      </w:r>
    </w:p>
    <w:p>
      <w:pPr>
        <w:spacing w:after="0" w:line="198"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7"/>
          <w:szCs w:val="17"/>
          <w:color w:val="auto"/>
        </w:rPr>
        <w:t>4.</w:t>
        <w:tab/>
        <w:t>Use of Estimates</w:t>
      </w:r>
    </w:p>
    <w:p>
      <w:pPr>
        <w:spacing w:after="0" w:line="203" w:lineRule="exact"/>
        <w:rPr>
          <w:sz w:val="20"/>
          <w:szCs w:val="20"/>
          <w:color w:val="auto"/>
        </w:rPr>
      </w:pPr>
    </w:p>
    <w:p>
      <w:pPr>
        <w:jc w:val="both"/>
        <w:ind w:right="3280"/>
        <w:spacing w:after="0" w:line="246" w:lineRule="auto"/>
        <w:rPr>
          <w:sz w:val="20"/>
          <w:szCs w:val="20"/>
          <w:color w:val="auto"/>
        </w:rPr>
      </w:pPr>
      <w:r>
        <w:rPr>
          <w:rFonts w:ascii="Courier New" w:cs="Courier New" w:eastAsia="Courier New" w:hAnsi="Courier New"/>
          <w:sz w:val="17"/>
          <w:szCs w:val="17"/>
          <w:color w:val="auto"/>
        </w:rPr>
        <w:t>The preparation of financial statements in conformity with accounting principles generally accepted in the United States requires management to make estimates and assumptions that affect the reported amounts in the financial statements and these accompanying notes. Actual results could differ from those estimates.</w:t>
      </w:r>
    </w:p>
    <w:p>
      <w:pPr>
        <w:spacing w:after="0" w:line="200"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7"/>
          <w:szCs w:val="17"/>
          <w:color w:val="auto"/>
        </w:rPr>
        <w:t>5.</w:t>
        <w:tab/>
        <w:t>Inventory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Inventory is summarized as follows:</w:t>
      </w:r>
    </w:p>
    <w:p>
      <w:pPr>
        <w:sectPr>
          <w:pgSz w:w="11900" w:h="16838" w:orient="portrait"/>
          <w:cols w:equalWidth="0" w:num="1">
            <w:col w:w="11520"/>
          </w:cols>
          <w:pgMar w:left="240" w:top="907" w:right="139" w:bottom="0" w:gutter="0" w:footer="0" w:header="0"/>
          <w:type w:val="continuous"/>
        </w:sectPr>
      </w:pPr>
    </w:p>
    <w:p>
      <w:pPr>
        <w:spacing w:after="0" w:line="5"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(Unaudited)</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7"/>
          <w:szCs w:val="17"/>
          <w:color w:val="auto"/>
        </w:rPr>
        <w:t>September 30,</w:t>
      </w:r>
    </w:p>
    <w:p>
      <w:pPr>
        <w:spacing w:after="0" w:line="5"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ind w:left="566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7"/>
          <w:szCs w:val="17"/>
          <w:color w:val="auto"/>
        </w:rPr>
        <w:t>June 30,</w:t>
      </w:r>
    </w:p>
    <w:p>
      <w:pPr>
        <w:spacing w:after="0" w:line="5"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7"/>
          <w:szCs w:val="17"/>
          <w:color w:val="auto"/>
        </w:rPr>
        <w:t>2002</w:t>
      </w:r>
    </w:p>
    <w:p>
      <w:pPr>
        <w:spacing w:after="0" w:line="5" w:lineRule="exact"/>
        <w:rPr>
          <w:sz w:val="20"/>
          <w:szCs w:val="20"/>
          <w:color w:val="auto"/>
        </w:rPr>
      </w:pPr>
    </w:p>
    <w:p>
      <w:pPr>
        <w:jc w:val="center"/>
        <w:ind w:right="33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6600" w:space="720"/>
            <w:col w:w="4200"/>
          </w:cols>
          <w:pgMar w:left="240" w:top="907" w:right="139" w:bottom="0" w:gutter="0" w:footer="0" w:header="0"/>
          <w:type w:val="continuous"/>
        </w:sectPr>
      </w:pPr>
    </w:p>
    <w:p>
      <w:pPr>
        <w:spacing w:after="0" w:line="3"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Raw Materials........................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Work in progress.....................</w:t>
      </w:r>
    </w:p>
    <w:p>
      <w:pPr>
        <w:spacing w:after="0" w:line="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Finished Goods.......................</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Courier New" w:cs="Courier New" w:eastAsia="Courier New" w:hAnsi="Courier New"/>
          <w:sz w:val="17"/>
          <w:szCs w:val="17"/>
          <w:color w:val="auto"/>
        </w:rPr>
        <w:t>$4,791,432</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530,861</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5,330,205</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jc w:val="right"/>
        <w:ind w:right="3380"/>
        <w:spacing w:after="0"/>
        <w:rPr>
          <w:sz w:val="20"/>
          <w:szCs w:val="20"/>
          <w:color w:val="auto"/>
        </w:rPr>
      </w:pPr>
      <w:r>
        <w:rPr>
          <w:rFonts w:ascii="Courier New" w:cs="Courier New" w:eastAsia="Courier New" w:hAnsi="Courier New"/>
          <w:sz w:val="17"/>
          <w:szCs w:val="17"/>
          <w:color w:val="auto"/>
        </w:rPr>
        <w:t>$4,134,540</w:t>
      </w:r>
    </w:p>
    <w:p>
      <w:pPr>
        <w:spacing w:after="0" w:line="5" w:lineRule="exact"/>
        <w:rPr>
          <w:sz w:val="20"/>
          <w:szCs w:val="20"/>
          <w:color w:val="auto"/>
        </w:rPr>
      </w:pPr>
    </w:p>
    <w:p>
      <w:pPr>
        <w:jc w:val="right"/>
        <w:ind w:right="3380"/>
        <w:spacing w:after="0"/>
        <w:rPr>
          <w:sz w:val="20"/>
          <w:szCs w:val="20"/>
          <w:color w:val="auto"/>
        </w:rPr>
      </w:pPr>
      <w:r>
        <w:rPr>
          <w:rFonts w:ascii="Courier New" w:cs="Courier New" w:eastAsia="Courier New" w:hAnsi="Courier New"/>
          <w:sz w:val="17"/>
          <w:szCs w:val="17"/>
          <w:color w:val="auto"/>
        </w:rPr>
        <w:t>737,228</w:t>
      </w:r>
    </w:p>
    <w:p>
      <w:pPr>
        <w:spacing w:after="0" w:line="5" w:lineRule="exact"/>
        <w:rPr>
          <w:sz w:val="20"/>
          <w:szCs w:val="20"/>
          <w:color w:val="auto"/>
        </w:rPr>
      </w:pPr>
    </w:p>
    <w:p>
      <w:pPr>
        <w:jc w:val="right"/>
        <w:ind w:right="3380"/>
        <w:spacing w:after="0"/>
        <w:rPr>
          <w:sz w:val="20"/>
          <w:szCs w:val="20"/>
          <w:color w:val="auto"/>
        </w:rPr>
      </w:pPr>
      <w:r>
        <w:rPr>
          <w:rFonts w:ascii="Courier New" w:cs="Courier New" w:eastAsia="Courier New" w:hAnsi="Courier New"/>
          <w:sz w:val="17"/>
          <w:szCs w:val="17"/>
          <w:color w:val="auto"/>
        </w:rPr>
        <w:t>3,733,782</w:t>
      </w:r>
    </w:p>
    <w:p>
      <w:pPr>
        <w:spacing w:after="0" w:line="5" w:lineRule="exact"/>
        <w:rPr>
          <w:sz w:val="20"/>
          <w:szCs w:val="20"/>
          <w:color w:val="auto"/>
        </w:rPr>
      </w:pPr>
    </w:p>
    <w:p>
      <w:pPr>
        <w:jc w:val="right"/>
        <w:ind w:right="338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4640" w:space="620"/>
            <w:col w:w="1120" w:space="720"/>
            <w:col w:w="4420"/>
          </w:cols>
          <w:pgMar w:left="240" w:top="907" w:right="139" w:bottom="0" w:gutter="0" w:footer="0" w:header="0"/>
          <w:type w:val="continuous"/>
        </w:sectPr>
      </w:pPr>
    </w:p>
    <w:p>
      <w:pPr>
        <w:spacing w:after="0" w:line="3" w:lineRule="exact"/>
        <w:rPr>
          <w:sz w:val="20"/>
          <w:szCs w:val="20"/>
          <w:color w:val="auto"/>
        </w:rPr>
      </w:pPr>
    </w:p>
    <w:p>
      <w:pPr>
        <w:ind w:left="1540"/>
        <w:spacing w:after="0"/>
        <w:rPr>
          <w:sz w:val="20"/>
          <w:szCs w:val="20"/>
          <w:color w:val="auto"/>
        </w:rPr>
      </w:pPr>
      <w:r>
        <w:rPr>
          <w:rFonts w:ascii="Courier New" w:cs="Courier New" w:eastAsia="Courier New" w:hAnsi="Courier New"/>
          <w:sz w:val="17"/>
          <w:szCs w:val="17"/>
          <w:color w:val="auto"/>
        </w:rPr>
        <w:t>Total inventory...............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$10,652,498</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$8,605,550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3">
            <w:col w:w="4640" w:space="620"/>
            <w:col w:w="1120" w:space="720"/>
            <w:col w:w="4420"/>
          </w:cols>
          <w:pgMar w:left="240" w:top="907" w:right="139" w:bottom="0" w:gutter="0" w:footer="0" w:header="0"/>
          <w:type w:val="continuous"/>
        </w:sectPr>
      </w:pPr>
    </w:p>
    <w:p>
      <w:pPr>
        <w:spacing w:after="0" w:line="3" w:lineRule="exact"/>
        <w:rPr>
          <w:sz w:val="20"/>
          <w:szCs w:val="20"/>
          <w:color w:val="auto"/>
        </w:rPr>
      </w:pPr>
    </w:p>
    <w:p>
      <w:pPr>
        <w:ind w:right="3580"/>
        <w:spacing w:after="0" w:line="247" w:lineRule="auto"/>
        <w:rPr>
          <w:sz w:val="20"/>
          <w:szCs w:val="20"/>
          <w:color w:val="auto"/>
        </w:rPr>
      </w:pPr>
      <w:r>
        <w:rPr>
          <w:rFonts w:ascii="Courier New" w:cs="Courier New" w:eastAsia="Courier New" w:hAnsi="Courier New"/>
          <w:sz w:val="17"/>
          <w:szCs w:val="17"/>
          <w:color w:val="auto"/>
        </w:rPr>
        <w:t>Total inventory is net of a reserve for obsolete and slow-moving inventory of $1,021,000 at September 30, 2002 and $809,000 at June 30, 2002.</w:t>
      </w:r>
    </w:p>
    <w:p>
      <w:pPr>
        <w:spacing w:after="0" w:line="396" w:lineRule="exact"/>
        <w:rPr>
          <w:sz w:val="20"/>
          <w:szCs w:val="20"/>
          <w:color w:val="auto"/>
        </w:rPr>
      </w:pPr>
    </w:p>
    <w:p>
      <w:pPr>
        <w:ind w:left="420" w:hanging="414"/>
        <w:spacing w:after="0"/>
        <w:tabs>
          <w:tab w:leader="none" w:pos="4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shows the changes in stock options outstanding.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5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Weighted</w:t>
            </w:r>
          </w:p>
        </w:tc>
      </w:tr>
      <w:tr>
        <w:trPr>
          <w:trHeight w:val="198"/>
        </w:trPr>
        <w:tc>
          <w:tcPr>
            <w:tcW w:w="5360" w:type="dxa"/>
            <w:vAlign w:val="bottom"/>
          </w:tcPr>
          <w:p>
            <w:pPr>
              <w:spacing w:after="0"/>
              <w:rPr>
                <w:sz w:val="17"/>
                <w:szCs w:val="17"/>
                <w:color w:val="auto"/>
              </w:rPr>
            </w:pP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Number</w:t>
            </w:r>
          </w:p>
        </w:tc>
        <w:tc>
          <w:tcPr>
            <w:tcW w:w="500" w:type="dxa"/>
            <w:vAlign w:val="bottom"/>
          </w:tcPr>
          <w:p>
            <w:pPr>
              <w:spacing w:after="0"/>
              <w:rPr>
                <w:sz w:val="17"/>
                <w:szCs w:val="17"/>
                <w:color w:val="auto"/>
              </w:rPr>
            </w:pP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Average</w:t>
            </w:r>
          </w:p>
        </w:tc>
      </w:tr>
      <w:tr>
        <w:trPr>
          <w:trHeight w:val="198"/>
        </w:trPr>
        <w:tc>
          <w:tcPr>
            <w:tcW w:w="53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of Shares</w:t>
            </w:r>
          </w:p>
        </w:tc>
        <w:tc>
          <w:tcPr>
            <w:tcW w:w="1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Exercise Price</w:t>
            </w:r>
          </w:p>
        </w:tc>
      </w:tr>
      <w:tr>
        <w:trPr>
          <w:trHeight w:val="198"/>
        </w:trPr>
        <w:tc>
          <w:tcPr>
            <w:tcW w:w="536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Options outstanding as of June 30, 2002............</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1,518,956</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8.71</w:t>
            </w:r>
          </w:p>
        </w:tc>
      </w:tr>
      <w:tr>
        <w:trPr>
          <w:trHeight w:val="198"/>
        </w:trPr>
        <w:tc>
          <w:tcPr>
            <w:tcW w:w="5360" w:type="dxa"/>
            <w:vAlign w:val="bottom"/>
          </w:tcPr>
          <w:p>
            <w:pPr>
              <w:spacing w:after="0"/>
              <w:rPr>
                <w:sz w:val="20"/>
                <w:szCs w:val="20"/>
                <w:color w:val="auto"/>
              </w:rPr>
            </w:pPr>
            <w:r>
              <w:rPr>
                <w:rFonts w:ascii="Courier New" w:cs="Courier New" w:eastAsia="Courier New" w:hAnsi="Courier New"/>
                <w:sz w:val="17"/>
                <w:szCs w:val="17"/>
                <w:color w:val="auto"/>
              </w:rPr>
              <w:t>Options granted....................................</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0</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0.00</w:t>
            </w:r>
          </w:p>
        </w:tc>
      </w:tr>
      <w:tr>
        <w:trPr>
          <w:trHeight w:val="198"/>
        </w:trPr>
        <w:tc>
          <w:tcPr>
            <w:tcW w:w="5360" w:type="dxa"/>
            <w:vAlign w:val="bottom"/>
          </w:tcPr>
          <w:p>
            <w:pPr>
              <w:spacing w:after="0"/>
              <w:rPr>
                <w:sz w:val="20"/>
                <w:szCs w:val="20"/>
                <w:color w:val="auto"/>
              </w:rPr>
            </w:pPr>
            <w:r>
              <w:rPr>
                <w:rFonts w:ascii="Courier New" w:cs="Courier New" w:eastAsia="Courier New" w:hAnsi="Courier New"/>
                <w:sz w:val="17"/>
                <w:szCs w:val="17"/>
                <w:color w:val="auto"/>
              </w:rPr>
              <w:t>Options exercised..................................</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(18,400)</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2.76</w:t>
            </w:r>
          </w:p>
        </w:tc>
      </w:tr>
      <w:tr>
        <w:trPr>
          <w:trHeight w:val="198"/>
        </w:trPr>
        <w:tc>
          <w:tcPr>
            <w:tcW w:w="5360" w:type="dxa"/>
            <w:vAlign w:val="bottom"/>
          </w:tcPr>
          <w:p>
            <w:pPr>
              <w:spacing w:after="0"/>
              <w:rPr>
                <w:sz w:val="20"/>
                <w:szCs w:val="20"/>
                <w:color w:val="auto"/>
              </w:rPr>
            </w:pPr>
            <w:r>
              <w:rPr>
                <w:rFonts w:ascii="Courier New" w:cs="Courier New" w:eastAsia="Courier New" w:hAnsi="Courier New"/>
                <w:sz w:val="17"/>
                <w:szCs w:val="17"/>
                <w:color w:val="auto"/>
              </w:rPr>
              <w:t>Options expired &amp; canceled.........................</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(163,913)</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11.91</w:t>
            </w:r>
          </w:p>
        </w:tc>
      </w:tr>
      <w:tr>
        <w:trPr>
          <w:trHeight w:val="198"/>
        </w:trPr>
        <w:tc>
          <w:tcPr>
            <w:tcW w:w="5360" w:type="dxa"/>
            <w:vAlign w:val="bottom"/>
          </w:tcPr>
          <w:p>
            <w:pPr>
              <w:spacing w:after="0"/>
              <w:rPr>
                <w:sz w:val="17"/>
                <w:szCs w:val="17"/>
                <w:color w:val="auto"/>
              </w:rPr>
            </w:pP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r>
        <w:trPr>
          <w:trHeight w:val="396"/>
        </w:trPr>
        <w:tc>
          <w:tcPr>
            <w:tcW w:w="5360" w:type="dxa"/>
            <w:vAlign w:val="bottom"/>
          </w:tcPr>
          <w:p>
            <w:pPr>
              <w:spacing w:after="0"/>
              <w:rPr>
                <w:sz w:val="20"/>
                <w:szCs w:val="20"/>
                <w:color w:val="auto"/>
              </w:rPr>
            </w:pPr>
            <w:r>
              <w:rPr>
                <w:rFonts w:ascii="Courier New" w:cs="Courier New" w:eastAsia="Courier New" w:hAnsi="Courier New"/>
                <w:sz w:val="17"/>
                <w:szCs w:val="17"/>
                <w:color w:val="auto"/>
              </w:rPr>
              <w:t>Options outstanding as of September 30, 2002.......</w:t>
            </w: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1,336,643</w:t>
            </w:r>
          </w:p>
        </w:tc>
        <w:tc>
          <w:tcPr>
            <w:tcW w:w="500" w:type="dxa"/>
            <w:vAlign w:val="bottom"/>
          </w:tcPr>
          <w:p>
            <w:pPr>
              <w:ind w:left="400"/>
              <w:spacing w:after="0"/>
              <w:rPr>
                <w:sz w:val="20"/>
                <w:szCs w:val="20"/>
                <w:color w:val="auto"/>
              </w:rPr>
            </w:pPr>
            <w:r>
              <w:rPr>
                <w:rFonts w:ascii="Courier New" w:cs="Courier New" w:eastAsia="Courier New" w:hAnsi="Courier New"/>
                <w:sz w:val="17"/>
                <w:szCs w:val="17"/>
                <w:color w:val="auto"/>
                <w:w w:val="77"/>
              </w:rPr>
              <w:t>$</w:t>
            </w:r>
          </w:p>
        </w:tc>
        <w:tc>
          <w:tcPr>
            <w:tcW w:w="10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8.40</w:t>
            </w:r>
          </w:p>
        </w:tc>
      </w:tr>
      <w:tr>
        <w:trPr>
          <w:trHeight w:val="198"/>
        </w:trPr>
        <w:tc>
          <w:tcPr>
            <w:tcW w:w="5360" w:type="dxa"/>
            <w:vAlign w:val="bottom"/>
          </w:tcPr>
          <w:p>
            <w:pPr>
              <w:spacing w:after="0"/>
              <w:rPr>
                <w:sz w:val="17"/>
                <w:szCs w:val="17"/>
                <w:color w:val="auto"/>
              </w:rPr>
            </w:pPr>
          </w:p>
        </w:tc>
        <w:tc>
          <w:tcPr>
            <w:tcW w:w="12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520"/>
          </w:cols>
          <w:pgMar w:left="240" w:top="907" w:right="139" w:bottom="0" w:gutter="0" w:footer="0" w:header="0"/>
          <w:type w:val="continuous"/>
        </w:sectPr>
      </w:pPr>
    </w:p>
    <w:bookmarkStart w:id="9" w:name="page10"/>
    <w:bookmarkEnd w:id="9"/>
    <w:p>
      <w:pPr>
        <w:ind w:left="2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736" w:right="1440" w:bottom="1440" w:gutter="0" w:footer="0" w:header="0"/>
        </w:sectPr>
      </w:pPr>
    </w:p>
    <w:bookmarkStart w:id="10" w:name="page11"/>
    <w:bookmarkEnd w:id="10"/>
    <w:p>
      <w:pPr>
        <w:ind w:left="12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left="420" w:hanging="414"/>
        <w:spacing w:after="0"/>
        <w:tabs>
          <w:tab w:leader="none" w:pos="4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Segment Reporting</w:t>
      </w:r>
    </w:p>
    <w:p>
      <w:pPr>
        <w:spacing w:after="0" w:line="203" w:lineRule="exact"/>
        <w:rPr>
          <w:sz w:val="20"/>
          <w:szCs w:val="20"/>
          <w:color w:val="auto"/>
        </w:rPr>
      </w:pPr>
    </w:p>
    <w:p>
      <w:pPr>
        <w:ind w:right="520"/>
        <w:spacing w:after="0" w:line="246" w:lineRule="auto"/>
        <w:rPr>
          <w:sz w:val="20"/>
          <w:szCs w:val="20"/>
          <w:color w:val="auto"/>
        </w:rPr>
      </w:pPr>
      <w:r>
        <w:rPr>
          <w:rFonts w:ascii="Courier New" w:cs="Courier New" w:eastAsia="Courier New" w:hAnsi="Courier New"/>
          <w:sz w:val="17"/>
          <w:szCs w:val="17"/>
          <w:color w:val="auto"/>
        </w:rPr>
        <w:t>The Company currently operates in three different segments - products, conferencing services, and business services whereas the Company operated in two segments in the quarter ended September 30, 2001. The products segment includes products for audio conferencing products, videoconferencing products and sound reinforcement products. The conferencing services segment includes full-service conference calling; on-demand, reservationless conference calling; Web conferencing; audio and video streaming. The business services segment provides value added services in the United States and Canada, including proactive field support, training, system consulting and help desk; customer training and education; and technical services such as design, installation and services of systems. Because the addition of the business services segment is a result of the E.mergent and OM Video acquisitions, information for this segment was not applicable for the quarter ended September 30, 2001.</w:t>
      </w:r>
    </w:p>
    <w:p>
      <w:pPr>
        <w:spacing w:after="0" w:line="206" w:lineRule="exact"/>
        <w:rPr>
          <w:sz w:val="20"/>
          <w:szCs w:val="20"/>
          <w:color w:val="auto"/>
        </w:rPr>
      </w:pPr>
    </w:p>
    <w:p>
      <w:pPr>
        <w:ind w:right="1040"/>
        <w:spacing w:after="0" w:line="246" w:lineRule="auto"/>
        <w:rPr>
          <w:sz w:val="20"/>
          <w:szCs w:val="20"/>
          <w:color w:val="auto"/>
        </w:rPr>
      </w:pPr>
      <w:r>
        <w:rPr>
          <w:rFonts w:ascii="Courier New" w:cs="Courier New" w:eastAsia="Courier New" w:hAnsi="Courier New"/>
          <w:sz w:val="17"/>
          <w:szCs w:val="17"/>
          <w:color w:val="auto"/>
        </w:rPr>
        <w:t>The accounting policies of the reportable segments are the same as those described in the summary of significant accounting policies included in the Company's 2002 Annual Report on Form 10-K.</w:t>
      </w:r>
    </w:p>
    <w:p>
      <w:pPr>
        <w:spacing w:after="0" w:line="200" w:lineRule="exact"/>
        <w:rPr>
          <w:sz w:val="20"/>
          <w:szCs w:val="20"/>
          <w:color w:val="auto"/>
        </w:rPr>
      </w:pPr>
    </w:p>
    <w:p>
      <w:pPr>
        <w:ind w:right="720"/>
        <w:spacing w:after="0" w:line="246" w:lineRule="auto"/>
        <w:rPr>
          <w:sz w:val="20"/>
          <w:szCs w:val="20"/>
          <w:color w:val="auto"/>
        </w:rPr>
      </w:pPr>
      <w:r>
        <w:rPr>
          <w:rFonts w:ascii="Courier New" w:cs="Courier New" w:eastAsia="Courier New" w:hAnsi="Courier New"/>
          <w:sz w:val="17"/>
          <w:szCs w:val="17"/>
          <w:color w:val="auto"/>
        </w:rPr>
        <w:t>The Company's reportable segments are strategic business units that offer products and services to satisfy different customer needs. They are managed separately because each segment requires focus and attention on its market and distribution channel.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summarizes the segment information:</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7"/>
                <w:szCs w:val="17"/>
                <w:color w:val="auto"/>
                <w:w w:val="99"/>
              </w:rPr>
              <w:t>Conferencing</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Business</w:t>
            </w:r>
          </w:p>
        </w:tc>
      </w:tr>
      <w:tr>
        <w:trPr>
          <w:trHeight w:val="198"/>
        </w:trPr>
        <w:tc>
          <w:tcPr>
            <w:tcW w:w="412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Products</w:t>
            </w:r>
          </w:p>
        </w:tc>
        <w:tc>
          <w:tcPr>
            <w:tcW w:w="1660" w:type="dxa"/>
            <w:vAlign w:val="bottom"/>
          </w:tcPr>
          <w:p>
            <w:pPr>
              <w:jc w:val="center"/>
              <w:spacing w:after="0"/>
              <w:rPr>
                <w:sz w:val="20"/>
                <w:szCs w:val="20"/>
                <w:color w:val="auto"/>
              </w:rPr>
            </w:pPr>
            <w:r>
              <w:rPr>
                <w:rFonts w:ascii="Courier New" w:cs="Courier New" w:eastAsia="Courier New" w:hAnsi="Courier New"/>
                <w:sz w:val="17"/>
                <w:szCs w:val="17"/>
                <w:color w:val="auto"/>
              </w:rPr>
              <w:t>Services</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Services</w:t>
            </w:r>
          </w:p>
        </w:tc>
      </w:tr>
      <w:tr>
        <w:trPr>
          <w:trHeight w:val="198"/>
        </w:trPr>
        <w:tc>
          <w:tcPr>
            <w:tcW w:w="412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Three Months Ended September 30, 2002:</w:t>
            </w:r>
          </w:p>
        </w:tc>
        <w:tc>
          <w:tcPr>
            <w:tcW w:w="1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96"/>
        </w:trPr>
        <w:tc>
          <w:tcPr>
            <w:tcW w:w="41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$ 5,455,955</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$ 3,753,486</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$ 3,788,466</w:t>
            </w: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3,244,040</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1,758,739</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2,437,190</w:t>
            </w:r>
          </w:p>
        </w:tc>
      </w:tr>
      <w:tr>
        <w:trPr>
          <w:trHeight w:val="198"/>
        </w:trPr>
        <w:tc>
          <w:tcPr>
            <w:tcW w:w="412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2,211,915</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1,994,747</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1,351,276</w:t>
            </w:r>
          </w:p>
        </w:tc>
      </w:tr>
      <w:tr>
        <w:trPr>
          <w:trHeight w:val="396"/>
        </w:trPr>
        <w:tc>
          <w:tcPr>
            <w:tcW w:w="412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1,955,169</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702,745</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585,013</w:t>
            </w: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874,602</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594,612</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714,116</w:t>
            </w: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972,109</w:t>
            </w:r>
          </w:p>
        </w:tc>
        <w:tc>
          <w:tcPr>
            <w:tcW w:w="1660" w:type="dxa"/>
            <w:vAlign w:val="bottom"/>
          </w:tcPr>
          <w:p>
            <w:pPr>
              <w:jc w:val="center"/>
              <w:ind w:left="3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One-time charge........................</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1,728,746</w:t>
            </w:r>
          </w:p>
        </w:tc>
        <w:tc>
          <w:tcPr>
            <w:tcW w:w="1660" w:type="dxa"/>
            <w:vAlign w:val="bottom"/>
          </w:tcPr>
          <w:p>
            <w:pPr>
              <w:jc w:val="center"/>
              <w:ind w:left="14"/>
              <w:spacing w:after="0"/>
              <w:rPr>
                <w:sz w:val="20"/>
                <w:szCs w:val="20"/>
                <w:color w:val="auto"/>
              </w:rPr>
            </w:pPr>
            <w:r>
              <w:rPr>
                <w:rFonts w:ascii="Courier New" w:cs="Courier New" w:eastAsia="Courier New" w:hAnsi="Courier New"/>
                <w:sz w:val="17"/>
                <w:szCs w:val="17"/>
                <w:color w:val="auto"/>
              </w:rPr>
              <w:t>4,654</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213,687</w:t>
            </w:r>
          </w:p>
        </w:tc>
      </w:tr>
      <w:tr>
        <w:trPr>
          <w:trHeight w:val="198"/>
        </w:trPr>
        <w:tc>
          <w:tcPr>
            <w:tcW w:w="412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5,530,626</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1,302,011</w:t>
            </w:r>
          </w:p>
        </w:tc>
        <w:tc>
          <w:tcPr>
            <w:tcW w:w="14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1,512,816</w:t>
            </w:r>
          </w:p>
        </w:tc>
      </w:tr>
      <w:tr>
        <w:trPr>
          <w:trHeight w:val="396"/>
        </w:trPr>
        <w:tc>
          <w:tcPr>
            <w:tcW w:w="4120" w:type="dxa"/>
            <w:vAlign w:val="bottom"/>
          </w:tcPr>
          <w:p>
            <w:pPr>
              <w:spacing w:after="0"/>
              <w:rPr>
                <w:sz w:val="20"/>
                <w:szCs w:val="20"/>
                <w:color w:val="auto"/>
              </w:rPr>
            </w:pPr>
            <w:r>
              <w:rPr>
                <w:rFonts w:ascii="Courier New" w:cs="Courier New" w:eastAsia="Courier New" w:hAnsi="Courier New"/>
                <w:sz w:val="17"/>
                <w:szCs w:val="17"/>
                <w:color w:val="auto"/>
              </w:rPr>
              <w:t>Operating income (loss)................</w:t>
            </w:r>
          </w:p>
        </w:tc>
        <w:tc>
          <w:tcPr>
            <w:tcW w:w="15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(3,318,711)</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692,736</w:t>
            </w:r>
          </w:p>
        </w:tc>
        <w:tc>
          <w:tcPr>
            <w:tcW w:w="1440" w:type="dxa"/>
            <w:vAlign w:val="bottom"/>
          </w:tcPr>
          <w:p>
            <w:pPr>
              <w:jc w:val="right"/>
              <w:spacing w:after="0"/>
              <w:rPr>
                <w:sz w:val="20"/>
                <w:szCs w:val="20"/>
                <w:color w:val="auto"/>
              </w:rPr>
            </w:pPr>
            <w:r>
              <w:rPr>
                <w:rFonts w:ascii="Courier New" w:cs="Courier New" w:eastAsia="Courier New" w:hAnsi="Courier New"/>
                <w:sz w:val="17"/>
                <w:szCs w:val="17"/>
                <w:color w:val="auto"/>
              </w:rPr>
              <w:t>(161,540)</w:t>
            </w: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Other income ..........................</w:t>
            </w:r>
          </w:p>
        </w:tc>
        <w:tc>
          <w:tcPr>
            <w:tcW w:w="1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96"/>
        </w:trPr>
        <w:tc>
          <w:tcPr>
            <w:tcW w:w="4120" w:type="dxa"/>
            <w:vAlign w:val="bottom"/>
          </w:tcPr>
          <w:p>
            <w:pPr>
              <w:spacing w:after="0"/>
              <w:rPr>
                <w:sz w:val="20"/>
                <w:szCs w:val="20"/>
                <w:color w:val="auto"/>
              </w:rPr>
            </w:pPr>
            <w:r>
              <w:rPr>
                <w:rFonts w:ascii="Courier New" w:cs="Courier New" w:eastAsia="Courier New" w:hAnsi="Courier New"/>
                <w:sz w:val="17"/>
                <w:szCs w:val="17"/>
                <w:color w:val="auto"/>
              </w:rPr>
              <w:t>Loss before income taxes...............</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Income tax benefit.....................</w:t>
            </w:r>
          </w:p>
        </w:tc>
        <w:tc>
          <w:tcPr>
            <w:tcW w:w="1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96"/>
        </w:trPr>
        <w:tc>
          <w:tcPr>
            <w:tcW w:w="4120" w:type="dxa"/>
            <w:vAlign w:val="bottom"/>
          </w:tcPr>
          <w:p>
            <w:pPr>
              <w:spacing w:after="0"/>
              <w:rPr>
                <w:sz w:val="20"/>
                <w:szCs w:val="20"/>
                <w:color w:val="auto"/>
              </w:rPr>
            </w:pPr>
            <w:r>
              <w:rPr>
                <w:rFonts w:ascii="Courier New" w:cs="Courier New" w:eastAsia="Courier New" w:hAnsi="Courier New"/>
                <w:sz w:val="17"/>
                <w:szCs w:val="17"/>
                <w:color w:val="auto"/>
              </w:rPr>
              <w:t>Net loss...............................</w:t>
            </w:r>
          </w:p>
        </w:tc>
        <w:tc>
          <w:tcPr>
            <w:tcW w:w="1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94"/>
        </w:trPr>
        <w:tc>
          <w:tcPr>
            <w:tcW w:w="4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Courier New" w:cs="Courier New" w:eastAsia="Courier New" w:hAnsi="Courier New"/>
                <w:sz w:val="17"/>
                <w:szCs w:val="17"/>
                <w:color w:val="auto"/>
                <w:w w:val="99"/>
              </w:rPr>
              <w:t>Conferencing</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Business</w:t>
            </w:r>
          </w:p>
        </w:tc>
      </w:tr>
      <w:tr>
        <w:trPr>
          <w:trHeight w:val="198"/>
        </w:trPr>
        <w:tc>
          <w:tcPr>
            <w:tcW w:w="412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Products</w:t>
            </w:r>
          </w:p>
        </w:tc>
        <w:tc>
          <w:tcPr>
            <w:tcW w:w="1660" w:type="dxa"/>
            <w:vAlign w:val="bottom"/>
          </w:tcPr>
          <w:p>
            <w:pPr>
              <w:jc w:val="center"/>
              <w:spacing w:after="0"/>
              <w:rPr>
                <w:sz w:val="20"/>
                <w:szCs w:val="20"/>
                <w:color w:val="auto"/>
              </w:rPr>
            </w:pPr>
            <w:r>
              <w:rPr>
                <w:rFonts w:ascii="Courier New" w:cs="Courier New" w:eastAsia="Courier New" w:hAnsi="Courier New"/>
                <w:sz w:val="17"/>
                <w:szCs w:val="17"/>
                <w:color w:val="auto"/>
              </w:rPr>
              <w:t>Services</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Services</w:t>
            </w:r>
          </w:p>
        </w:tc>
      </w:tr>
      <w:tr>
        <w:trPr>
          <w:trHeight w:val="198"/>
        </w:trPr>
        <w:tc>
          <w:tcPr>
            <w:tcW w:w="412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Three Months Ended September 30, 2001:</w:t>
            </w:r>
          </w:p>
        </w:tc>
        <w:tc>
          <w:tcPr>
            <w:tcW w:w="1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$7,491,317</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$3,729,066</w:t>
            </w:r>
          </w:p>
        </w:tc>
        <w:tc>
          <w:tcPr>
            <w:tcW w:w="1440" w:type="dxa"/>
            <w:vAlign w:val="bottom"/>
          </w:tcPr>
          <w:p>
            <w:pPr>
              <w:spacing w:after="0"/>
              <w:rPr>
                <w:sz w:val="17"/>
                <w:szCs w:val="17"/>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Cost of goods sold.....................</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2,826,233</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1,755,744</w:t>
            </w:r>
          </w:p>
        </w:tc>
        <w:tc>
          <w:tcPr>
            <w:tcW w:w="1440" w:type="dxa"/>
            <w:vAlign w:val="bottom"/>
          </w:tcPr>
          <w:p>
            <w:pPr>
              <w:spacing w:after="0"/>
              <w:rPr>
                <w:sz w:val="17"/>
                <w:szCs w:val="17"/>
                <w:color w:val="auto"/>
              </w:rPr>
            </w:pPr>
          </w:p>
        </w:tc>
      </w:tr>
      <w:tr>
        <w:trPr>
          <w:trHeight w:val="198"/>
        </w:trPr>
        <w:tc>
          <w:tcPr>
            <w:tcW w:w="412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Gross profit...........................</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4,665,084</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1,973,322</w:t>
            </w:r>
          </w:p>
        </w:tc>
        <w:tc>
          <w:tcPr>
            <w:tcW w:w="1440" w:type="dxa"/>
            <w:vAlign w:val="bottom"/>
          </w:tcPr>
          <w:p>
            <w:pPr>
              <w:spacing w:after="0"/>
              <w:rPr>
                <w:sz w:val="17"/>
                <w:szCs w:val="17"/>
                <w:color w:val="auto"/>
              </w:rPr>
            </w:pPr>
          </w:p>
        </w:tc>
      </w:tr>
      <w:tr>
        <w:trPr>
          <w:trHeight w:val="396"/>
        </w:trPr>
        <w:tc>
          <w:tcPr>
            <w:tcW w:w="4120" w:type="dxa"/>
            <w:vAlign w:val="bottom"/>
          </w:tcPr>
          <w:p>
            <w:pPr>
              <w:spacing w:after="0"/>
              <w:rPr>
                <w:sz w:val="20"/>
                <w:szCs w:val="20"/>
                <w:color w:val="auto"/>
              </w:rPr>
            </w:pPr>
            <w:r>
              <w:rPr>
                <w:rFonts w:ascii="Courier New" w:cs="Courier New" w:eastAsia="Courier New" w:hAnsi="Courier New"/>
                <w:sz w:val="17"/>
                <w:szCs w:val="17"/>
                <w:color w:val="auto"/>
              </w:rPr>
              <w:t>Marketing and selling..................</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1,662,565</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806,862</w:t>
            </w:r>
          </w:p>
        </w:tc>
        <w:tc>
          <w:tcPr>
            <w:tcW w:w="1440" w:type="dxa"/>
            <w:vAlign w:val="bottom"/>
          </w:tcPr>
          <w:p>
            <w:pPr>
              <w:spacing w:after="0"/>
              <w:rPr>
                <w:sz w:val="24"/>
                <w:szCs w:val="24"/>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General and administrative.............</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724,655</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555,012</w:t>
            </w:r>
          </w:p>
        </w:tc>
        <w:tc>
          <w:tcPr>
            <w:tcW w:w="1440" w:type="dxa"/>
            <w:vAlign w:val="bottom"/>
          </w:tcPr>
          <w:p>
            <w:pPr>
              <w:spacing w:after="0"/>
              <w:rPr>
                <w:sz w:val="17"/>
                <w:szCs w:val="17"/>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Product development....................</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751,951</w:t>
            </w:r>
          </w:p>
        </w:tc>
        <w:tc>
          <w:tcPr>
            <w:tcW w:w="1660" w:type="dxa"/>
            <w:vAlign w:val="bottom"/>
          </w:tcPr>
          <w:p>
            <w:pPr>
              <w:jc w:val="center"/>
              <w:ind w:left="3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tcPr>
          <w:p>
            <w:pPr>
              <w:spacing w:after="0"/>
              <w:rPr>
                <w:sz w:val="17"/>
                <w:szCs w:val="17"/>
                <w:color w:val="auto"/>
              </w:rPr>
            </w:pPr>
          </w:p>
        </w:tc>
      </w:tr>
      <w:tr>
        <w:trPr>
          <w:trHeight w:val="198"/>
        </w:trPr>
        <w:tc>
          <w:tcPr>
            <w:tcW w:w="412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spacing w:after="0"/>
              <w:rPr>
                <w:sz w:val="17"/>
                <w:szCs w:val="17"/>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Total operating expenses...............</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3,137,171</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1,361,874</w:t>
            </w:r>
          </w:p>
        </w:tc>
        <w:tc>
          <w:tcPr>
            <w:tcW w:w="1440" w:type="dxa"/>
            <w:vAlign w:val="bottom"/>
          </w:tcPr>
          <w:p>
            <w:pPr>
              <w:spacing w:after="0"/>
              <w:rPr>
                <w:sz w:val="17"/>
                <w:szCs w:val="17"/>
                <w:color w:val="auto"/>
              </w:rPr>
            </w:pPr>
          </w:p>
        </w:tc>
      </w:tr>
      <w:tr>
        <w:trPr>
          <w:trHeight w:val="396"/>
        </w:trPr>
        <w:tc>
          <w:tcPr>
            <w:tcW w:w="4120" w:type="dxa"/>
            <w:vAlign w:val="bottom"/>
          </w:tcPr>
          <w:p>
            <w:pPr>
              <w:spacing w:after="0"/>
              <w:rPr>
                <w:sz w:val="20"/>
                <w:szCs w:val="20"/>
                <w:color w:val="auto"/>
              </w:rPr>
            </w:pPr>
            <w:r>
              <w:rPr>
                <w:rFonts w:ascii="Courier New" w:cs="Courier New" w:eastAsia="Courier New" w:hAnsi="Courier New"/>
                <w:sz w:val="17"/>
                <w:szCs w:val="17"/>
                <w:color w:val="auto"/>
              </w:rPr>
              <w:t>Operating income.......................</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1,525,913</w:t>
            </w:r>
          </w:p>
        </w:tc>
        <w:tc>
          <w:tcPr>
            <w:tcW w:w="16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611,448</w:t>
            </w:r>
          </w:p>
        </w:tc>
        <w:tc>
          <w:tcPr>
            <w:tcW w:w="1440" w:type="dxa"/>
            <w:vAlign w:val="bottom"/>
          </w:tcPr>
          <w:p>
            <w:pPr>
              <w:spacing w:after="0"/>
              <w:rPr>
                <w:sz w:val="24"/>
                <w:szCs w:val="24"/>
                <w:color w:val="auto"/>
              </w:rPr>
            </w:pPr>
          </w:p>
        </w:tc>
      </w:tr>
      <w:tr>
        <w:trPr>
          <w:trHeight w:val="198"/>
        </w:trPr>
        <w:tc>
          <w:tcPr>
            <w:tcW w:w="4120" w:type="dxa"/>
            <w:vAlign w:val="bottom"/>
          </w:tcPr>
          <w:p>
            <w:pPr>
              <w:spacing w:after="0"/>
              <w:rPr>
                <w:sz w:val="20"/>
                <w:szCs w:val="20"/>
                <w:color w:val="auto"/>
              </w:rPr>
            </w:pPr>
            <w:r>
              <w:rPr>
                <w:rFonts w:ascii="Courier New" w:cs="Courier New" w:eastAsia="Courier New" w:hAnsi="Courier New"/>
                <w:sz w:val="17"/>
                <w:szCs w:val="17"/>
                <w:color w:val="auto"/>
              </w:rPr>
              <w:t>Other income ..........................</w:t>
            </w:r>
          </w:p>
        </w:tc>
        <w:tc>
          <w:tcPr>
            <w:tcW w:w="1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40" w:type="dxa"/>
            <w:vAlign w:val="bottom"/>
          </w:tcPr>
          <w:p>
            <w:pPr>
              <w:spacing w:after="0"/>
              <w:rPr>
                <w:sz w:val="17"/>
                <w:szCs w:val="17"/>
                <w:color w:val="auto"/>
              </w:rPr>
            </w:pPr>
          </w:p>
        </w:tc>
      </w:tr>
    </w:tbl>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Income before income taxes.............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 for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Totals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9"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12,997,907</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7,439,969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5,557,938</w:t>
      </w:r>
    </w:p>
    <w:p>
      <w:pPr>
        <w:spacing w:after="0" w:line="203"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3,242,927</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2,183,330</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972,109</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1,947,087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8,345,453</w:t>
      </w:r>
    </w:p>
    <w:p>
      <w:pPr>
        <w:spacing w:after="0" w:line="203"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6"/>
          <w:szCs w:val="16"/>
          <w:color w:val="auto"/>
        </w:rPr>
        <w:t>(2,787,515)</w:t>
      </w:r>
    </w:p>
    <w:p>
      <w:pPr>
        <w:spacing w:after="0" w:line="17"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1,188,479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(1,599,036)</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439,211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(1,159,825)</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Totals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11,220,383</w:t>
      </w:r>
    </w:p>
    <w:p>
      <w:pPr>
        <w:spacing w:after="0" w:line="5"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4,581,977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6,638,406</w:t>
      </w:r>
    </w:p>
    <w:p>
      <w:pPr>
        <w:spacing w:after="0" w:line="203"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2,469,427</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1,279,667</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751,951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4,501,045</w:t>
      </w:r>
    </w:p>
    <w:p>
      <w:pPr>
        <w:spacing w:after="0" w:line="203"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2,137,361</w:t>
      </w:r>
    </w:p>
    <w:p>
      <w:pPr>
        <w:spacing w:after="0" w:line="5" w:lineRule="exact"/>
        <w:rPr>
          <w:sz w:val="20"/>
          <w:szCs w:val="20"/>
          <w:color w:val="auto"/>
        </w:rPr>
      </w:pPr>
    </w:p>
    <w:p>
      <w:pPr>
        <w:jc w:val="right"/>
        <w:ind w:right="100"/>
        <w:spacing w:after="0"/>
        <w:rPr>
          <w:sz w:val="20"/>
          <w:szCs w:val="20"/>
          <w:color w:val="auto"/>
        </w:rPr>
      </w:pPr>
      <w:r>
        <w:rPr>
          <w:rFonts w:ascii="Courier New" w:cs="Courier New" w:eastAsia="Courier New" w:hAnsi="Courier New"/>
          <w:sz w:val="17"/>
          <w:szCs w:val="17"/>
          <w:color w:val="auto"/>
        </w:rPr>
        <w:t>144,926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2,282,287</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(870,581)</w:t>
      </w:r>
    </w:p>
    <w:p>
      <w:pPr>
        <w:sectPr>
          <w:pgSz w:w="11900" w:h="16838" w:orient="portrait"/>
          <w:cols w:equalWidth="0" w:num="2">
            <w:col w:w="8760" w:space="400"/>
            <w:col w:w="1340"/>
          </w:cols>
          <w:pgMar w:left="240" w:top="907" w:right="1159" w:bottom="0" w:gutter="0" w:footer="0" w:header="0"/>
        </w:sectPr>
      </w:pPr>
    </w:p>
    <w:bookmarkStart w:id="11" w:name="page12"/>
    <w:bookmarkEnd w:id="11"/>
    <w:p>
      <w:pPr>
        <w:ind w:left="916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400"/>
          </w:cols>
          <w:pgMar w:left="240" w:top="142" w:right="1259"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7"/>
          <w:szCs w:val="17"/>
          <w:color w:val="auto"/>
        </w:rPr>
        <w:t>$</w:t>
        <w:tab/>
        <w:t>1,411,706</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ectPr>
          <w:pgSz w:w="11900" w:h="16838" w:orient="portrait"/>
          <w:cols w:equalWidth="0" w:num="2">
            <w:col w:w="8440" w:space="720"/>
            <w:col w:w="1240"/>
          </w:cols>
          <w:pgMar w:left="240" w:top="142" w:right="1259" w:bottom="1440" w:gutter="0" w:footer="0" w:header="0"/>
          <w:type w:val="continuous"/>
        </w:sectPr>
      </w:pP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400"/>
          </w:cols>
          <w:pgMar w:left="240" w:top="142" w:right="1259" w:bottom="1440" w:gutter="0" w:footer="0" w:header="0"/>
          <w:type w:val="continuous"/>
        </w:sectPr>
      </w:pPr>
    </w:p>
    <w:bookmarkStart w:id="12" w:name="page13"/>
    <w:bookmarkEnd w:id="12"/>
    <w:p>
      <w:pPr>
        <w:ind w:left="1240"/>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left="820" w:hanging="814"/>
        <w:spacing w:after="0"/>
        <w:tabs>
          <w:tab w:leader="none" w:pos="8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 of OM Video</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On August 27, 2002, the Company purchased all of the issued and outstanding shares of Stechyson Electronics Ltd. (doing business as OM Video). OM Video is an audiovisual integration firm headquartered in Ottawa, Ontario, Canada. Under the terms of the agreement, the shareholders of OM Video received approximately $6.6 million in cash. An additional $600,000 may be paid to the former shareholders within the next 12 months pending completion of certain conditions. Additionally, based on certain performance targets, the former shareholders of OM Video are entitled to an earn-out bonus of up to $800,000, over the next twelve months.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As of the date of the OM Video acquisition, the Company acquired tangible assets (not including cash) of approximately $740,000, consisting primarily of accounts receivable, inventory and property and equipment. The Company assumed liabilities of approximately $380,000, consisting primarily of trade accounts payable, accrued compensation and other accrued liabilities.</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value of the total consideration to be paid, $6.6 million in cash plus the additional holdback and earn-out amounts, was determined based on arm's length negotiations between the Company and the OM Video shareholders, that took into account a number of factors of the business including historic revenues, operating history, products, intellectual property and other factors.</w:t>
      </w:r>
    </w:p>
    <w:p>
      <w:pPr>
        <w:spacing w:after="0" w:line="20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following pro forma combined financial information reflects operations as if the acquisitions of Ivron (acquired October 3, 2001), E.mergent (acquired May 31, 2002) and OM Video (acquired August 27, 2002) had occurred as of July 1, 2001. The pro forma combined financial information is presented for illustrative purposes only, does not purport to be indicative of the Company's results of operations as of the date hereof, and is not indicative necessarily of what the Company's actual results of operations would have been had the acquisitions been consummated on such dates.</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4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gridSpan w:val="3"/>
          </w:tcPr>
          <w:p>
            <w:pPr>
              <w:jc w:val="right"/>
              <w:ind w:right="214"/>
              <w:spacing w:after="0"/>
              <w:rPr>
                <w:sz w:val="20"/>
                <w:szCs w:val="20"/>
                <w:color w:val="auto"/>
              </w:rPr>
            </w:pPr>
            <w:r>
              <w:rPr>
                <w:rFonts w:ascii="Courier New" w:cs="Courier New" w:eastAsia="Courier New" w:hAnsi="Courier New"/>
                <w:sz w:val="17"/>
                <w:szCs w:val="17"/>
                <w:color w:val="auto"/>
              </w:rPr>
              <w:t>Three Months Ended</w:t>
            </w:r>
          </w:p>
        </w:tc>
      </w:tr>
      <w:tr>
        <w:trPr>
          <w:trHeight w:val="198"/>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September 30,</w:t>
            </w:r>
          </w:p>
        </w:tc>
      </w:tr>
      <w:tr>
        <w:trPr>
          <w:trHeight w:val="198"/>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60" w:type="dxa"/>
            <w:vAlign w:val="bottom"/>
            <w:gridSpan w:val="3"/>
          </w:tcPr>
          <w:p>
            <w:pPr>
              <w:jc w:val="right"/>
              <w:ind w:right="434"/>
              <w:spacing w:after="0"/>
              <w:rPr>
                <w:sz w:val="20"/>
                <w:szCs w:val="20"/>
                <w:color w:val="auto"/>
              </w:rPr>
            </w:pPr>
            <w:r>
              <w:rPr>
                <w:rFonts w:ascii="Courier New" w:cs="Courier New" w:eastAsia="Courier New" w:hAnsi="Courier New"/>
                <w:sz w:val="17"/>
                <w:szCs w:val="17"/>
                <w:color w:val="auto"/>
              </w:rPr>
              <w:t>-------------</w:t>
            </w:r>
          </w:p>
        </w:tc>
      </w:tr>
      <w:tr>
        <w:trPr>
          <w:trHeight w:val="198"/>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2002</w:t>
            </w:r>
          </w:p>
        </w:tc>
        <w:tc>
          <w:tcPr>
            <w:tcW w:w="30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2001</w:t>
            </w:r>
          </w:p>
        </w:tc>
      </w:tr>
      <w:tr>
        <w:trPr>
          <w:trHeight w:val="198"/>
        </w:trPr>
        <w:tc>
          <w:tcPr>
            <w:tcW w:w="4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300" w:type="dxa"/>
            <w:vAlign w:val="bottom"/>
          </w:tcPr>
          <w:p>
            <w:pPr>
              <w:spacing w:after="0"/>
              <w:rPr>
                <w:sz w:val="17"/>
                <w:szCs w:val="17"/>
                <w:color w:val="auto"/>
              </w:rPr>
            </w:pPr>
          </w:p>
        </w:tc>
        <w:tc>
          <w:tcPr>
            <w:tcW w:w="8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r>
      <w:tr>
        <w:trPr>
          <w:trHeight w:val="396"/>
        </w:trPr>
        <w:tc>
          <w:tcPr>
            <w:tcW w:w="45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$14,082,287</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$18,835,528</w:t>
            </w:r>
          </w:p>
        </w:tc>
      </w:tr>
      <w:tr>
        <w:trPr>
          <w:trHeight w:val="198"/>
        </w:trPr>
        <w:tc>
          <w:tcPr>
            <w:tcW w:w="45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5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$(2,313,507)</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$ 1,853,787</w:t>
            </w:r>
          </w:p>
        </w:tc>
      </w:tr>
      <w:tr>
        <w:trPr>
          <w:trHeight w:val="198"/>
        </w:trPr>
        <w:tc>
          <w:tcPr>
            <w:tcW w:w="45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Courier New" w:cs="Courier New" w:eastAsia="Courier New" w:hAnsi="Courier New"/>
                <w:sz w:val="17"/>
                <w:szCs w:val="17"/>
                <w:color w:val="auto"/>
              </w:rPr>
              <w:t>===========</w:t>
            </w:r>
          </w:p>
        </w:tc>
        <w:tc>
          <w:tcPr>
            <w:tcW w:w="11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520" w:type="dxa"/>
            <w:vAlign w:val="bottom"/>
          </w:tcPr>
          <w:p>
            <w:pPr>
              <w:spacing w:after="0"/>
              <w:rPr>
                <w:sz w:val="20"/>
                <w:szCs w:val="20"/>
                <w:color w:val="auto"/>
              </w:rPr>
            </w:pPr>
            <w:r>
              <w:rPr>
                <w:rFonts w:ascii="Courier New" w:cs="Courier New" w:eastAsia="Courier New" w:hAnsi="Courier New"/>
                <w:sz w:val="17"/>
                <w:szCs w:val="17"/>
                <w:color w:val="auto"/>
              </w:rPr>
              <w:t>Net income per share - basic...............</w:t>
            </w:r>
          </w:p>
        </w:tc>
        <w:tc>
          <w:tcPr>
            <w:tcW w:w="32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(0.21)</w:t>
            </w:r>
          </w:p>
        </w:tc>
        <w:tc>
          <w:tcPr>
            <w:tcW w:w="3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0.22</w:t>
            </w:r>
          </w:p>
        </w:tc>
      </w:tr>
      <w:tr>
        <w:trPr>
          <w:trHeight w:val="198"/>
        </w:trPr>
        <w:tc>
          <w:tcPr>
            <w:tcW w:w="4520" w:type="dxa"/>
            <w:vAlign w:val="bottom"/>
          </w:tcPr>
          <w:p>
            <w:pPr>
              <w:spacing w:after="0"/>
              <w:rPr>
                <w:sz w:val="20"/>
                <w:szCs w:val="20"/>
                <w:color w:val="auto"/>
              </w:rPr>
            </w:pPr>
            <w:r>
              <w:rPr>
                <w:rFonts w:ascii="Courier New" w:cs="Courier New" w:eastAsia="Courier New" w:hAnsi="Courier New"/>
                <w:sz w:val="17"/>
                <w:szCs w:val="17"/>
                <w:color w:val="auto"/>
              </w:rPr>
              <w:t>Net income per share - dilutive............</w:t>
            </w:r>
          </w:p>
        </w:tc>
        <w:tc>
          <w:tcPr>
            <w:tcW w:w="320" w:type="dxa"/>
            <w:vAlign w:val="bottom"/>
          </w:tcPr>
          <w:p>
            <w:pPr>
              <w:ind w:left="120"/>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74"/>
              <w:spacing w:after="0"/>
              <w:rPr>
                <w:sz w:val="20"/>
                <w:szCs w:val="20"/>
                <w:color w:val="auto"/>
              </w:rPr>
            </w:pPr>
            <w:r>
              <w:rPr>
                <w:rFonts w:ascii="Courier New" w:cs="Courier New" w:eastAsia="Courier New" w:hAnsi="Courier New"/>
                <w:sz w:val="17"/>
                <w:szCs w:val="17"/>
                <w:color w:val="auto"/>
              </w:rPr>
              <w:t>(0.21)</w:t>
            </w:r>
          </w:p>
        </w:tc>
        <w:tc>
          <w:tcPr>
            <w:tcW w:w="300" w:type="dxa"/>
            <w:vAlign w:val="bottom"/>
          </w:tcPr>
          <w:p>
            <w:pPr>
              <w:jc w:val="right"/>
              <w:ind w:right="54"/>
              <w:spacing w:after="0"/>
              <w:rPr>
                <w:sz w:val="20"/>
                <w:szCs w:val="20"/>
                <w:color w:val="auto"/>
              </w:rPr>
            </w:pPr>
            <w:r>
              <w:rPr>
                <w:rFonts w:ascii="Courier New" w:cs="Courier New" w:eastAsia="Courier New" w:hAnsi="Courier New"/>
                <w:sz w:val="17"/>
                <w:szCs w:val="17"/>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7"/>
                <w:szCs w:val="17"/>
                <w:color w:val="auto"/>
              </w:rPr>
              <w:t>0.20</w:t>
            </w:r>
          </w:p>
        </w:tc>
      </w:tr>
    </w:tbl>
    <w:p>
      <w:pPr>
        <w:spacing w:after="0" w:line="203" w:lineRule="exact"/>
        <w:rPr>
          <w:sz w:val="20"/>
          <w:szCs w:val="20"/>
          <w:color w:val="auto"/>
        </w:rPr>
      </w:pPr>
    </w:p>
    <w:p>
      <w:pPr>
        <w:ind w:left="820" w:hanging="814"/>
        <w:spacing w:after="0"/>
        <w:tabs>
          <w:tab w:leader="none" w:pos="8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 of Broadcast Telephone Interface Product Line</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On August 27, 2002, the Company sold a portion of its broadcast telephone interface product line to Comrex Corp., a privately held broadcast equipment provider located in Devens, Massachusetts for $1.2 million. Comrex also purchased inventory held by ClearOne at the time of the transaction. The broadcast telephone interface product line consists of ClearOne's digital hybrid products. Under the terms of the agreement, Comrex obtained a perpetual license to use the Company's technology related to these products. Comrex now provides technical support for all digital hybrid products and will assume all manufacturing, marketing and selling of the digital hybrid line. In addition, the Company will continue to manufacture the TS-612 product line exclusively for distribution by Comrex under an OEM agreement for a period of up to twelve months, at which time the Company will discontinue its manufacture of all broadcast telephone interface products.</w:t>
      </w:r>
    </w:p>
    <w:p>
      <w:pPr>
        <w:spacing w:after="0" w:line="206" w:lineRule="exact"/>
        <w:rPr>
          <w:sz w:val="20"/>
          <w:szCs w:val="20"/>
          <w:color w:val="auto"/>
        </w:rPr>
      </w:pPr>
    </w:p>
    <w:p>
      <w:pPr>
        <w:ind w:left="820" w:hanging="814"/>
        <w:spacing w:after="0"/>
        <w:tabs>
          <w:tab w:leader="none" w:pos="8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One-Time Charge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first quarter of fiscal 2003, the Company recorded a one-time charge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amount of $1.9 million. The one-time charge included (1) a total of $362,000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severance and other related costs associated with a reduction of 43 employees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United States and Ireland in the first quarter of fiscal 2003; (2) 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inventory write-off in the amount of $1,384,000 in connection with ClearOne's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decision to stop marketing and selling certain products; and (3) a total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$201,000 in legal, accounting and other advisory fees related to due diligence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an acquisition that ClearOne ultimately decided not to pursue.</w:t>
      </w:r>
    </w:p>
    <w:p>
      <w:pPr>
        <w:sectPr>
          <w:pgSz w:w="11900" w:h="16838" w:orient="portrait"/>
          <w:cols w:equalWidth="0" w:num="1">
            <w:col w:w="10219"/>
          </w:cols>
          <w:pgMar w:left="240" w:top="907" w:right="1440" w:bottom="325" w:gutter="0" w:footer="0" w:header="0"/>
        </w:sectPr>
      </w:pPr>
    </w:p>
    <w:bookmarkStart w:id="13" w:name="page14"/>
    <w:bookmarkEnd w:id="13"/>
    <w:p>
      <w:pPr>
        <w:ind w:left="2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9019"/>
          </w:cols>
          <w:pgMar w:left="1440" w:top="340" w:right="1440" w:bottom="1440" w:gutter="0" w:footer="0" w:header="0"/>
        </w:sectPr>
      </w:pPr>
    </w:p>
    <w:bookmarkStart w:id="14" w:name="page15"/>
    <w:bookmarkEnd w:id="14"/>
    <w:p>
      <w:pPr>
        <w:jc w:val="center"/>
        <w:ind w:right="1979"/>
        <w:spacing w:after="0"/>
        <w:rPr>
          <w:sz w:val="20"/>
          <w:szCs w:val="20"/>
          <w:color w:val="auto"/>
        </w:rPr>
      </w:pPr>
      <w:r>
        <w:rPr>
          <w:rFonts w:ascii="Courier New" w:cs="Courier New" w:eastAsia="Courier New" w:hAnsi="Courier New"/>
          <w:sz w:val="17"/>
          <w:szCs w:val="17"/>
          <w:color w:val="auto"/>
        </w:rPr>
        <w:t>NOTES TO CONSOLIDATED FINANCIAL STATEMENTS - (continued)</w:t>
      </w:r>
    </w:p>
    <w:p>
      <w:pPr>
        <w:spacing w:after="0" w:line="203"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The following table shows the changes in the accrued severance during the first quarter of fiscal 2003:</w:t>
      </w:r>
    </w:p>
    <w:p>
      <w:pPr>
        <w:spacing w:after="0" w:line="198" w:lineRule="exact"/>
        <w:rPr>
          <w:sz w:val="20"/>
          <w:szCs w:val="20"/>
          <w:color w:val="auto"/>
        </w:rPr>
      </w:pPr>
    </w:p>
    <w:tbl>
      <w:tblPr>
        <w:tblLayout w:type="fixed"/>
        <w:tblInd w:w="820" w:type="dxa"/>
        <w:tblCellMar>
          <w:top w:w="0" w:type="dxa"/>
          <w:left w:w="0" w:type="dxa"/>
          <w:bottom w:w="0" w:type="dxa"/>
          <w:right w:w="0" w:type="dxa"/>
        </w:tblCellMar>
      </w:tblPr>
      <w:tr>
        <w:trPr>
          <w:trHeight w:val="193"/>
        </w:trPr>
        <w:tc>
          <w:tcPr>
            <w:tcW w:w="6180" w:type="dxa"/>
            <w:vAlign w:val="bottom"/>
          </w:tcPr>
          <w:p>
            <w:pPr>
              <w:spacing w:after="0"/>
              <w:rPr>
                <w:sz w:val="20"/>
                <w:szCs w:val="20"/>
                <w:color w:val="auto"/>
              </w:rPr>
            </w:pPr>
            <w:r>
              <w:rPr>
                <w:rFonts w:ascii="Courier New" w:cs="Courier New" w:eastAsia="Courier New" w:hAnsi="Courier New"/>
                <w:sz w:val="17"/>
                <w:szCs w:val="17"/>
                <w:color w:val="auto"/>
              </w:rPr>
              <w:t>Accrued severance at June 30, 2002..........................</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$ 416,000</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Amounts paid during the first quarter.......................</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(358,000)</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Additional accruals during the first quarter................</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362,000</w:t>
            </w:r>
          </w:p>
        </w:tc>
      </w:tr>
      <w:tr>
        <w:trPr>
          <w:trHeight w:val="198"/>
        </w:trPr>
        <w:tc>
          <w:tcPr>
            <w:tcW w:w="618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180" w:type="dxa"/>
            <w:vAlign w:val="bottom"/>
          </w:tcPr>
          <w:p>
            <w:pPr>
              <w:spacing w:after="0"/>
              <w:rPr>
                <w:sz w:val="20"/>
                <w:szCs w:val="20"/>
                <w:color w:val="auto"/>
              </w:rPr>
            </w:pPr>
            <w:r>
              <w:rPr>
                <w:rFonts w:ascii="Courier New" w:cs="Courier New" w:eastAsia="Courier New" w:hAnsi="Courier New"/>
                <w:sz w:val="17"/>
                <w:szCs w:val="17"/>
                <w:color w:val="auto"/>
              </w:rPr>
              <w:t>Accrued severance at September 30, 2002.....................</w:t>
            </w: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$ 420,000</w:t>
            </w:r>
          </w:p>
        </w:tc>
      </w:tr>
      <w:tr>
        <w:trPr>
          <w:trHeight w:val="198"/>
        </w:trPr>
        <w:tc>
          <w:tcPr>
            <w:tcW w:w="6180" w:type="dxa"/>
            <w:vAlign w:val="bottom"/>
          </w:tcPr>
          <w:p>
            <w:pPr>
              <w:spacing w:after="0"/>
              <w:rPr>
                <w:sz w:val="17"/>
                <w:szCs w:val="17"/>
                <w:color w:val="auto"/>
              </w:rPr>
            </w:pPr>
          </w:p>
        </w:tc>
        <w:tc>
          <w:tcPr>
            <w:tcW w:w="10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accrued severance recorded as of June 30, 2002 primarily included severance related to the E.mergent acquisition, as discussed in the Company's Form 10-K for the year ended June 30, 2002. The accrued severance recorded as of September 30, 2002 is related to both the E.mergent acquisition and the severance recorded in the first quarter of fiscal 2003.</w:t>
      </w:r>
    </w:p>
    <w:p>
      <w:pPr>
        <w:spacing w:after="0" w:line="201" w:lineRule="exact"/>
        <w:rPr>
          <w:sz w:val="20"/>
          <w:szCs w:val="20"/>
          <w:color w:val="auto"/>
        </w:rPr>
      </w:pPr>
    </w:p>
    <w:p>
      <w:pPr>
        <w:ind w:left="820" w:hanging="814"/>
        <w:spacing w:after="0"/>
        <w:tabs>
          <w:tab w:leader="none" w:pos="8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Subsequent Event - Capital Lease</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On October 14, 2002, the Company entered into a new capital lease in the amount of $2.0 million. The capital lease encompasses previous expenditures related to the Company's Oracle ERP implementation. The term of the lease is 36 months with monthly payments of approximately $60,000.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907" w:right="1440" w:bottom="1440" w:gutter="0" w:footer="0" w:header="0"/>
        </w:sectPr>
      </w:pPr>
    </w:p>
    <w:bookmarkStart w:id="15" w:name="page16"/>
    <w:bookmarkEnd w:id="15"/>
    <w:p>
      <w:pPr>
        <w:jc w:val="center"/>
        <w:ind w:right="1879"/>
        <w:spacing w:after="0"/>
        <w:rPr>
          <w:sz w:val="20"/>
          <w:szCs w:val="20"/>
          <w:color w:val="auto"/>
        </w:rPr>
      </w:pPr>
      <w:r>
        <w:rPr>
          <w:rFonts w:ascii="Courier New" w:cs="Courier New" w:eastAsia="Courier New" w:hAnsi="Courier New"/>
          <w:sz w:val="17"/>
          <w:szCs w:val="17"/>
          <w:color w:val="auto"/>
        </w:rPr>
        <w:t>MANAGEMENT'S DISCUSSION AND ANALYSIS OF</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are a provider of end-to-end conferencing solutions. Our products and services enable businesses, employees, customers and partners to communicate effectively from disparate locations, while decreasing travel time and costs. We operate in three reportable segments:</w:t>
      </w:r>
    </w:p>
    <w:p>
      <w:pPr>
        <w:spacing w:after="0" w:line="200" w:lineRule="exact"/>
        <w:rPr>
          <w:sz w:val="20"/>
          <w:szCs w:val="20"/>
          <w:color w:val="auto"/>
        </w:rPr>
      </w:pPr>
    </w:p>
    <w:p>
      <w:pPr>
        <w:ind w:left="1040" w:hanging="520"/>
        <w:spacing w:after="0"/>
        <w:tabs>
          <w:tab w:leader="none" w:pos="10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products,</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conferencing services, and</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business services.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Our products segment primarily manufactures and sells high quality audio conferencing products, videoconferencing products, sound reinforcement products and videoconferencing peripherals such as cameras and furniture. Through our single point of contact, 1-800-LETS MEET(R), our conferencing services segment provides (1) full-service conference calling; (2) on-demand, reservationless conference calling; (3) web conferencing; and (4) audio and video streaming. Our business services segment provides our customers with a broad range of services, both on a local and international basis. These value added services include proactive field support, training, conferencing system consulting and 24-hour customer support; customer training and education; and technical services such as the design, installation and servicing of conferencing systems.</w:t>
      </w:r>
    </w:p>
    <w:p>
      <w:pPr>
        <w:spacing w:after="0" w:line="204" w:lineRule="exact"/>
        <w:rPr>
          <w:sz w:val="20"/>
          <w:szCs w:val="20"/>
          <w:color w:val="auto"/>
        </w:rPr>
      </w:pPr>
    </w:p>
    <w:p>
      <w:pPr>
        <w:jc w:val="both"/>
        <w:ind w:right="1979"/>
        <w:spacing w:after="0" w:line="246" w:lineRule="auto"/>
        <w:rPr>
          <w:sz w:val="20"/>
          <w:szCs w:val="20"/>
          <w:color w:val="auto"/>
        </w:rPr>
      </w:pPr>
      <w:r>
        <w:rPr>
          <w:rFonts w:ascii="Courier New" w:cs="Courier New" w:eastAsia="Courier New" w:hAnsi="Courier New"/>
          <w:sz w:val="17"/>
          <w:szCs w:val="17"/>
          <w:color w:val="auto"/>
        </w:rPr>
        <w:t>Effective January 1, 2002, we changed our name to ClearOne Communications, Inc., and on March 15, 2002 our shares began trading under the symbol CLRO. Our shares are traded on the Nasdaq National Market.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OM Video Acquisition</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On August 27, 2002, we purchased all of the issued and outstanding shares of Stechyson Electronics Ltd. doing business as OM Video. OM Video is an audiovisual integration firm headquartered in Ottawa, Ontario, Canada.</w:t>
      </w:r>
    </w:p>
    <w:p>
      <w:pPr>
        <w:spacing w:after="0" w:line="200"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Under the terms of the agreement, the shareholders of OM Video received approximately $6.6 million in cash. An additional $600,000 may be paid to the former shareholders within the next 12 months pending completion of certain conditions. Additionally, based on certain performance targets, the former shareholders of OM Video are entitled to an earn-out bonus of up to $800,000, over the next twelve months.</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As of the date of the OM Video acquisition, we acquired tangible assets (not including cash) of approximately $740,000, consisting primarily of accounts receivable, inventory and property and equipment. We assumed liabilities of approximately $380,000, consisting primarily of trade accounts payable, accrued compensation and other accrued liabilities.</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connection with the OM Video acquisition and based upon the analysis of an independent financial consulting firm, we recorded intangible assets related to certain contracts of $574,000 and goodwill of $6.2 million. The contracts will be amortized over their estimated useful lives as follows:</w:t>
      </w:r>
    </w:p>
    <w:p>
      <w:pPr>
        <w:sectPr>
          <w:pgSz w:w="11900" w:h="16838" w:orient="portrait"/>
          <w:cols w:equalWidth="0" w:num="1">
            <w:col w:w="10219"/>
          </w:cols>
          <w:pgMar w:left="240" w:top="907" w:right="1440" w:bottom="1440" w:gutter="0" w:footer="0" w:header="0"/>
        </w:sectPr>
      </w:pPr>
    </w:p>
    <w:p>
      <w:pPr>
        <w:spacing w:after="0" w:line="200"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Amortization Period:</w:t>
      </w:r>
    </w:p>
    <w:p>
      <w:pPr>
        <w:spacing w:after="0" w:line="5" w:lineRule="exact"/>
        <w:rPr>
          <w:sz w:val="20"/>
          <w:szCs w:val="20"/>
          <w:color w:val="auto"/>
        </w:rPr>
      </w:pPr>
    </w:p>
    <w:p>
      <w:pPr>
        <w:ind w:left="10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2 years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Amount to be Amortized: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$574,000</w:t>
      </w:r>
    </w:p>
    <w:p>
      <w:pPr>
        <w:spacing w:after="0" w:line="200" w:lineRule="exact"/>
        <w:rPr>
          <w:sz w:val="20"/>
          <w:szCs w:val="20"/>
          <w:color w:val="auto"/>
        </w:rPr>
      </w:pPr>
    </w:p>
    <w:p>
      <w:pPr>
        <w:sectPr>
          <w:pgSz w:w="11900" w:h="16838" w:orient="portrait"/>
          <w:cols w:equalWidth="0" w:num="2">
            <w:col w:w="3720" w:space="720"/>
            <w:col w:w="5779"/>
          </w:cols>
          <w:pgMar w:left="240" w:top="907" w:right="1440" w:bottom="1440" w:gutter="0" w:footer="0" w:header="0"/>
          <w:type w:val="continuous"/>
        </w:sectPr>
      </w:pPr>
    </w:p>
    <w:p>
      <w:pPr>
        <w:spacing w:after="0" w:line="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recorded amortization expense of approximately $24,000 for the contracts and developed technology for the period from September 1, 2002 to September 30, 2002. In accordance with SFAS No. 142, no amortization expense has been recorded for goodwill.</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907" w:right="1440" w:bottom="1440" w:gutter="0" w:footer="0" w:header="0"/>
          <w:type w:val="continuous"/>
        </w:sectPr>
      </w:pPr>
    </w:p>
    <w:bookmarkStart w:id="16" w:name="page17"/>
    <w:bookmarkEnd w:id="16"/>
    <w:p>
      <w:pPr>
        <w:ind w:right="2079"/>
        <w:spacing w:after="0" w:line="246" w:lineRule="auto"/>
        <w:rPr>
          <w:sz w:val="20"/>
          <w:szCs w:val="20"/>
          <w:color w:val="auto"/>
        </w:rPr>
      </w:pPr>
      <w:r>
        <w:rPr>
          <w:rFonts w:ascii="Courier New" w:cs="Courier New" w:eastAsia="Courier New" w:hAnsi="Courier New"/>
          <w:sz w:val="17"/>
          <w:szCs w:val="17"/>
          <w:color w:val="auto"/>
        </w:rPr>
        <w:t>Since the OM Video acquisition, OM Video has remained a self-sufficient, wholly owned subsidiary whose operations are in Canada. Since both OM Video and E.mergent have been focused on business services, we have begun developing a detailed best practices approach to providing ClearOne business services. While we have begun to take advantage of the cost savings and cross-selling opportunities resulting from the OM Video acquisition, we anticipate that the benefits of the OM Video acquisition will have a more significant impact on our results of operations in the latter half of fiscal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 of Broadcast Telephone Interface Product Line</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On August 27, 2002, we sold a portion of our broadcast telephone interface product line to Comrex Corp., a privately held broadcast equipment provider located in Devens, Massachusetts for $1.2 million. Comrex also purchased inventory held by us at the time of the transaction. The broadcast telephone interface product line consists of ClearOne's digital hybrid products. Under the terms of the agreement, Comrex obtained a perpetual license to use our technology related to these products. Comrex now provides technical support for all digital hybrid products and will assume all manufacturing, marketing and selling of the digital hybrid line. In addition, we will continue to manufacture the TS-612 product line exclusively for distribution by Comrex under an OEM agreement for a period of up to twelve months, at which time we will discontinue our manufacture of all broadcast telephone interface products.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Consolidated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Sales for the three months ended September 30, 2002 increased 16.1% to $13.0 million from $11.2 million for the three months ended September 30, 2001. Product sales accounted for $5.5 million, or 42.0% of total sales, while service sales accounted for $7.5 million, or 58.0% of total sales. As we implement our strategy of transitioning to become a solutions provider as opposed to primarily a manufacturer of technology products, we anticipate that our product sales will represent a smaller percentage of our total sales. We will continue to develop and distribute our products, but we anticipate that the growth in our service sales will be more robust.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Sales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Product sales decreased 26.7% to $5.5 million for the first quarter of fiscal 2003 from $7.5 million for the first quarter of fiscal 2002. This decrease was primarily due to slowing demand as a result of the general economic conditions and because of our decision not to accept lower margin sales.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Service Sales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Service sales, which include sales from our conferencing services and our business services segments, grew 102.7% to $7.5 million for the three month period ended September 30, 2002 as compared to $3.7 million for the three month period ended September 30, 2001. The increase is due to the addition of our new business services segment.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Conferencing Services Sales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Conferencing services sales remained consistent at $3.7 million for the first quarter of fiscal 2003 compared to $3.7 million for the first quarter of fiscal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Services Sales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Our business services segment commenced operations on June 1, 2002 with the acquisition of E.mergent, and generated sales of $3.8 million for the first quarter of fiscal 2003. Our business services segment is our newest operating segment. We anticipate that our recent acquisitions will enable us to establish a significant position in the business services market.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Gross Profit Margin</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Our gross profit margin was 42.8% for the first quarter of fiscal 2003 compared to 59.2% for the first quarter of fiscal 2002. The decrease in gross margins is the result of three factors. First, due to a shift in the historical mix of product revenue, sales of lower-margin conferencing peripherals made up a larger portion of total product sales. Second, the total revenue mix was impacted by the first full quarter of sales from business services, which currently has lower margins that our other business segments. Third, we also absorbed fixed overhead costs over a decreased product revenue base.</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709"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Operating Expenses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one-time charges of $1.9 million, our operating expenses increased</w:t>
      </w:r>
    </w:p>
    <w:p>
      <w:pPr>
        <w:spacing w:after="0" w:line="5"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84.4% to $8.3 million for the first quarter of fiscal 2003 from $4.5 million for the first quarter of fiscal 2002.</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Marketing and Selling Expenses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Marketing and selling expenses for the first quarter of fiscal 2003 were $3.2 million compared to $2.5 million for the first quarter of fiscal 2002. As a percentage of sales, marketing and selling expenses increased to 24.9% for the first quarter of fiscal 2003 from 22.0% for the first quarter of fiscal 2002. The increase in marketing and selling expenses is due to our efforts to increase momentum in the markets for our new products, conferencing services and business services. We also attribute the increase to the integration of the sales infrastructure following the acquisitions of E.mergent and OM Video.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 Development Expenses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Product development expenses increased 29.3% to $972,000 for the first quarter of fiscal 2003, compared to $752,000 for the first quarter fiscal 2002. As a percentage of sales, product development expenses increased to 7.5% for the first quarter of fiscal 2003 from 6.7% for the first quarter of fiscal 2002. The increase in product development expenses is due to development costs associated with new product development and amortization expense associated with technology acquired from Ivron.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 and Administrative Expenses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General and administrative expenses increased 69.2% to $2.2 million for the first quarter of fiscal 2003, compared to $1.3 million for the first quarter of fiscal 2002. As a percentage of sales, general and administrative expenses increased to 16.8% for the first quarter of fiscal 2003, compared to 11.4% for the first quarter of fiscal 2002. We attribute the increase in the amount of our general and administrative expenses to adding the general and administrative expenses of E.mergent and OM Video, along with the amortization expense associated with these acquisitions.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One-Time Charges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One-time charges totaled $1.9 million and included (1) severance and other related costs associated with a 20 percent reduction in work force in the first quarter of fiscal 2003 in the amount of $362,000; (2) an inventory write-off in the amount of $1,384,000 in connection with ClearOne's decision to stop marketing and selling certain products; and (3) legal, accounting and other advisory fees in the amount of $201,000 related to due diligence on an acquisition that ClearOne ultimately decided not to pursue.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(Expense)</w:t>
      </w:r>
    </w:p>
    <w:p>
      <w:pPr>
        <w:spacing w:after="0" w:line="203" w:lineRule="exact"/>
        <w:rPr>
          <w:sz w:val="20"/>
          <w:szCs w:val="20"/>
          <w:color w:val="auto"/>
        </w:rPr>
      </w:pPr>
    </w:p>
    <w:p>
      <w:pPr>
        <w:jc w:val="both"/>
        <w:ind w:right="2079"/>
        <w:spacing w:after="0" w:line="246" w:lineRule="auto"/>
        <w:rPr>
          <w:sz w:val="20"/>
          <w:szCs w:val="20"/>
          <w:color w:val="auto"/>
        </w:rPr>
      </w:pPr>
      <w:r>
        <w:rPr>
          <w:rFonts w:ascii="Courier New" w:cs="Courier New" w:eastAsia="Courier New" w:hAnsi="Courier New"/>
          <w:sz w:val="17"/>
          <w:szCs w:val="17"/>
          <w:color w:val="auto"/>
        </w:rPr>
        <w:t>Interest income decreased 29.6% to $76,000 for the first quarter of fiscal 2003 as compared to $108,000 for the first quarter of fiscal 2002. This decrease was primarily due to the decrease in cash.</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first quarter of fiscal 2003 our interest expense increased 74.0% to</w:t>
      </w:r>
    </w:p>
    <w:p>
      <w:pPr>
        <w:spacing w:after="0" w:line="5"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$8,700 from the first quarter of fiscal 2002 because of a capital lease acquired through the purchase of E.mergent.</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During the first quarter of fiscal 2003, income tax benefit was calculated at a combined federal, state and foreign effective tax rate of approximately 27.5%, resulting in an income tax benefit of $439,000. This effective tax rate differs from statutory rates as a result of taxable income in certain foreign jurisdictions and tax losses in another foreign jurisdiction for which no current benefit was recognized as its realizability is not assured. For the first quarter of fiscal 2002, our effective tax rate was 38.1%, and our income tax expense was $871,000.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Income (Loss)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Net loss for the first quarter of fiscal 2003 was $1.2 million, compared to net income of $1.4 million for the first quarter of fiscal 2002. See the above discussion of the "Consolidated Results of Operations" regarding factors affecting net income (loss). The net loss is primarily due to the one-time charge as well as product sales being lower than expected. We continue to work on consolidating our operations in the product segment to improve efficiencies by consolidating our manufacturing operations and through the reduction in work force which occurred during the first quarter of fiscal 2003.</w:t>
      </w: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709" w:right="1440" w:bottom="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Sources of Funds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Our cash and cash equivalents at September 30, 2002 totaled approximately $5.4 million, which represents a decrease of $8.8 million from $14.2 million at June 30, 2002. Our sources of cash and cash equivalents included proceeds from accounts receivable, proceeds from a note receivable in connection with the sale of our RFM/Broadcast division to Burk, and net proceeds from the sale of our telephone interface business.</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Net cash used in operating activities was $2.1 million for the first quarter of fiscal 2003, compared to $1.4 million of net cash provided by operating activities for the first quarter of fiscal 2002. The change in cash flows from operating activities is primarily due to the increase in our inventory from $8.6 million at June 30, 2002 to $10.7 million at September 30, 2002. Inventory levels were increased to meet expected sales at the end of the quarter, but such sales did not occur as expected. We expect to see inventory decrease during the rest of the year because of our efforts to right-size our operations and our increased visibility into our distributors' inventory levels.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Our accounts payable as of September 30, 2002 had increased by $800,000 for the first quarter of fiscal 2003. We attribute approximately $400,000 directly to OM Video's accounts payable and $400,000 to higher volume purchasing in the first quarter based on the expectation of higher production and sales volume.</w:t>
      </w:r>
    </w:p>
    <w:p>
      <w:pPr>
        <w:spacing w:after="0" w:line="200" w:lineRule="exact"/>
        <w:rPr>
          <w:sz w:val="20"/>
          <w:szCs w:val="20"/>
          <w:color w:val="auto"/>
        </w:rPr>
      </w:pPr>
    </w:p>
    <w:p>
      <w:pPr>
        <w:ind w:right="2179"/>
        <w:spacing w:after="0" w:line="247" w:lineRule="auto"/>
        <w:rPr>
          <w:sz w:val="20"/>
          <w:szCs w:val="20"/>
          <w:color w:val="auto"/>
        </w:rPr>
      </w:pPr>
      <w:r>
        <w:rPr>
          <w:rFonts w:ascii="Courier New" w:cs="Courier New" w:eastAsia="Courier New" w:hAnsi="Courier New"/>
          <w:sz w:val="17"/>
          <w:szCs w:val="17"/>
          <w:color w:val="auto"/>
        </w:rPr>
        <w:t>Cash used in financing activities was $165,000, and was attributable primarily to principal payments on our line of credit.</w:t>
      </w:r>
    </w:p>
    <w:p>
      <w:pPr>
        <w:spacing w:after="0" w:line="198" w:lineRule="exact"/>
        <w:rPr>
          <w:sz w:val="20"/>
          <w:szCs w:val="20"/>
          <w:color w:val="auto"/>
        </w:rPr>
      </w:pPr>
    </w:p>
    <w:p>
      <w:pPr>
        <w:jc w:val="both"/>
        <w:ind w:right="2279"/>
        <w:spacing w:after="0" w:line="246" w:lineRule="auto"/>
        <w:rPr>
          <w:sz w:val="20"/>
          <w:szCs w:val="20"/>
          <w:color w:val="auto"/>
        </w:rPr>
      </w:pPr>
      <w:r>
        <w:rPr>
          <w:rFonts w:ascii="Courier New" w:cs="Courier New" w:eastAsia="Courier New" w:hAnsi="Courier New"/>
          <w:sz w:val="17"/>
          <w:szCs w:val="17"/>
          <w:color w:val="auto"/>
        </w:rPr>
        <w:t>We have a revolving credit facility for $5.0 million, which is secured by our accounts receivable and inventory. The interest rate on the revolving credit facility is variable. The borrowing rate was 4.5% as of September 30, 2002.</w:t>
      </w:r>
    </w:p>
    <w:p>
      <w:pPr>
        <w:spacing w:after="0" w:line="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While we had a balance of $196,000 as of June 30, 2002, no balance was owing under the line of credit as of November 1, 2002. The revolving credit facility will expire on December 22, 2002 and we plan to renew it at that time. The terms of the revolving credit facility require us to maintain certain financial ratios and restrict our ability to modify our basic business activities, transfer assets or create additional indebtedness.</w:t>
      </w:r>
    </w:p>
    <w:p>
      <w:pPr>
        <w:spacing w:after="0" w:line="202"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We have an effective shelf registration statement filed with the SEC that registered the sale of up to $100.0 million of our securities in the form of equity, debt or combinations thereof. While we currently have no specific plan to offer any securities, an effective shelf registration statement will enable us to act quickly to take advantage of favorable market conditions.</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On October 14, 2002, we entered into a new capital lease in the amount of $2.0 million. The capital lease encompasses previous expenditures related to our Oracle ERP implementation. The term of the lease is 36 months with monthly payments of approximately $60,000.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Uses of Funds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 the first quarter of fiscal 2003, our primary uses of funds were as follows:</w:t>
      </w:r>
    </w:p>
    <w:p>
      <w:pPr>
        <w:spacing w:after="0" w:line="203" w:lineRule="exact"/>
        <w:rPr>
          <w:sz w:val="20"/>
          <w:szCs w:val="20"/>
          <w:color w:val="auto"/>
        </w:rPr>
      </w:pPr>
    </w:p>
    <w:p>
      <w:pPr>
        <w:ind w:left="1040" w:hanging="520"/>
        <w:spacing w:after="0"/>
        <w:tabs>
          <w:tab w:leader="none" w:pos="10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acquire OM Video for a total cash outflow of $6.5 million;</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purchase inventory; and</w:t>
      </w:r>
    </w:p>
    <w:p>
      <w:pPr>
        <w:spacing w:after="0" w:line="203" w:lineRule="exact"/>
        <w:rPr>
          <w:rFonts w:ascii="Courier New" w:cs="Courier New" w:eastAsia="Courier New" w:hAnsi="Courier New"/>
          <w:sz w:val="17"/>
          <w:szCs w:val="17"/>
          <w:color w:val="auto"/>
        </w:rPr>
      </w:pPr>
    </w:p>
    <w:p>
      <w:pPr>
        <w:ind w:left="1040" w:right="2899" w:hanging="520"/>
        <w:spacing w:after="0" w:line="247" w:lineRule="auto"/>
        <w:tabs>
          <w:tab w:leader="none" w:pos="104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fund capital expenditures at a total cost of approximately $731,000.</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We believe that our working capital, bank line of credit and cash flows from operating activities will be sufficient to satisfy our operating and capital expenditure requirements for the next 12 months. In the longer term, or if we experience a decline in sales, or in the event of other unforeseen circumstances, we may require additional funds and may seek to raise such funds through public or private equity or debt financing, bank lines of credit, or other sources. We cannot assure you that additional financing will be available or, if available, will be on terms favorable to us.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Critical Accounting Policies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preparation of financial statements in conformity with accounting principles generally accepted in the United States of America requires us to make estimates and assumptions and select accounting policies that affect the presentation of our financial condition, changes in financial condition or our results of operations. Our estimates relate to matters that are uncertain at the time the</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709" w:right="1440" w:bottom="0" w:gutter="0" w:footer="0" w:header="0"/>
        </w:sectPr>
      </w:pPr>
    </w:p>
    <w:bookmarkStart w:id="19" w:name="page20"/>
    <w:bookmarkEnd w:id="19"/>
    <w:p>
      <w:pPr>
        <w:ind w:right="1979"/>
        <w:spacing w:after="0" w:line="246" w:lineRule="auto"/>
        <w:rPr>
          <w:sz w:val="20"/>
          <w:szCs w:val="20"/>
          <w:color w:val="auto"/>
        </w:rPr>
      </w:pPr>
      <w:r>
        <w:rPr>
          <w:rFonts w:ascii="Courier New" w:cs="Courier New" w:eastAsia="Courier New" w:hAnsi="Courier New"/>
          <w:sz w:val="17"/>
          <w:szCs w:val="17"/>
          <w:color w:val="auto"/>
        </w:rPr>
        <w:t>estimate is made. These estimates are based on our historical experience and on various assumptions that we believe to be reasonable under the circumstances, given the available information at the time of the estimate, the results of which form the basis for the judgments we made. Actual results could differ from these estimates under different assumptions and conditions.</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We believe the following critical accounting policies affect our most significant judgments and estimates used in the preparation of our consolidated financial statements.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Stock-Based Compensation</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account for stock option grants to employees, officers and directors using the intrinsic value-based method prescribed by Accounting Principles Board (APB) Opinion No. 25, "Accounting for Stock Issued to Employees." Accordingly, we record no compensation expense relating to these options because at the time of the grant of these stock options, the exercise price of the options equals the market value of the underlying stock. The alternative is to measure the fair value of the options at the time of the grant, using a method defined in the Statement of Financial Accounting Standards (SFAS) No. 123, "Accounting for Stock-Based Compensation". While the Financial Accounting Standards Board (FASB) encourages the adoption of SFAS No. 123, we are permitted to continue to measure compensation expense for stock-based plans using APB Opinion No. 25.</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Revenue Recognition</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Revenue from product sales is typically recognized at the time product is shipped. Generally, the Company transfers the risks and rewards of the products, including title, at this time. Revenue from conferencing services sales is recognized at the time the service is rendered. Revenue from business services sales is generally recognized at the completion of installation if customer acceptance is required. If the customer acceptance is not required, revenue from business services sales is recognized when it is both realized and earned. The acquisitions of E.mergent and OM Video added unearned revenue to the balance sheet. Unearned revenue is derived from the sale of maintenance contracts for integrated systems installations. These contracts are usually for a period of 12, 24, or 36 months and cover all costs of repair and, in some cases, replacement of defective parts as well as on-site troubleshooting. The revenue from a maintenance contract is deferred and recognized ratably over the full period covered by the contract. Expenses related to the contracts are expensed as incurred. As of September 30, 2002, the amount of revenue to be recognized over the next 12 months was $695,000 and thereafter $220,000.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Obsolete &amp; Slow-Moving Inventory Reserves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We account for our inventory on a first-in-first-out (FIFO) basis, and make appropriate reserves on a quarterly basis to write-down the value of inventory to the lower of cost or net realizable value.</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 order to determine what, if any, inventory needs to be written down and the actual reserve amount required, we perform an analysis of obsolete and slow-moving inventory at least two times per year. In general, we write down our excess and obsolete inventory by an amount that is equal to the difference between the cost of the inventory and its estimated market value if market value is less than cost, based upon assumptions about future product life-cycles, product demand and market conditions. Those items that are found to have a supply in excess of demand are considered to be slow-moving or obsolete and the appropriate reserve is made to write-down the value of that inventory to its realizable value.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Accounts Receivable - Allowance for Doubtful Accounts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maintain an allowance for doubtful accounts for estimated losses resulting from our customers' failure to make required payments. The amount of the allowance is based on our historical experience and involves a review of account aging, our customers' financial condition or general economic conditions. We believe that our allowance for doubtful accounts is adequate.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Reserve for Product Returns</w:t>
      </w:r>
    </w:p>
    <w:p>
      <w:pPr>
        <w:spacing w:after="0" w:line="203" w:lineRule="exact"/>
        <w:rPr>
          <w:sz w:val="20"/>
          <w:szCs w:val="20"/>
          <w:color w:val="auto"/>
        </w:rPr>
      </w:pPr>
    </w:p>
    <w:p>
      <w:pPr>
        <w:jc w:val="both"/>
        <w:ind w:right="2699"/>
        <w:spacing w:after="0" w:line="246" w:lineRule="auto"/>
        <w:rPr>
          <w:sz w:val="20"/>
          <w:szCs w:val="20"/>
          <w:color w:val="auto"/>
        </w:rPr>
      </w:pPr>
      <w:r>
        <w:rPr>
          <w:rFonts w:ascii="Courier New" w:cs="Courier New" w:eastAsia="Courier New" w:hAnsi="Courier New"/>
          <w:sz w:val="17"/>
          <w:szCs w:val="17"/>
          <w:color w:val="auto"/>
        </w:rPr>
        <w:t>We maintain a reserve for product returns based on the historical product return-to-sales ratio. The amount of the reserve is calculated and may be adjusted on a quarterly basis.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Goodwill--Recoverability</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As more fully discussed in Note 1 to the Consolidated Financial Statements, we have recorded the goodwill and other intangible assets that have been acquired through our acquisitions of ClearOne in July 2000, Ivron in October 2001, and E.mergent in May 2002 and OM Video in August 2002 in accordance with SFAS No.</w:t>
      </w:r>
    </w:p>
    <w:p>
      <w:pPr>
        <w:sectPr>
          <w:pgSz w:w="11900" w:h="16838" w:orient="portrait"/>
          <w:cols w:equalWidth="0" w:num="1">
            <w:col w:w="10219"/>
          </w:cols>
          <w:pgMar w:left="240" w:top="709" w:right="1440" w:bottom="0" w:gutter="0" w:footer="0" w:header="0"/>
        </w:sectPr>
      </w:pPr>
    </w:p>
    <w:bookmarkStart w:id="20" w:name="page21"/>
    <w:bookmarkEnd w:id="20"/>
    <w:p>
      <w:pPr>
        <w:spacing w:after="0"/>
        <w:rPr>
          <w:sz w:val="20"/>
          <w:szCs w:val="20"/>
          <w:color w:val="auto"/>
        </w:rPr>
      </w:pPr>
      <w:r>
        <w:rPr>
          <w:rFonts w:ascii="Courier New" w:cs="Courier New" w:eastAsia="Courier New" w:hAnsi="Courier New"/>
          <w:sz w:val="17"/>
          <w:szCs w:val="17"/>
          <w:color w:val="auto"/>
        </w:rPr>
        <w:t>141 and 142. In July 2001, FASB issued SFAS No. 141, "Business Combinations",</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142" w:right="1440" w:bottom="1440" w:gutter="0" w:footer="0" w:header="0"/>
          <w:type w:val="continuous"/>
        </w:sectPr>
      </w:pPr>
    </w:p>
    <w:bookmarkStart w:id="21" w:name="page22"/>
    <w:bookmarkEnd w:id="21"/>
    <w:p>
      <w:pPr>
        <w:ind w:right="1979"/>
        <w:spacing w:after="0" w:line="246" w:lineRule="auto"/>
        <w:rPr>
          <w:sz w:val="20"/>
          <w:szCs w:val="20"/>
          <w:color w:val="auto"/>
        </w:rPr>
      </w:pPr>
      <w:r>
        <w:rPr>
          <w:rFonts w:ascii="Courier New" w:cs="Courier New" w:eastAsia="Courier New" w:hAnsi="Courier New"/>
          <w:sz w:val="17"/>
          <w:szCs w:val="17"/>
          <w:color w:val="auto"/>
        </w:rPr>
        <w:t>which establishes new standards for accounting and reporting requirements for business combinations, and SFAS No. 142, "Goodwill and Other Intangible Assets", which broadens the criteria for recording intangible assets other than goodwill. In effect, as a result of SFAS No. 141 and SFAS No. 142, the goodwill that was recorded in our acquisitions of Ivron, E.mergent and OM Video was not subject to amortization. Further, as of July 1, 2002, the goodwill that was previously recorded with respect to the acquisition of ClearOne is no longer subject to amortization. Instead, SFAS No. 142 sets forth methods to periodically evaluate the goodwill that will not be amortized for impairment. We are working with our financial consultants to establish the appropriate methods to properly evaluate the recoverability of the goodwill and to measure for possible impairment. This evaluation involves significant management judgment and is based on various analyses, including cash flow and profitability projections. If such methods should indicate that the value of the goodwill has been impaired, then we will record a charge to operations to recognize the impairment of our goodwill.</w:t>
      </w:r>
    </w:p>
    <w:p>
      <w:pPr>
        <w:spacing w:after="0" w:line="207"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SFAS No. 142 provides a six-month transition period from the effective date of adoption for us to complete Step 1 (determining and comparing the fair value of our reporting units to their carrying values) of the transitional impairment test. We anticipate completing this impairment assessment by December 31, 2002. If, upon completion of Step 1, the carrying value exceeds the fair value, the goodwill of the reporting unit is potentially impaired and we must complete Step 2 in order to measure the impairment loss. Step 2 involves the calculation of the implied fair value of goodwill and must be completed by June 30, 2002. However, we currently do not expect to fail Step 1 of the transitional impairment test and therefore, do not expect to record an impairment loss upon completion of the transitional impairment analysis. Furthermore, we do not believe that there are any indications that goodwill is impaired as of September 30, 2002.</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Deferred Tax Assets and Liabilities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provide for income taxes based on the asset and liability method required by SFAS No. 109, "Accounting for Income Taxes". Under this method, deferred tax assets and liabilities are recognized for the future tax consequences attributable to differences between the financial statement carrying amounts of existing assets and liabilities and their respective tax bases, as well as net operating loss and credit carryforwards. As of September 30, 2002, we had deferred tax assets of approximately $1.3 million, and deferred tax liabilities of approximately $1.5 million, for a net deferred tax liability of approximately $164,000. Our deferred tax assets of $1.3 million are attributable to differences between the financial statement and tax treatment of certain allowances and reserves with respect to our current assets that are not currently deductible for income tax purposes. Approximately $500,000 of our deferred tax liability relates to the taxable gain that has been deferred until we receive principal payments on the note issued by Burk. The balance of the deferred tax liability relates to differences between the financial statement basis and tax basis of depreciable fixed assets and certain intangible assets that are either amortizable or non-amortizable for financial statement or tax purposes, as well as the timing for recognition of the gain on assets sold to Burk.</w:t>
      </w:r>
    </w:p>
    <w:p>
      <w:pPr>
        <w:spacing w:after="0" w:line="209"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 connection with the E.mergent and Ivron acquisitions, we may be able to take advantage of certain tax net operating loss and credit carryforwards from which we could derive significant tax benefits. However, the tax rules regarding such tax benefits arising from an acquisition are complicated and very restrictive, and the availability of these tax benefits to us is not certain. As a result, we have reduced to zero, the deferred tax asset of approximately $508,000 with respect to the acquired tax carryforwards that would otherwise be recorded. This reduction is done by recording a valuation allowance against the deferred tax asset of the same amount. The need to record a valuation allowance is evaluated each quarter, and if we determine that we will realize all or part of the deferred tax asset in the future, an adjustment to the deferred tax asset will be made. Because these carryforwards were obtained as a result of acquisitions, a similar adjustment will be recorded to goodwill.</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 July 2001, the FASB issued SFAS No. 142, "Goodwill and Other Intangible Assets" which we adopted effective July 1, 2002. Under SFAS No. 142, goodwill and intangible assets with indefinite lives are no longer amortized, but must be reviewed for impairment at least annually or more frequently under certain circumstances. Other intangible assets that are deemed to have finite lives will continue to be amortized over their useful lives but must be reviewed for impairment when events or changes in circumstances indicate that the carrying amount of these assets may not be recoverable. This goodwill and other intangible assets represent a significant portion of our recorded assets. If impairment is deemed to exist, we will write down the recorded value of goodwill and other intangible assets to their fair values. As of September 30, 2002, we had unamortized goodwill of approximately $26.8 million, of which $2.5 million</w:t>
      </w:r>
    </w:p>
    <w:p>
      <w:pPr>
        <w:sectPr>
          <w:pgSz w:w="11900" w:h="16838" w:orient="portrait"/>
          <w:cols w:equalWidth="0" w:num="1">
            <w:col w:w="10219"/>
          </w:cols>
          <w:pgMar w:left="240" w:top="709" w:right="1440" w:bottom="0" w:gutter="0" w:footer="0" w:header="0"/>
        </w:sectPr>
      </w:pPr>
    </w:p>
    <w:bookmarkStart w:id="22" w:name="page23"/>
    <w:bookmarkEnd w:id="22"/>
    <w:p>
      <w:pPr>
        <w:ind w:right="2079"/>
        <w:spacing w:after="0" w:line="246" w:lineRule="auto"/>
        <w:rPr>
          <w:sz w:val="20"/>
          <w:szCs w:val="20"/>
          <w:color w:val="auto"/>
        </w:rPr>
      </w:pPr>
      <w:r>
        <w:rPr>
          <w:rFonts w:ascii="Courier New" w:cs="Courier New" w:eastAsia="Courier New" w:hAnsi="Courier New"/>
          <w:sz w:val="17"/>
          <w:szCs w:val="17"/>
          <w:color w:val="auto"/>
        </w:rPr>
        <w:t>relates to the acquisition of ClearOne, Inc. that was amortized up to June 30, 2002, $439,000 relates to the Ivron acquisition, $17.7 million relates to the E.mergent acquisition and $6.2 million relates to the OM Video acquisition. Through June 30, 2002, we amortized approximately $190,000 annually of ClearOne goodwill.</w:t>
      </w: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August 2001, the FASB issued SFAS No. 144, "Accounting for the Impairment or Disposal of Long-Lived Assets." This Statement addresses financial accounting and reporting for the impairment or disposal of long-lived assets. This</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142" w:right="1440" w:bottom="1440" w:gutter="0" w:footer="0" w:header="0"/>
        </w:sectPr>
      </w:pPr>
    </w:p>
    <w:bookmarkStart w:id="23" w:name="page24"/>
    <w:bookmarkEnd w:id="23"/>
    <w:p>
      <w:pPr>
        <w:ind w:right="2179"/>
        <w:spacing w:after="0" w:line="246" w:lineRule="auto"/>
        <w:rPr>
          <w:sz w:val="20"/>
          <w:szCs w:val="20"/>
          <w:color w:val="auto"/>
        </w:rPr>
      </w:pPr>
      <w:r>
        <w:rPr>
          <w:rFonts w:ascii="Courier New" w:cs="Courier New" w:eastAsia="Courier New" w:hAnsi="Courier New"/>
          <w:sz w:val="17"/>
          <w:szCs w:val="17"/>
          <w:color w:val="auto"/>
        </w:rPr>
        <w:t>Statement supersedes FASB Statement No. 121, "Accounting for the Impairment of Long-Lived Assets and for Long-Lived Assets to be Disposed Of," and the accounting and reporting provisions of APB Opinion No. 30, "Reporting the Results of Operations and Reporting the Effects of Disposal of a Segment of a Business, and Extraordinary, Unusual, and Infrequently Occurring Events and Transactions," for the disposal of a segment of a business (as previously defined in that opinion). We adopted SFAS No. 144 effective July 1, 2002. The adoption of SFAS No. 144 did not have a material impact on our financial statements.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 July 2002, the FASB issued SFAS No. 146, "Accounting for Costs Associated with Exit or Disposal Activities." SFAS No. 146 addresses financial accounting and reporting for costs associated with exit or disposal activities and nullifies Emerging Issues Task Force (EITF) issue No. 94-3, "Liability Recognition for Certain Employee Termination Benefits and Other Costs to Exit an Activity (including Certain Costs Incurred in a Restructuring)". SFAS No. 146 requires that a liability for a cost associated with an exit or disposal activity be recognized when the liability is incurred. Under EITF issue No.</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94-3, a liability for an exit cost was recognized at the date of an entity's commitment to an exit plan. A fundamental conclusion reached by the FASB in SFAS No. 146 is that an entity's commitment to a plan, by itself, does not create an obligation that meets the definition of a liability. Therefore, SFAS No. 146 eliminates the definition and requirements for recognition of exit costs in EITF issue No. 94-3. SFAS No. 146 also establishes that fair value is the objective for initial measurement of the liability. SFAS No. 146 is effective for exit or disposal activities that are initiated after December 31, 2002, but early adoption is encouraged. We are currently evaluating the impact of SFAS No. 146 on our financial Statements.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Factors that May Affect Future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Relating to Our Business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face intense competition in all of the markets for our products and services, and our operating results will be harmed if we cannot compete effectively against other companies.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markets for our audio conferencing and videoconferencing products and services are characterized by intense competition and pricing pressures and rapid technological change. We compete with businesses having substantially greater financial, research and development, manufacturing, marketing, and other resources. If we are not able to continually design, manufacture, and successfully introduce new or enhanced products or services that are comparable or superior to those provided by our competitors and at comparable or better prices, we could experience pricing pressures and reduced sales, profit margins, profits, and market share, each of which could materially harm our business.</w:t>
      </w:r>
    </w:p>
    <w:p>
      <w:pPr>
        <w:spacing w:after="0" w:line="203"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Difficulties in estimating customer demand in our products segment could harm our profit margins.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Orders from our dealers and resellers are based on demand from end-users. Prospective end-user demand is difficult to measure. This means that our revenues in any fiscal quarter could be adversely impacted by low end-user demand, which could in turn negatively affect orders we receive from resellers. Our expectations for both short- and long-term future net revenues are based on our own estimates of future demand. We also determine the amount of our expenses based on those revenue estimates. If our estimates of sales are not accurate, we may have to write off obsolete and slow moving inventory, for example, in the first quarter of fiscal 2003, our one-time charges of approximately $1.9 million included inventory write-offs of approximately $1.4 million. If we experience unforeseen variability in our revenues and operating results, we may be unable to adjust our expense levels accordingly and our profit margins will be adversely affected.</w:t>
      </w:r>
    </w:p>
    <w:p>
      <w:pPr>
        <w:spacing w:after="0" w:line="206" w:lineRule="exact"/>
        <w:rPr>
          <w:sz w:val="20"/>
          <w:szCs w:val="20"/>
          <w:color w:val="auto"/>
        </w:rPr>
      </w:pPr>
    </w:p>
    <w:p>
      <w:pPr>
        <w:ind w:right="2079"/>
        <w:spacing w:after="0" w:line="247" w:lineRule="auto"/>
        <w:rPr>
          <w:sz w:val="20"/>
          <w:szCs w:val="20"/>
          <w:color w:val="auto"/>
        </w:rPr>
      </w:pPr>
      <w:r>
        <w:rPr>
          <w:rFonts w:ascii="Courier New" w:cs="Courier New" w:eastAsia="Courier New" w:hAnsi="Courier New"/>
          <w:sz w:val="17"/>
          <w:szCs w:val="17"/>
          <w:color w:val="auto"/>
        </w:rPr>
        <w:t>Our profitability may be adversely affected by our continuing dependence on our distribution channels.</w:t>
      </w:r>
    </w:p>
    <w:p>
      <w:pPr>
        <w:spacing w:after="0" w:line="198"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We market our products primarily through a network of dealers and master distributors. All of our agreements with such dealers and distributors are non-exclusive, terminable at will by either party and generally short-term. Furthermore some of our dealers are or may become our competitors in the business services market and may terminate their dealer agreement with us. We cannot assure you that any or all such dealers or distributors will continue their relationship with us. Dealers or distributors cannot easily be replaced and the loss of revenues and our inability to reduce expenses to compensate for the loss of revenues could harm our net revenues and profit margins.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Although we rely on our distribution channels to sell our products, our dealers and distributors are not obligated to devote any specified amount of time, resources or efforts to the marketing of our products or to sell a specified</w:t>
      </w:r>
    </w:p>
    <w:p>
      <w:pPr>
        <w:sectPr>
          <w:pgSz w:w="11900" w:h="16838" w:orient="portrait"/>
          <w:cols w:equalWidth="0" w:num="1">
            <w:col w:w="10219"/>
          </w:cols>
          <w:pgMar w:left="240" w:top="709" w:right="1440" w:bottom="0" w:gutter="0" w:footer="0" w:header="0"/>
        </w:sectPr>
      </w:pPr>
    </w:p>
    <w:bookmarkStart w:id="24" w:name="page25"/>
    <w:bookmarkEnd w:id="24"/>
    <w:p>
      <w:pPr>
        <w:ind w:right="1979"/>
        <w:spacing w:after="0" w:line="246" w:lineRule="auto"/>
        <w:rPr>
          <w:sz w:val="20"/>
          <w:szCs w:val="20"/>
          <w:color w:val="auto"/>
        </w:rPr>
      </w:pPr>
      <w:r>
        <w:rPr>
          <w:rFonts w:ascii="Courier New" w:cs="Courier New" w:eastAsia="Courier New" w:hAnsi="Courier New"/>
          <w:sz w:val="17"/>
          <w:szCs w:val="17"/>
          <w:color w:val="auto"/>
        </w:rPr>
        <w:t>number of our products. There are no prohibitions on dealers or distributors offering products that are competitive with our products and most do offer competitive products. The support of our products by dealers and distributors may depend on the competitive strength of our products and the price incentives we offer for their support. If our dealers and distributors are not committed to our products, our revenues and profit margins will be adversely affected.</w:t>
      </w: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142" w:right="1440" w:bottom="1440" w:gutter="0" w:footer="0" w:header="0"/>
        </w:sectPr>
      </w:pPr>
    </w:p>
    <w:bookmarkStart w:id="25" w:name="page26"/>
    <w:bookmarkEnd w:id="25"/>
    <w:p>
      <w:pPr>
        <w:ind w:right="2179"/>
        <w:spacing w:after="0" w:line="246" w:lineRule="auto"/>
        <w:rPr>
          <w:sz w:val="20"/>
          <w:szCs w:val="20"/>
          <w:color w:val="auto"/>
        </w:rPr>
      </w:pPr>
      <w:r>
        <w:rPr>
          <w:rFonts w:ascii="Courier New" w:cs="Courier New" w:eastAsia="Courier New" w:hAnsi="Courier New"/>
          <w:sz w:val="17"/>
          <w:szCs w:val="17"/>
          <w:color w:val="auto"/>
        </w:rPr>
        <w:t>We depend on a limited number of suppliers for components and the inability to obtain sufficient supplies of components could adversely affect our product sales.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While it is our policy to have a minimum of two vendor sources for components, certain electronic components used in the manufacture of our products can only be obtained from a single manufacturer and we are solely dependent upon these manufacturers to deliver such components to our suppliers so that they can meet our delivery schedules. We do not have a written commitment from such suppliers to fulfill our future requirements. While our suppliers maintain an inventory of such components, we cannot assure you that such components will always be readily available, available at reasonable prices, available in sufficient quantities, or delivered in a timely fashion. If such components become unavailable, it is likely that we will experience delays, which could be significant, in the production and delivery of our products, unless and until we can otherwise procure the required component or components at competitive prices, if at all. We have experienced increased prices on certain of these key components that have limited availability. The lack of availability of these components could have a material adverse effect on our ability to sell products and the increase in prices is likely to harm our profit margins.</w:t>
      </w:r>
    </w:p>
    <w:p>
      <w:pPr>
        <w:spacing w:after="0" w:line="207"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Furthermore, suppliers of some of these components are currently or may become our competitors, which might also affect the availability of key components to us. It is possible that other components required in the future may necessitate custom fabrication in accordance with specifications developed or to be developed by us. Also, in the event we, or any of the manufacturers whose products we expect to utilize in the manufacture of our products, are unable to develop or acquire components in a timely fashion, our ability to achieve production yields, revenues and net income may be adversely affected.</w:t>
      </w:r>
    </w:p>
    <w:p>
      <w:pPr>
        <w:spacing w:after="0" w:line="203"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Product obsolescence could harm demand for our products and could adversely affect our revenues and our results of operations.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Our industry is subject to rapid and frequent technological innovations that could render existing technologies in our products obsolete and thereby decrease market demand for such products. If any of our products become slow-moving or obsolete and the recorded value of our inventory is greater than its market value, we will be required to write-down the value of our inventory to its fair market value, which would adversely affect our results of operations.</w:t>
      </w:r>
    </w:p>
    <w:p>
      <w:pPr>
        <w:spacing w:after="0" w:line="202"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Product development delays could harm our competitive position and reduce our revenues.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may experience technical difficulties and delays with the development and introduction of new products. The products developed by us involve sophisticated and complicated components and manufacturing techniques involving new technologies. Potential difficulties in the development process that could be experienced by us include difficulty in:</w:t>
      </w:r>
    </w:p>
    <w:p>
      <w:pPr>
        <w:spacing w:after="0" w:line="201" w:lineRule="exact"/>
        <w:rPr>
          <w:sz w:val="20"/>
          <w:szCs w:val="20"/>
          <w:color w:val="auto"/>
        </w:rPr>
      </w:pPr>
    </w:p>
    <w:p>
      <w:pPr>
        <w:ind w:left="1040" w:hanging="520"/>
        <w:spacing w:after="0"/>
        <w:tabs>
          <w:tab w:leader="none" w:pos="10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meeting required specifications;</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hiring a sufficient number of developers;</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developing and testing software; and</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achieving necessary manufacturing efficiencies.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integration of the businesses of E.mergent and Ivron with our pre-existing business may lead to product delays due to logistics and the integration of the development teams. Once new products reach the market, they may have defects, which could adversely affect market acceptance of these products and our reputation. If we are not able to manage and minimize such potential difficulties, our business could be negatively affected.</w:t>
      </w:r>
    </w:p>
    <w:p>
      <w:pPr>
        <w:spacing w:after="0" w:line="202"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If we are unable to protect our intellectual property rights or have insufficient proprietary rights, our business would be materially impaired.</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currently rely primarily on a combination of trade secrets, copyrights, trademarks, patents and nondisclosure agreements to establish and protect our proprietary rights in our products. We cannot assure you that others will not independently develop similar technologies, or duplicate or design around aspects of our technology. In addition, we cannot assure you that any patent or registered trademark owned by us will not be invalidated, circumvented or challenged or that the rights granted thereunder will provide competitive advantages to us. Litigation may be necessary to enforce our intellectual property rights. We believe that our products and other proprietary rights do not infringe upon any proprietary rights of third parties. We cannot assure you, however, that third parties will not assert infringement claims in the future. Our industry is characterized by vigorous protection of intellectual property rights. Such claims and litigation are expensive and could divert our</w:t>
      </w:r>
    </w:p>
    <w:p>
      <w:pPr>
        <w:sectPr>
          <w:pgSz w:w="11900" w:h="16838" w:orient="portrait"/>
          <w:cols w:equalWidth="0" w:num="1">
            <w:col w:w="10219"/>
          </w:cols>
          <w:pgMar w:left="240" w:top="709" w:right="1440" w:bottom="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management's attention, regardless of their merit. In the event of a claim, we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142" w:right="1440" w:bottom="1440" w:gutter="0" w:footer="0" w:header="0"/>
          <w:type w:val="continuous"/>
        </w:sectPr>
      </w:pPr>
    </w:p>
    <w:bookmarkStart w:id="27" w:name="page28"/>
    <w:bookmarkEnd w:id="27"/>
    <w:p>
      <w:pPr>
        <w:ind w:right="2279"/>
        <w:spacing w:after="0" w:line="247" w:lineRule="auto"/>
        <w:rPr>
          <w:sz w:val="20"/>
          <w:szCs w:val="20"/>
          <w:color w:val="auto"/>
        </w:rPr>
      </w:pPr>
      <w:r>
        <w:rPr>
          <w:rFonts w:ascii="Courier New" w:cs="Courier New" w:eastAsia="Courier New" w:hAnsi="Courier New"/>
          <w:sz w:val="17"/>
          <w:szCs w:val="17"/>
          <w:color w:val="auto"/>
        </w:rPr>
        <w:t>might be required to license third party technology or redesign our products, which may not be possible or economically feasible.</w:t>
      </w:r>
    </w:p>
    <w:p>
      <w:pPr>
        <w:spacing w:after="0" w:line="198"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We currently hold only a limited number of patents. To the extent that we have patentable technology that we have not applied to have patented, others may be able to use such technology or even gain priority over us by patenting such technology themselves.</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We are solely dependent on our network and telecommunications providers for our conference calling services business and rely on our network for our other functions.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rely heavily on our network equipment, telecommunications providers, data and software to support all of our service functions and also rely on our network, data and software to manufacture and distribute our products. Our conferencing services business, which produced 29% of our sales in fiscal 2002 and 29% of our sales in the quarter ended September 30, 2002, relies solely on our network equipment for its operation. We cannot guarantee that our back-up systems and procedures will operate satisfactorily in an emergency or that our telecommunications provider will continue to provide uninterrupted services. A failure of our equipment or the services of our telecommunications providers would adversely affect our sales and could seriously jeopardize our ability to continue service operations. In particular, should our conference calling service experience even a short term interruption of our network or our telecommunication providers experience a short term interruption, our ongoing customers may choose a different provider and our reputation may be damaged, reducing our ability to retain current customers and attract new customers.</w:t>
      </w:r>
    </w:p>
    <w:p>
      <w:pPr>
        <w:spacing w:after="0" w:line="207"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We presently have agreements with our telecommunications providers, some of which will expire in late 2003. We cannot guarantee that we can negotiate new agreements on reasonable terms when these agreements expire. Any expansion of our network may require new agreements with telecommunications providers. Our failure to secure agreements on terms and conditions satisfactory to us may affect the performance or expansion of our network, which may materially harm our business.</w:t>
      </w:r>
    </w:p>
    <w:p>
      <w:pPr>
        <w:spacing w:after="0" w:line="202"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International sales account for a significant portion of our net revenue, and risks inherent in international sales could harm our business.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International sales represent a significant portion of our total sales. For example, international sales represented 18% of our total sales from continuing operations for the first quarter of fiscal 2003 and 11% for the first quarter of fiscal 2002. We anticipate that the portion of our total revenue from international sales will continue to increase because of increasing videoconferencing product sales to the international market and the new sales channels provided to us through the E.mergent and OM Video acquisitions. Our international business is subject to the financial and operating risks of conducting business internationally, including:</w:t>
      </w:r>
    </w:p>
    <w:p>
      <w:pPr>
        <w:spacing w:after="0" w:line="203" w:lineRule="exact"/>
        <w:rPr>
          <w:sz w:val="20"/>
          <w:szCs w:val="20"/>
          <w:color w:val="auto"/>
        </w:rPr>
      </w:pPr>
    </w:p>
    <w:p>
      <w:pPr>
        <w:ind w:left="1040" w:right="1979" w:hanging="520"/>
        <w:spacing w:after="0" w:line="247" w:lineRule="auto"/>
        <w:tabs>
          <w:tab w:leader="none" w:pos="10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unexpected changes in, or the imposition of, additional legislative or regulatory requirements;</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fluctuating exchange rates;</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tariffs and other barriers;</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difficulties in staffing and managing foreign subsidiary operations;</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export restrictions;</w:t>
      </w:r>
    </w:p>
    <w:p>
      <w:pPr>
        <w:spacing w:after="0" w:line="203" w:lineRule="exact"/>
        <w:rPr>
          <w:rFonts w:ascii="Courier New" w:cs="Courier New" w:eastAsia="Courier New" w:hAnsi="Courier New"/>
          <w:sz w:val="17"/>
          <w:szCs w:val="17"/>
          <w:color w:val="auto"/>
        </w:rPr>
      </w:pPr>
    </w:p>
    <w:p>
      <w:pPr>
        <w:ind w:left="1040" w:right="2499" w:hanging="520"/>
        <w:spacing w:after="0" w:line="247" w:lineRule="auto"/>
        <w:tabs>
          <w:tab w:leader="none" w:pos="10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greater difficulties in accounts receivable collection and longer payment cycles;</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potentially adverse tax consequences; and</w:t>
      </w:r>
    </w:p>
    <w:p>
      <w:pPr>
        <w:spacing w:after="0" w:line="203" w:lineRule="exact"/>
        <w:rPr>
          <w:rFonts w:ascii="Courier New" w:cs="Courier New" w:eastAsia="Courier New" w:hAnsi="Courier New"/>
          <w:sz w:val="17"/>
          <w:szCs w:val="17"/>
          <w:color w:val="auto"/>
        </w:rPr>
      </w:pPr>
    </w:p>
    <w:p>
      <w:pPr>
        <w:ind w:left="1040" w:right="3319" w:hanging="520"/>
        <w:spacing w:after="0" w:line="247" w:lineRule="auto"/>
        <w:tabs>
          <w:tab w:leader="none" w:pos="104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potential hostilities and changes in diplomatic and trade relationships.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Our sales in the international market are denominated in either U.S. or Canadian Dollars. Gentner EuMEA transacts business in U.S. Dollars, although its financial statements are prepared in the Euro. Consolidation of Gentner EuMEA's financial statements with ours, under United States generally accepted accounting principles, requires remeasurement of the amounts stated in Gentner EuMEA's financial statements to U.S. Dollars, which is subject to exchange rate fluctuations. OM Video transacts business in Canadian Dollars and its financial statements are prepared in Canadian Dollars. Consolidation of OM Video's financial statements with ours, under United States generally accepted accounting principles, requires translation of the amounts stated in OM Video's financial statements to U.S. Dollars, which is subject to exchange rate fluctuations. Furthermore, although our Irish subsidiary, Gentner</w:t>
      </w:r>
    </w:p>
    <w:p>
      <w:pPr>
        <w:sectPr>
          <w:pgSz w:w="11900" w:h="16838" w:orient="portrait"/>
          <w:cols w:equalWidth="0" w:num="1">
            <w:col w:w="10219"/>
          </w:cols>
          <w:pgMar w:left="240" w:top="709" w:right="1440" w:bottom="0" w:gutter="0" w:footer="0" w:header="0"/>
        </w:sectPr>
      </w:pPr>
    </w:p>
    <w:bookmarkStart w:id="28" w:name="page29"/>
    <w:bookmarkEnd w:id="28"/>
    <w:p>
      <w:pPr>
        <w:ind w:right="2399"/>
        <w:spacing w:after="0" w:line="246" w:lineRule="auto"/>
        <w:rPr>
          <w:sz w:val="20"/>
          <w:szCs w:val="20"/>
          <w:color w:val="auto"/>
        </w:rPr>
      </w:pPr>
      <w:r>
        <w:rPr>
          <w:rFonts w:ascii="Courier New" w:cs="Courier New" w:eastAsia="Courier New" w:hAnsi="Courier New"/>
          <w:sz w:val="17"/>
          <w:szCs w:val="17"/>
          <w:color w:val="auto"/>
        </w:rPr>
        <w:t>Communications, Ltd. (formerly Ivron Systems, Ltd.) prepares its financial statements in U.S. Dollars, it incurs expenses in the Euro and conversion of these amounts to U.S. Dollars is subject to exchange rate fluctuations. We</w:t>
      </w: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142" w:right="1440" w:bottom="1440" w:gutter="0" w:footer="0" w:header="0"/>
        </w:sectPr>
      </w:pPr>
    </w:p>
    <w:bookmarkStart w:id="29" w:name="page30"/>
    <w:bookmarkEnd w:id="29"/>
    <w:p>
      <w:pPr>
        <w:ind w:right="2399"/>
        <w:spacing w:after="0" w:line="247" w:lineRule="auto"/>
        <w:rPr>
          <w:sz w:val="20"/>
          <w:szCs w:val="20"/>
          <w:color w:val="auto"/>
        </w:rPr>
      </w:pPr>
      <w:r>
        <w:rPr>
          <w:rFonts w:ascii="Courier New" w:cs="Courier New" w:eastAsia="Courier New" w:hAnsi="Courier New"/>
          <w:sz w:val="17"/>
          <w:szCs w:val="17"/>
          <w:color w:val="auto"/>
        </w:rPr>
        <w:t>currently do not undertake any hedging activities that might protect against such risks.</w:t>
      </w:r>
    </w:p>
    <w:p>
      <w:pPr>
        <w:spacing w:after="0" w:line="198"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We may not be able to hire and retain highly skilled employees, which could affect our ability to compete effectively and may cause our revenue and profitability to decline.</w:t>
      </w:r>
    </w:p>
    <w:p>
      <w:pPr>
        <w:spacing w:after="0" w:line="200"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We depend on highly skilled technical personnel to research and develop, market and service new and existing products. To succeed, we must hire and retain employees who are highly skilled in the rapidly changing communications and Internet technologies.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Individuals who have the skills and can perform the services we need to provide our products and services are scarce. Because the competition for qualified employees in our industry is intense, hiring and retaining employees with the skills we need is both time-consuming and expensive. We might not be able to hire enough skilled employees or retain the employees we do hire. Our inability to hire and retain employees with the skills we seek could hinder our ability to sell our existing products, systems, or services or to develop new products, systems, or services with a consequent adverse effect on our business.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are dependent upon key employees.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are substantially dependent upon certain of our employees, including Frances M. Flood, our President and Chief Executive Officer. The loss of Ms. Flood could have a material adverse effect on our company. We currently have in place a key person life insurance policy on the life of Ms. Flood in the amount of $5.0 million.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Our sales depend to a certain extent on government funding and regulation.</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the conferencing market, the revenues generated from sales of our audio conferencing and videoconferencing products for distance learning and courtroom facilities are partially dependent on government funding. In the event government funding for such initiatives was reduced or became unavailable, our sales would be negatively impacted. Additionally, many of our products are subject to governmental regulations. New regulations could significantly adversely impact sales.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 may have difficulty in collecting outstanding receivables.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grant credit without requiring collateral to substantially all of our customers. Due to the current economic slowdown, the risks relating to the granting of such credit have increased. Although we do monitor and mitigate the risks associated with our credit policies, we cannot assure you that such mitigation will be effective. As of September 30, 2002, our outstanding receivables were $18.7 million, and four customers accounted for more than 40% of those outstanding receivables. In the past, we have experienced losses due to customers failing to meet their obligations, although these losses have not been significant. Future losses could be significant and, if incurred, could harm our business and have a material adverse effect on our operating results and financial condition.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Relating to Our Acquisitions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integration of any acquired businesses involve uncertainty and risk.</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Acquisitions and the subsequent integration of two or more businesses involve risks. Following the acquisition of Ivron in October 2001, the acquisition of E.mergent in May 2002, and the acquisition of OM Video in August 2002, we have been and will be dedicating substantial management resources in order to achieve the anticipated operating efficiencies from integrating the businesses of these companies with our other operations. We cannot make assurances that any integration will be accomplished or that the benefits of such integration will be realized, for reasons that may include:</w:t>
      </w:r>
    </w:p>
    <w:p>
      <w:pPr>
        <w:spacing w:after="0" w:line="203" w:lineRule="exact"/>
        <w:rPr>
          <w:sz w:val="20"/>
          <w:szCs w:val="20"/>
          <w:color w:val="auto"/>
        </w:rPr>
      </w:pPr>
    </w:p>
    <w:p>
      <w:pPr>
        <w:ind w:left="1040" w:hanging="520"/>
        <w:spacing w:after="0"/>
        <w:tabs>
          <w:tab w:leader="none" w:pos="10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disruption of our business;</w:t>
      </w:r>
    </w:p>
    <w:p>
      <w:pPr>
        <w:spacing w:after="0" w:line="203" w:lineRule="exact"/>
        <w:rPr>
          <w:rFonts w:ascii="Courier New" w:cs="Courier New" w:eastAsia="Courier New" w:hAnsi="Courier New"/>
          <w:sz w:val="17"/>
          <w:szCs w:val="17"/>
          <w:color w:val="auto"/>
        </w:rPr>
      </w:pPr>
    </w:p>
    <w:p>
      <w:pPr>
        <w:ind w:left="1040" w:right="2179" w:hanging="520"/>
        <w:spacing w:after="0" w:line="247" w:lineRule="auto"/>
        <w:tabs>
          <w:tab w:leader="none" w:pos="10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lack of experience with the markets in which the acquired businesses operate;</w:t>
      </w:r>
    </w:p>
    <w:p>
      <w:pPr>
        <w:spacing w:after="0" w:line="197" w:lineRule="exact"/>
        <w:rPr>
          <w:rFonts w:ascii="Courier New" w:cs="Courier New" w:eastAsia="Courier New" w:hAnsi="Courier New"/>
          <w:sz w:val="17"/>
          <w:szCs w:val="17"/>
          <w:color w:val="auto"/>
        </w:rPr>
      </w:pPr>
    </w:p>
    <w:p>
      <w:pPr>
        <w:ind w:left="1040" w:right="2079" w:hanging="520"/>
        <w:spacing w:after="0" w:line="247" w:lineRule="auto"/>
        <w:tabs>
          <w:tab w:leader="none" w:pos="10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lack of revenues to offset the increased expenses associated with the acquisitions;</w:t>
      </w:r>
    </w:p>
    <w:p>
      <w:pPr>
        <w:spacing w:after="0" w:line="197" w:lineRule="exact"/>
        <w:rPr>
          <w:rFonts w:ascii="Courier New" w:cs="Courier New" w:eastAsia="Courier New" w:hAnsi="Courier New"/>
          <w:sz w:val="17"/>
          <w:szCs w:val="17"/>
          <w:color w:val="auto"/>
        </w:rPr>
      </w:pPr>
    </w:p>
    <w:p>
      <w:pPr>
        <w:ind w:left="1040" w:right="2499" w:hanging="520"/>
        <w:spacing w:after="0" w:line="247" w:lineRule="auto"/>
        <w:tabs>
          <w:tab w:leader="none" w:pos="10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slower than anticipated realization of expected synergies such as lower costs, or a failure to realize such synergies at all;</w:t>
      </w:r>
    </w:p>
    <w:p>
      <w:pPr>
        <w:spacing w:after="0" w:line="197" w:lineRule="exact"/>
        <w:rPr>
          <w:rFonts w:ascii="Courier New" w:cs="Courier New" w:eastAsia="Courier New" w:hAnsi="Courier New"/>
          <w:sz w:val="17"/>
          <w:szCs w:val="17"/>
          <w:color w:val="auto"/>
        </w:rPr>
      </w:pPr>
    </w:p>
    <w:p>
      <w:pPr>
        <w:ind w:left="1040" w:right="2279" w:hanging="520"/>
        <w:spacing w:after="0" w:line="246" w:lineRule="auto"/>
        <w:tabs>
          <w:tab w:leader="none" w:pos="104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difficulty resolving cultural differences between the companies and our inexperience in conducting operations that are geographically dispersed;</w:t>
      </w:r>
    </w:p>
    <w:p>
      <w:pPr>
        <w:sectPr>
          <w:pgSz w:w="11900" w:h="16838" w:orient="portrait"/>
          <w:cols w:equalWidth="0" w:num="1">
            <w:col w:w="10219"/>
          </w:cols>
          <w:pgMar w:left="240" w:top="709" w:right="1440" w:bottom="0" w:gutter="0" w:footer="0" w:header="0"/>
        </w:sectPr>
      </w:pPr>
    </w:p>
    <w:bookmarkStart w:id="30" w:name="page31"/>
    <w:bookmarkEnd w:id="30"/>
    <w:p>
      <w:pPr>
        <w:ind w:left="282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538" w:right="1440" w:bottom="1440" w:gutter="0" w:footer="0" w:header="0"/>
        </w:sectPr>
      </w:pPr>
    </w:p>
    <w:bookmarkStart w:id="31" w:name="page32"/>
    <w:bookmarkEnd w:id="31"/>
    <w:p>
      <w:pPr>
        <w:ind w:left="1040" w:right="1979" w:hanging="520"/>
        <w:spacing w:after="0" w:line="246" w:lineRule="auto"/>
        <w:tabs>
          <w:tab w:leader="none" w:pos="10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inability to successfully integrate the acquired technology and operations into our business and maintain uniform standards, controls, policies and procedures;</w:t>
      </w:r>
    </w:p>
    <w:p>
      <w:pPr>
        <w:spacing w:after="0" w:line="199" w:lineRule="exact"/>
        <w:rPr>
          <w:rFonts w:ascii="Courier New" w:cs="Courier New" w:eastAsia="Courier New" w:hAnsi="Courier New"/>
          <w:sz w:val="17"/>
          <w:szCs w:val="17"/>
          <w:color w:val="auto"/>
        </w:rPr>
      </w:pPr>
    </w:p>
    <w:p>
      <w:pPr>
        <w:ind w:left="1040" w:right="2599" w:hanging="520"/>
        <w:spacing w:after="0" w:line="247" w:lineRule="auto"/>
        <w:tabs>
          <w:tab w:leader="none" w:pos="10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inability to continue to market and sell the products of the acquired businesses;</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inability to retain key employees of the acquired businesses;</w:t>
      </w:r>
    </w:p>
    <w:p>
      <w:pPr>
        <w:spacing w:after="0" w:line="203" w:lineRule="exact"/>
        <w:rPr>
          <w:rFonts w:ascii="Courier New" w:cs="Courier New" w:eastAsia="Courier New" w:hAnsi="Courier New"/>
          <w:sz w:val="17"/>
          <w:szCs w:val="17"/>
          <w:color w:val="auto"/>
        </w:rPr>
      </w:pPr>
    </w:p>
    <w:p>
      <w:pPr>
        <w:ind w:left="1040" w:right="1979" w:hanging="520"/>
        <w:spacing w:after="0" w:line="246" w:lineRule="auto"/>
        <w:tabs>
          <w:tab w:leader="none" w:pos="10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inability to retain the previous customers of the acquired businesses as well as our own. In particular, certain of our customers have been competitive with E.mergent and, similarly, certain customers of E.mergent have been competitive with us. Some of these customers have concerns that the combined companies would result in greater competition for them; and</w:t>
      </w:r>
    </w:p>
    <w:p>
      <w:pPr>
        <w:spacing w:after="0" w:line="201" w:lineRule="exact"/>
        <w:rPr>
          <w:rFonts w:ascii="Courier New" w:cs="Courier New" w:eastAsia="Courier New" w:hAnsi="Courier New"/>
          <w:sz w:val="17"/>
          <w:szCs w:val="17"/>
          <w:color w:val="auto"/>
        </w:rPr>
      </w:pPr>
    </w:p>
    <w:p>
      <w:pPr>
        <w:ind w:left="1040" w:right="3419" w:hanging="520"/>
        <w:spacing w:after="0" w:line="247" w:lineRule="auto"/>
        <w:tabs>
          <w:tab w:leader="none" w:pos="104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inability to integrate Ivron, E.mergent and OM Video simultaneously.</w:t>
      </w:r>
    </w:p>
    <w:p>
      <w:pPr>
        <w:spacing w:after="0" w:line="198"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Difficulties in any integration may have a short or potentially long-term adverse impact on our business, results of operations or financial condition.</w:t>
      </w:r>
    </w:p>
    <w:p>
      <w:pPr>
        <w:spacing w:after="0" w:line="198"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Our growth may strain our infrastructure. If we are unable to improve our infrastructure to support the expansion of our business, our operations and financial condition could be adversely affected.</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face the risk that our existing systems and processes, including management resources, operating systems and accounting and financial personnel, may be inadequate to support our growth. We are currently implementing changes and enhancements to our existing systems to support the expansion of our business. We cannot assure you that we will be able to make the necessary changes in our systems or retain the personnel required to respond to the demands of our expansion. The implementation of such changes and enhancements to our systems and the retention of additional personnel will require capital expenditures and other increased costs that could have a material adverse impact on our operating results. Failure to implement these systems and secure these resources could also have a material adverse effect on our operating results.</w:t>
      </w:r>
    </w:p>
    <w:p>
      <w:pPr>
        <w:spacing w:after="0" w:line="204" w:lineRule="exact"/>
        <w:rPr>
          <w:sz w:val="20"/>
          <w:szCs w:val="20"/>
          <w:color w:val="auto"/>
        </w:rPr>
      </w:pPr>
    </w:p>
    <w:p>
      <w:pPr>
        <w:ind w:right="2999"/>
        <w:spacing w:after="0" w:line="247" w:lineRule="auto"/>
        <w:rPr>
          <w:sz w:val="20"/>
          <w:szCs w:val="20"/>
          <w:color w:val="auto"/>
        </w:rPr>
      </w:pPr>
      <w:r>
        <w:rPr>
          <w:rFonts w:ascii="Courier New" w:cs="Courier New" w:eastAsia="Courier New" w:hAnsi="Courier New"/>
          <w:sz w:val="17"/>
          <w:szCs w:val="17"/>
          <w:color w:val="auto"/>
        </w:rPr>
        <w:t>Impairment of the goodwill and other intangible assets of our acquired businesses could harm our business and results of operations.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purchase price for the acquisitions of Ivron and E.mergent in fiscal 2002 and OM Video in fiscal 2003 included, in the aggregate, goodwill valued at approximately $27.1 million, ($26.8 million after amortization as of September 30, 2002) and other intangible assets valued at approximately $8.3 million ($7.3 million after amortization as of September 30, 2002). Goodwill and other intangible assets represent a significant portion of our recorded assets. Accounting principles generally accepted in the United States related to goodwill and other intangible assets changed with the issuance of the Statement of Financial Accounting Standards No. 142, "Goodwill and Other Intangible Assets" (SFAS No. 142), which became effective for acquisitions completed after July 1, 2001 and became effective with respect to all prior acquisitions, for example our acquisition of ClearOne, Inc., as of July 1, 2002.</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Under SFAS No. 142, goodwill and intangible assets with indefinite lives are no longer amortized, but must be reviewed at least annually for impairment or more frequently under certain circumstances. Other intangible assets that are deemed to have finite lives will continue to be amortized over their useful lives but must be reviewed for impairment when events or changes in circumstances indicate that the carrying amount of these assets may not be recoverable. Screening for and assessing whether impairment indicators such as changes to market conditions, operating fundamentals, competition and general economic conditions exist involves the exercise of judgment. A charge to operations may occur after the results of our goodwill impairment tests are known. If impairment is deemed to exist, we will write down the recorded value of goodwill and other intangible assets to their fair values, which could result in a full write-off of their book value. If these write-downs occur, they would adversely affect our financial condition and results of operations.</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Risks Relating to our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Existing directors and officers can exert considerable control over us.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Our officers and directors together had beneficial ownership of approximately 21.9% of our common stock (including options that are currently exercisable or exercisable within 60 days as of November 1, 2002. With this significant holding in the aggregate, the officers and directors, acting together, could exert substantial influence upon us and could delay or prevent a change in control.</w:t>
      </w:r>
    </w:p>
    <w:p>
      <w:pPr>
        <w:sectPr>
          <w:pgSz w:w="11900" w:h="16838" w:orient="portrait"/>
          <w:cols w:equalWidth="0" w:num="1">
            <w:col w:w="10219"/>
          </w:cols>
          <w:pgMar w:left="240" w:top="709" w:right="1440" w:bottom="125" w:gutter="0" w:footer="0" w:header="0"/>
        </w:sectPr>
      </w:pPr>
    </w:p>
    <w:bookmarkStart w:id="32" w:name="page33"/>
    <w:bookmarkEnd w:id="32"/>
    <w:p>
      <w:pPr>
        <w:ind w:left="2820"/>
        <w:spacing w:after="0"/>
        <w:rPr>
          <w:sz w:val="20"/>
          <w:szCs w:val="20"/>
          <w:color w:val="auto"/>
        </w:rPr>
      </w:pPr>
      <w:r>
        <w:rPr>
          <w:rFonts w:ascii="Courier New" w:cs="Courier New" w:eastAsia="Courier New" w:hAnsi="Courier New"/>
          <w:sz w:val="16"/>
          <w:szCs w:val="16"/>
          <w:color w:val="auto"/>
        </w:rPr>
        <w:t>22</w:t>
      </w:r>
    </w:p>
    <w:p>
      <w:pPr>
        <w:sectPr>
          <w:pgSz w:w="11900" w:h="16838" w:orient="portrait"/>
          <w:cols w:equalWidth="0" w:num="1">
            <w:col w:w="9019"/>
          </w:cols>
          <w:pgMar w:left="1440" w:top="340" w:right="1440" w:bottom="1440" w:gutter="0" w:footer="0" w:header="0"/>
        </w:sectPr>
      </w:pPr>
    </w:p>
    <w:bookmarkStart w:id="33" w:name="page34"/>
    <w:bookmarkEnd w:id="33"/>
    <w:p>
      <w:pPr>
        <w:ind w:right="2079"/>
        <w:spacing w:after="0" w:line="247" w:lineRule="auto"/>
        <w:rPr>
          <w:sz w:val="20"/>
          <w:szCs w:val="20"/>
          <w:color w:val="auto"/>
        </w:rPr>
      </w:pPr>
      <w:r>
        <w:rPr>
          <w:rFonts w:ascii="Courier New" w:cs="Courier New" w:eastAsia="Courier New" w:hAnsi="Courier New"/>
          <w:sz w:val="17"/>
          <w:szCs w:val="17"/>
          <w:color w:val="auto"/>
        </w:rPr>
        <w:t>Our stock price fluctuates as a result of the conduct of our business and stock market fluctuations.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market price of our common stock has experienced significant fluctuations and may continue to fluctuate significantly. Options in our common stock have recently begun trading and we expect this to add to the volatility in our common stock. The market price of our common stock may be significantly affected by a variety of factors, including:</w:t>
      </w:r>
    </w:p>
    <w:p>
      <w:pPr>
        <w:spacing w:after="0" w:line="201" w:lineRule="exact"/>
        <w:rPr>
          <w:sz w:val="20"/>
          <w:szCs w:val="20"/>
          <w:color w:val="auto"/>
        </w:rPr>
      </w:pPr>
    </w:p>
    <w:p>
      <w:pPr>
        <w:ind w:left="1040" w:right="2079" w:hanging="520"/>
        <w:spacing w:after="0" w:line="246" w:lineRule="auto"/>
        <w:tabs>
          <w:tab w:leader="none" w:pos="10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statements or changes in opinions, ratings or earnings estimates made by brokerage firms or industry analysts relating to the market in which we do business or relating to us specifically;</w:t>
      </w:r>
    </w:p>
    <w:p>
      <w:pPr>
        <w:spacing w:after="0" w:line="199" w:lineRule="exact"/>
        <w:rPr>
          <w:rFonts w:ascii="Courier New" w:cs="Courier New" w:eastAsia="Courier New" w:hAnsi="Courier New"/>
          <w:sz w:val="17"/>
          <w:szCs w:val="17"/>
          <w:color w:val="auto"/>
        </w:rPr>
      </w:pPr>
    </w:p>
    <w:p>
      <w:pPr>
        <w:ind w:left="1040" w:right="2899" w:hanging="520"/>
        <w:spacing w:after="0" w:line="247" w:lineRule="auto"/>
        <w:tabs>
          <w:tab w:leader="none" w:pos="10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disparity between our reported results and the projections of analysts;</w:t>
      </w:r>
    </w:p>
    <w:p>
      <w:pPr>
        <w:spacing w:after="0" w:line="197" w:lineRule="exact"/>
        <w:rPr>
          <w:rFonts w:ascii="Courier New" w:cs="Courier New" w:eastAsia="Courier New" w:hAnsi="Courier New"/>
          <w:sz w:val="17"/>
          <w:szCs w:val="17"/>
          <w:color w:val="auto"/>
        </w:rPr>
      </w:pPr>
    </w:p>
    <w:p>
      <w:pPr>
        <w:ind w:left="1040" w:right="2079" w:hanging="520"/>
        <w:spacing w:after="0" w:line="247" w:lineRule="auto"/>
        <w:tabs>
          <w:tab w:leader="none" w:pos="10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announcement of new products or product enhancements by us or our competitors;</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technological innovations by us or our competitors;</w:t>
      </w:r>
    </w:p>
    <w:p>
      <w:pPr>
        <w:spacing w:after="0" w:line="203"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quarterly variations in our results of operations;</w:t>
      </w:r>
    </w:p>
    <w:p>
      <w:pPr>
        <w:spacing w:after="0" w:line="203" w:lineRule="exact"/>
        <w:rPr>
          <w:rFonts w:ascii="Courier New" w:cs="Courier New" w:eastAsia="Courier New" w:hAnsi="Courier New"/>
          <w:sz w:val="17"/>
          <w:szCs w:val="17"/>
          <w:color w:val="auto"/>
        </w:rPr>
      </w:pPr>
    </w:p>
    <w:p>
      <w:pPr>
        <w:ind w:left="1040" w:right="2079" w:hanging="520"/>
        <w:spacing w:after="0" w:line="247" w:lineRule="auto"/>
        <w:tabs>
          <w:tab w:leader="none" w:pos="10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market conditions or market conditions specific to technology industries; and</w:t>
      </w:r>
    </w:p>
    <w:p>
      <w:pPr>
        <w:spacing w:after="0" w:line="197" w:lineRule="exact"/>
        <w:rPr>
          <w:rFonts w:ascii="Courier New" w:cs="Courier New" w:eastAsia="Courier New" w:hAnsi="Courier New"/>
          <w:sz w:val="17"/>
          <w:szCs w:val="17"/>
          <w:color w:val="auto"/>
        </w:rPr>
      </w:pPr>
    </w:p>
    <w:p>
      <w:pPr>
        <w:ind w:left="1040" w:hanging="520"/>
        <w:spacing w:after="0"/>
        <w:tabs>
          <w:tab w:leader="none" w:pos="10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domestic and international economic conditions.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addition, the stock market has recently experienced extreme price and volume fluctuations. These fluctuations have had a substantial effect on the market prices for many high technology companies like us. These fluctuations are often unrelated to the operating performance of the specific companies.</w:t>
      </w:r>
    </w:p>
    <w:p>
      <w:pPr>
        <w:spacing w:after="0" w:line="200"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3.</w:t>
        <w:tab/>
        <w:t>QUALITATIVE AND QUANTITATIVE DISCLOSURES ABOUT MARKET RISK</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Market risk represents the risk of changes in the value of a financial instrument, derivative or non-derivative, caused by fluctuations in interest rates, foreign exchange rates and equity prices. Changes in these factors could cause fluctuations in the results of our operations and cash flows. In the ordinary course of business, we are exposed to foreign currency and interest rate risks. These risks primarily relate to the sale of products and services to foreign customers and changes in interest rates on our capital leases.</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We currently have limited market risk sensitive instruments related to interest rates. Our capital lease obligations totaled approximately $78,000 at September 30, 2002. We do not have significant exposure to changing interest rates on these capital leases because interest rates for the majority of the capital leases are fixed. Although we had a balance of approximately $196,000 on our line of credit as of June 30, 2002, such balance was repaid in July 2002 and no balance is outstanding as of November 1, 2002. As such, we do not have significant market interest rate risk. We have not undertaken any additional actions to cover market interest rate market risk and are not a party to any other interest rate market risk management activities. A hypothetical 10% change in market interest rates over the next year would not impact our earnings or cash flows as the interest rates on the majority of the capital leases are fixed.</w:t>
      </w:r>
    </w:p>
    <w:p>
      <w:pPr>
        <w:spacing w:after="0" w:line="206" w:lineRule="exact"/>
        <w:rPr>
          <w:sz w:val="20"/>
          <w:szCs w:val="20"/>
          <w:color w:val="auto"/>
        </w:rPr>
      </w:pPr>
    </w:p>
    <w:p>
      <w:pPr>
        <w:ind w:right="2499"/>
        <w:spacing w:after="0" w:line="247" w:lineRule="auto"/>
        <w:rPr>
          <w:sz w:val="20"/>
          <w:szCs w:val="20"/>
          <w:color w:val="auto"/>
        </w:rPr>
      </w:pPr>
      <w:r>
        <w:rPr>
          <w:rFonts w:ascii="Courier New" w:cs="Courier New" w:eastAsia="Courier New" w:hAnsi="Courier New"/>
          <w:sz w:val="17"/>
          <w:szCs w:val="17"/>
          <w:color w:val="auto"/>
        </w:rPr>
        <w:t>We do not purchase or hold any derivative financial instruments for trading purposes.</w:t>
      </w:r>
    </w:p>
    <w:p>
      <w:pPr>
        <w:spacing w:after="0" w:line="198"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Although our subsidiaries enter into transactions in currencies other than their functional currency, foreign currency exposures arising from these transactions are not material to us. The greatest foreign currency exposure arises from the remeasurement of our net equity investment in our subsidiaries to U.S. dollars. The primary currency to which we are exposed is the Euro. The fair value of our net foreign investments would not be materially affected by a 10% adverse change in foreign currency exchange rates from September 30, 2002 levels.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CONTROLS AND PROCEDURES</w:t>
      </w:r>
    </w:p>
    <w:p>
      <w:pPr>
        <w:spacing w:after="0" w:line="203" w:lineRule="exact"/>
        <w:rPr>
          <w:sz w:val="20"/>
          <w:szCs w:val="20"/>
          <w:color w:val="auto"/>
        </w:rPr>
      </w:pPr>
    </w:p>
    <w:p>
      <w:pPr>
        <w:ind w:left="1040" w:right="1979" w:hanging="520"/>
        <w:spacing w:after="0" w:line="246" w:lineRule="auto"/>
        <w:tabs>
          <w:tab w:leader="none" w:pos="104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Our Chief Executive Officer and Chief Financial Officer have evaluated the effectiveness of the design and operation of our disclosure controls and procedures (as defined under Rules 13a-14 and 15d-14 of the Securities Exchange Act of 1934, as amended) as of a date within ninety days of the filing date of this report. Based upon that evaluation, our Chief Executive Officer and Chief Financial Officer have concluded that our disclosure controls and procedures are adequate and effective.</w:t>
      </w:r>
    </w:p>
    <w:p>
      <w:pPr>
        <w:sectPr>
          <w:pgSz w:w="11900" w:h="16838" w:orient="portrait"/>
          <w:cols w:equalWidth="0" w:num="1">
            <w:col w:w="10219"/>
          </w:cols>
          <w:pgMar w:left="240" w:top="709" w:right="1440" w:bottom="126" w:gutter="0" w:footer="0" w:header="0"/>
        </w:sectPr>
      </w:pPr>
    </w:p>
    <w:bookmarkStart w:id="34" w:name="page35"/>
    <w:bookmarkEnd w:id="34"/>
    <w:p>
      <w:pPr>
        <w:ind w:left="282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9019"/>
          </w:cols>
          <w:pgMar w:left="1440" w:top="340" w:right="1440" w:bottom="1440" w:gutter="0" w:footer="0" w:header="0"/>
        </w:sectPr>
      </w:pPr>
    </w:p>
    <w:bookmarkStart w:id="35" w:name="page36"/>
    <w:bookmarkEnd w:id="35"/>
    <w:p>
      <w:pPr>
        <w:ind w:left="520" w:right="1979" w:hanging="520"/>
        <w:spacing w:after="0" w:line="246" w:lineRule="auto"/>
        <w:tabs>
          <w:tab w:leader="none" w:pos="52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were no significant changes in our internal controls or in other factors that could significantly affect our internal controls subsequent to the date of our most recent evaluation of our internal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9699"/>
          </w:cols>
          <w:pgMar w:left="760" w:top="709" w:right="1440" w:bottom="1440" w:gutter="0" w:footer="0" w:header="0"/>
        </w:sectPr>
      </w:pPr>
    </w:p>
    <w:bookmarkStart w:id="36" w:name="page37"/>
    <w:bookmarkEnd w:id="36"/>
    <w:p>
      <w:pPr>
        <w:ind w:left="2780"/>
        <w:spacing w:after="0"/>
        <w:rPr>
          <w:sz w:val="20"/>
          <w:szCs w:val="20"/>
          <w:color w:val="auto"/>
        </w:rPr>
      </w:pPr>
      <w:r>
        <w:rPr>
          <w:rFonts w:ascii="Courier New" w:cs="Courier New" w:eastAsia="Courier New" w:hAnsi="Courier New"/>
          <w:sz w:val="17"/>
          <w:szCs w:val="17"/>
          <w:color w:val="auto"/>
        </w:rPr>
        <w:t>PART II - 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3" w:lineRule="exact"/>
        <w:rPr>
          <w:sz w:val="20"/>
          <w:szCs w:val="20"/>
          <w:color w:val="auto"/>
        </w:rPr>
      </w:pPr>
    </w:p>
    <w:p>
      <w:pPr>
        <w:ind w:left="1040" w:hanging="520"/>
        <w:spacing w:after="0"/>
        <w:tabs>
          <w:tab w:leader="none" w:pos="104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5" w:lineRule="exact"/>
        <w:rPr>
          <w:rFonts w:ascii="Courier New" w:cs="Courier New" w:eastAsia="Courier New" w:hAnsi="Courier New"/>
          <w:sz w:val="17"/>
          <w:szCs w:val="17"/>
          <w:color w:val="auto"/>
        </w:rPr>
      </w:pPr>
    </w:p>
    <w:p>
      <w:pPr>
        <w:ind w:left="10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94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7300" w:type="dxa"/>
            <w:vAlign w:val="bottom"/>
          </w:tcPr>
          <w:p>
            <w:pPr>
              <w:spacing w:after="0"/>
              <w:rPr>
                <w:sz w:val="16"/>
                <w:szCs w:val="16"/>
                <w:color w:val="auto"/>
              </w:rPr>
            </w:pPr>
          </w:p>
        </w:tc>
      </w:tr>
      <w:tr>
        <w:trPr>
          <w:trHeight w:val="198"/>
        </w:trPr>
        <w:tc>
          <w:tcPr>
            <w:tcW w:w="94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DESCRIPTION</w:t>
            </w:r>
          </w:p>
        </w:tc>
      </w:tr>
      <w:tr>
        <w:trPr>
          <w:trHeight w:val="198"/>
        </w:trPr>
        <w:tc>
          <w:tcPr>
            <w:tcW w:w="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7300" w:type="dxa"/>
            <w:vAlign w:val="bottom"/>
          </w:tcPr>
          <w:p>
            <w:pPr>
              <w:ind w:left="720"/>
              <w:spacing w:after="0"/>
              <w:rPr>
                <w:sz w:val="20"/>
                <w:szCs w:val="20"/>
                <w:color w:val="auto"/>
              </w:rPr>
            </w:pPr>
            <w:r>
              <w:rPr>
                <w:rFonts w:ascii="Courier New" w:cs="Courier New" w:eastAsia="Courier New" w:hAnsi="Courier New"/>
                <w:sz w:val="17"/>
                <w:szCs w:val="17"/>
                <w:color w:val="auto"/>
              </w:rPr>
              <w:t>-----------</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3.1</w:t>
            </w: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Articles of Incorporation dated July 7, 1983. (incorporated by</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reference from the Company's S-3 Registration Statement filed on</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November 1, 2002)</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3.2</w:t>
            </w: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Amendment to Articles of Incorporation dated March 26, 1985.</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(incorporated by reference from the Company's S-3 Registration</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Statement filed on November 1, 2002)</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3.3</w:t>
            </w: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Corrected Amendment to Articles of Incorporation dated September</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10, 1986. (incorporated by reference from the Company's S-3</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Registration Statement filed on November 1, 2002)</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3.4</w:t>
            </w: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Amendment to Articles of Incorporation dated July 1, 1991.</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(incorporated by reference from the Company's S-3 Registration</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Statement filed on November 1, 2002)</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3.5</w:t>
            </w: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Amendment to Articles of Incorporation dated December 12, 2001.</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(incorporated by reference from the Company's S-3 Registration</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Statement filed on November 1, 2002)</w:t>
            </w:r>
          </w:p>
        </w:tc>
      </w:tr>
      <w:tr>
        <w:trPr>
          <w:trHeight w:val="396"/>
        </w:trPr>
        <w:tc>
          <w:tcPr>
            <w:tcW w:w="940" w:type="dxa"/>
            <w:vAlign w:val="bottom"/>
          </w:tcPr>
          <w:p>
            <w:pPr>
              <w:spacing w:after="0"/>
              <w:rPr>
                <w:sz w:val="20"/>
                <w:szCs w:val="20"/>
                <w:color w:val="auto"/>
              </w:rPr>
            </w:pPr>
            <w:r>
              <w:rPr>
                <w:rFonts w:ascii="Courier New" w:cs="Courier New" w:eastAsia="Courier New" w:hAnsi="Courier New"/>
                <w:sz w:val="17"/>
                <w:szCs w:val="17"/>
                <w:color w:val="auto"/>
              </w:rPr>
              <w:t>3.6</w:t>
            </w: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Bylaws, as adopted on August 24, 1993. (incorporated by reference</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from the Company's S-3 Registration Statement filed on November 1,</w:t>
            </w:r>
          </w:p>
        </w:tc>
      </w:tr>
      <w:tr>
        <w:trPr>
          <w:trHeight w:val="198"/>
        </w:trPr>
        <w:tc>
          <w:tcPr>
            <w:tcW w:w="940" w:type="dxa"/>
            <w:vAlign w:val="bottom"/>
          </w:tcPr>
          <w:p>
            <w:pPr>
              <w:spacing w:after="0"/>
              <w:rPr>
                <w:sz w:val="17"/>
                <w:szCs w:val="17"/>
                <w:color w:val="auto"/>
              </w:rPr>
            </w:pPr>
          </w:p>
        </w:tc>
        <w:tc>
          <w:tcPr>
            <w:tcW w:w="7300" w:type="dxa"/>
            <w:vAlign w:val="bottom"/>
          </w:tcPr>
          <w:p>
            <w:pPr>
              <w:ind w:left="500"/>
              <w:spacing w:after="0"/>
              <w:rPr>
                <w:sz w:val="20"/>
                <w:szCs w:val="20"/>
                <w:color w:val="auto"/>
              </w:rPr>
            </w:pPr>
            <w:r>
              <w:rPr>
                <w:rFonts w:ascii="Courier New" w:cs="Courier New" w:eastAsia="Courier New" w:hAnsi="Courier New"/>
                <w:sz w:val="17"/>
                <w:szCs w:val="17"/>
                <w:color w:val="auto"/>
              </w:rPr>
              <w:t>2002)</w:t>
            </w:r>
          </w:p>
        </w:tc>
      </w:tr>
      <w:tr>
        <w:trPr>
          <w:trHeight w:val="792"/>
        </w:trPr>
        <w:tc>
          <w:tcPr>
            <w:tcW w:w="940" w:type="dxa"/>
            <w:vAlign w:val="bottom"/>
          </w:tcPr>
          <w:p>
            <w:pPr>
              <w:ind w:left="520"/>
              <w:spacing w:after="0"/>
              <w:rPr>
                <w:sz w:val="20"/>
                <w:szCs w:val="20"/>
                <w:color w:val="auto"/>
              </w:rPr>
            </w:pPr>
            <w:r>
              <w:rPr>
                <w:rFonts w:ascii="Courier New" w:cs="Courier New" w:eastAsia="Courier New" w:hAnsi="Courier New"/>
                <w:sz w:val="17"/>
                <w:szCs w:val="17"/>
                <w:color w:val="auto"/>
              </w:rPr>
              <w:t>(b)</w:t>
            </w:r>
          </w:p>
        </w:tc>
        <w:tc>
          <w:tcPr>
            <w:tcW w:w="7300" w:type="dxa"/>
            <w:vAlign w:val="bottom"/>
          </w:tcPr>
          <w:p>
            <w:pPr>
              <w:ind w:left="100"/>
              <w:spacing w:after="0"/>
              <w:rPr>
                <w:sz w:val="20"/>
                <w:szCs w:val="20"/>
                <w:color w:val="auto"/>
              </w:rPr>
            </w:pPr>
            <w:r>
              <w:rPr>
                <w:rFonts w:ascii="Courier New" w:cs="Courier New" w:eastAsia="Courier New" w:hAnsi="Courier New"/>
                <w:sz w:val="17"/>
                <w:szCs w:val="17"/>
                <w:color w:val="auto"/>
              </w:rPr>
              <w:t>Reports on Form 8-K</w:t>
            </w:r>
          </w:p>
        </w:tc>
      </w:tr>
      <w:tr>
        <w:trPr>
          <w:trHeight w:val="198"/>
        </w:trPr>
        <w:tc>
          <w:tcPr>
            <w:tcW w:w="940" w:type="dxa"/>
            <w:vAlign w:val="bottom"/>
          </w:tcPr>
          <w:p>
            <w:pPr>
              <w:spacing w:after="0"/>
              <w:rPr>
                <w:sz w:val="17"/>
                <w:szCs w:val="17"/>
                <w:color w:val="auto"/>
              </w:rPr>
            </w:pPr>
          </w:p>
        </w:tc>
        <w:tc>
          <w:tcPr>
            <w:tcW w:w="730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80" w:type="dxa"/>
            <w:vAlign w:val="bottom"/>
          </w:tcPr>
          <w:p>
            <w:pPr>
              <w:spacing w:after="0"/>
              <w:rPr>
                <w:sz w:val="20"/>
                <w:szCs w:val="20"/>
                <w:color w:val="auto"/>
              </w:rPr>
            </w:pPr>
            <w:r>
              <w:rPr>
                <w:rFonts w:ascii="Courier New" w:cs="Courier New" w:eastAsia="Courier New" w:hAnsi="Courier New"/>
                <w:sz w:val="17"/>
                <w:szCs w:val="17"/>
                <w:color w:val="auto"/>
              </w:rPr>
              <w:t>A report</w:t>
            </w:r>
          </w:p>
        </w:tc>
        <w:tc>
          <w:tcPr>
            <w:tcW w:w="12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pursuant to</w:t>
            </w:r>
          </w:p>
        </w:tc>
        <w:tc>
          <w:tcPr>
            <w:tcW w:w="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Items</w:t>
            </w:r>
          </w:p>
        </w:tc>
        <w:tc>
          <w:tcPr>
            <w:tcW w:w="8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2 and 7</w:t>
            </w:r>
          </w:p>
        </w:tc>
        <w:tc>
          <w:tcPr>
            <w:tcW w:w="820" w:type="dxa"/>
            <w:vAlign w:val="bottom"/>
          </w:tcPr>
          <w:p>
            <w:pPr>
              <w:jc w:val="right"/>
              <w:spacing w:after="0"/>
              <w:rPr>
                <w:sz w:val="20"/>
                <w:szCs w:val="20"/>
                <w:color w:val="auto"/>
              </w:rPr>
            </w:pPr>
            <w:r>
              <w:rPr>
                <w:rFonts w:ascii="Courier New" w:cs="Courier New" w:eastAsia="Courier New" w:hAnsi="Courier New"/>
                <w:sz w:val="17"/>
                <w:szCs w:val="17"/>
                <w:color w:val="auto"/>
              </w:rPr>
              <w:t>of Form</w:t>
            </w:r>
          </w:p>
        </w:tc>
        <w:tc>
          <w:tcPr>
            <w:tcW w:w="520" w:type="dxa"/>
            <w:vAlign w:val="bottom"/>
          </w:tcPr>
          <w:p>
            <w:pPr>
              <w:jc w:val="right"/>
              <w:spacing w:after="0"/>
              <w:rPr>
                <w:sz w:val="20"/>
                <w:szCs w:val="20"/>
                <w:color w:val="auto"/>
              </w:rPr>
            </w:pPr>
            <w:r>
              <w:rPr>
                <w:rFonts w:ascii="Courier New" w:cs="Courier New" w:eastAsia="Courier New" w:hAnsi="Courier New"/>
                <w:sz w:val="17"/>
                <w:szCs w:val="17"/>
                <w:color w:val="auto"/>
              </w:rPr>
              <w:t>8-K,</w:t>
            </w:r>
          </w:p>
        </w:tc>
        <w:tc>
          <w:tcPr>
            <w:tcW w:w="3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dated May 31, 2002, was filed</w:t>
            </w:r>
          </w:p>
        </w:tc>
      </w:tr>
      <w:tr>
        <w:trPr>
          <w:trHeight w:val="198"/>
        </w:trPr>
        <w:tc>
          <w:tcPr>
            <w:tcW w:w="1700" w:type="dxa"/>
            <w:vAlign w:val="bottom"/>
            <w:gridSpan w:val="2"/>
          </w:tcPr>
          <w:p>
            <w:pPr>
              <w:spacing w:after="0"/>
              <w:rPr>
                <w:sz w:val="20"/>
                <w:szCs w:val="20"/>
                <w:color w:val="auto"/>
              </w:rPr>
            </w:pPr>
            <w:r>
              <w:rPr>
                <w:rFonts w:ascii="Courier New" w:cs="Courier New" w:eastAsia="Courier New" w:hAnsi="Courier New"/>
                <w:sz w:val="17"/>
                <w:szCs w:val="17"/>
                <w:color w:val="auto"/>
              </w:rPr>
              <w:t>August 14, 2002,</w:t>
            </w:r>
          </w:p>
        </w:tc>
        <w:tc>
          <w:tcPr>
            <w:tcW w:w="10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to report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acquisition</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of E.mergent,</w:t>
            </w:r>
          </w:p>
        </w:tc>
        <w:tc>
          <w:tcPr>
            <w:tcW w:w="212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Inc. and including</w:t>
            </w:r>
          </w:p>
        </w:tc>
      </w:tr>
      <w:tr>
        <w:trPr>
          <w:trHeight w:val="198"/>
        </w:trPr>
        <w:tc>
          <w:tcPr>
            <w:tcW w:w="2120" w:type="dxa"/>
            <w:vAlign w:val="bottom"/>
            <w:gridSpan w:val="3"/>
          </w:tcPr>
          <w:p>
            <w:pPr>
              <w:spacing w:after="0"/>
              <w:rPr>
                <w:sz w:val="20"/>
                <w:szCs w:val="20"/>
                <w:color w:val="auto"/>
              </w:rPr>
            </w:pPr>
            <w:r>
              <w:rPr>
                <w:rFonts w:ascii="Courier New" w:cs="Courier New" w:eastAsia="Courier New" w:hAnsi="Courier New"/>
                <w:sz w:val="17"/>
                <w:szCs w:val="17"/>
                <w:color w:val="auto"/>
              </w:rPr>
              <w:t>financial statements</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of</w:t>
            </w:r>
          </w:p>
        </w:tc>
        <w:tc>
          <w:tcPr>
            <w:tcW w:w="11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E.mergent,</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Inc. and pro</w:t>
            </w:r>
          </w:p>
        </w:tc>
        <w:tc>
          <w:tcPr>
            <w:tcW w:w="16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forma financial</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statements of</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ClearOne</w:t>
            </w:r>
          </w:p>
        </w:tc>
        <w:tc>
          <w:tcPr>
            <w:tcW w:w="820" w:type="dxa"/>
            <w:vAlign w:val="bottom"/>
          </w:tcPr>
          <w:p>
            <w:pPr>
              <w:ind w:left="60"/>
              <w:spacing w:after="0"/>
              <w:rPr>
                <w:sz w:val="20"/>
                <w:szCs w:val="20"/>
                <w:color w:val="auto"/>
              </w:rPr>
            </w:pPr>
            <w:r>
              <w:rPr>
                <w:rFonts w:ascii="Courier New" w:cs="Courier New" w:eastAsia="Courier New" w:hAnsi="Courier New"/>
                <w:sz w:val="17"/>
                <w:szCs w:val="17"/>
                <w:color w:val="auto"/>
              </w:rPr>
              <w:t>to give</w:t>
            </w:r>
          </w:p>
        </w:tc>
        <w:tc>
          <w:tcPr>
            <w:tcW w:w="7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effect</w:t>
            </w:r>
          </w:p>
        </w:tc>
        <w:tc>
          <w:tcPr>
            <w:tcW w:w="320" w:type="dxa"/>
            <w:vAlign w:val="bottom"/>
          </w:tcPr>
          <w:p>
            <w:pPr>
              <w:jc w:val="right"/>
              <w:spacing w:after="0"/>
              <w:rPr>
                <w:sz w:val="20"/>
                <w:szCs w:val="20"/>
                <w:color w:val="auto"/>
              </w:rPr>
            </w:pPr>
            <w:r>
              <w:rPr>
                <w:rFonts w:ascii="Courier New" w:cs="Courier New" w:eastAsia="Courier New" w:hAnsi="Courier New"/>
                <w:sz w:val="17"/>
                <w:szCs w:val="17"/>
                <w:color w:val="auto"/>
              </w:rPr>
              <w:t>to</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acquisition</w:t>
            </w:r>
          </w:p>
        </w:tc>
        <w:tc>
          <w:tcPr>
            <w:tcW w:w="35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of Ivron Systems, Ltd., E.mergent,</w:t>
            </w:r>
          </w:p>
        </w:tc>
      </w:tr>
      <w:tr>
        <w:trPr>
          <w:trHeight w:val="198"/>
        </w:trPr>
        <w:tc>
          <w:tcPr>
            <w:tcW w:w="880" w:type="dxa"/>
            <w:vAlign w:val="bottom"/>
          </w:tcPr>
          <w:p>
            <w:pPr>
              <w:spacing w:after="0"/>
              <w:rPr>
                <w:sz w:val="20"/>
                <w:szCs w:val="20"/>
                <w:color w:val="auto"/>
              </w:rPr>
            </w:pPr>
            <w:r>
              <w:rPr>
                <w:rFonts w:ascii="Courier New" w:cs="Courier New" w:eastAsia="Courier New" w:hAnsi="Courier New"/>
                <w:sz w:val="17"/>
                <w:szCs w:val="17"/>
                <w:color w:val="auto"/>
              </w:rPr>
              <w:t>Inc. and</w:t>
            </w:r>
          </w:p>
        </w:tc>
        <w:tc>
          <w:tcPr>
            <w:tcW w:w="18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the December 2001</w:t>
            </w:r>
          </w:p>
        </w:tc>
        <w:tc>
          <w:tcPr>
            <w:tcW w:w="8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private</w:t>
            </w:r>
          </w:p>
        </w:tc>
        <w:tc>
          <w:tcPr>
            <w:tcW w:w="13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placement of</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ClearOne</w:t>
            </w:r>
          </w:p>
        </w:tc>
        <w:tc>
          <w:tcPr>
            <w:tcW w:w="720" w:type="dxa"/>
            <w:vAlign w:val="bottom"/>
          </w:tcPr>
          <w:p>
            <w:pPr>
              <w:jc w:val="right"/>
              <w:spacing w:after="0"/>
              <w:rPr>
                <w:sz w:val="20"/>
                <w:szCs w:val="20"/>
                <w:color w:val="auto"/>
              </w:rPr>
            </w:pPr>
            <w:r>
              <w:rPr>
                <w:rFonts w:ascii="Courier New" w:cs="Courier New" w:eastAsia="Courier New" w:hAnsi="Courier New"/>
                <w:sz w:val="17"/>
                <w:szCs w:val="17"/>
                <w:color w:val="auto"/>
              </w:rPr>
              <w:t>common</w:t>
            </w:r>
          </w:p>
        </w:tc>
        <w:tc>
          <w:tcPr>
            <w:tcW w:w="140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stock.</w:t>
            </w:r>
          </w:p>
        </w:tc>
      </w:tr>
    </w:tbl>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A report, pursuant to Item 5 of Form 8-K was dated and filed September 26, 2002, to report the resignation of Randy Wichinski as Chief Financial Officer and reappointment of Susie Strohm as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709" w:right="1440" w:bottom="1440" w:gutter="0" w:footer="0" w:header="0"/>
        </w:sectPr>
      </w:pPr>
    </w:p>
    <w:bookmarkStart w:id="37" w:name="page38"/>
    <w:bookmarkEnd w:id="37"/>
    <w:p>
      <w:pPr>
        <w:jc w:val="center"/>
        <w:ind w:right="1979"/>
        <w:spacing w:after="0"/>
        <w:rPr>
          <w:sz w:val="20"/>
          <w:szCs w:val="20"/>
          <w:color w:val="auto"/>
        </w:rPr>
      </w:pPr>
      <w:r>
        <w:rPr>
          <w:rFonts w:ascii="Courier New" w:cs="Courier New" w:eastAsia="Courier New" w:hAnsi="Courier New"/>
          <w:sz w:val="17"/>
          <w:szCs w:val="17"/>
          <w:color w:val="auto"/>
        </w:rPr>
        <w:t>SIGNATURES</w:t>
      </w:r>
    </w:p>
    <w:p>
      <w:pPr>
        <w:spacing w:after="0" w:line="203" w:lineRule="exact"/>
        <w:rPr>
          <w:sz w:val="20"/>
          <w:szCs w:val="20"/>
          <w:color w:val="auto"/>
        </w:rPr>
      </w:pPr>
    </w:p>
    <w:p>
      <w:pPr>
        <w:jc w:val="both"/>
        <w:ind w:right="2279" w:firstLine="515"/>
        <w:spacing w:after="0" w:line="246" w:lineRule="auto"/>
        <w:rPr>
          <w:sz w:val="20"/>
          <w:szCs w:val="20"/>
          <w:color w:val="auto"/>
        </w:rPr>
      </w:pPr>
      <w:r>
        <w:rPr>
          <w:rFonts w:ascii="Courier New" w:cs="Courier New" w:eastAsia="Courier New" w:hAnsi="Courier New"/>
          <w:sz w:val="17"/>
          <w:szCs w:val="17"/>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7"/>
          <w:szCs w:val="17"/>
          <w:color w:val="auto"/>
        </w:rPr>
        <w:t>CLEARONE COMMUNCIATIONS, INC.</w:t>
      </w:r>
    </w:p>
    <w:p>
      <w:pPr>
        <w:spacing w:after="0" w:line="200" w:lineRule="exact"/>
        <w:rPr>
          <w:sz w:val="20"/>
          <w:szCs w:val="20"/>
          <w:color w:val="auto"/>
        </w:rPr>
      </w:pPr>
    </w:p>
    <w:p>
      <w:pPr>
        <w:spacing w:after="0" w:line="201"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/s/ Susie Strohm</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Susie Strohm</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7"/>
          <w:szCs w:val="17"/>
          <w:color w:val="auto"/>
        </w:rPr>
        <w:t>Vice President and Chief Financial Officer</w:t>
      </w:r>
    </w:p>
    <w:p>
      <w:pPr>
        <w:spacing w:after="0" w:line="200" w:lineRule="exact"/>
        <w:rPr>
          <w:sz w:val="20"/>
          <w:szCs w:val="20"/>
          <w:color w:val="auto"/>
        </w:rPr>
      </w:pPr>
    </w:p>
    <w:p>
      <w:pPr>
        <w:spacing w:after="0" w:line="201"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November 14, 2002</w:t>
      </w:r>
    </w:p>
    <w:p>
      <w:pPr>
        <w:spacing w:after="0" w:line="203" w:lineRule="exact"/>
        <w:rPr>
          <w:sz w:val="20"/>
          <w:szCs w:val="20"/>
          <w:color w:val="auto"/>
        </w:rPr>
      </w:pPr>
    </w:p>
    <w:p>
      <w:pPr>
        <w:ind w:left="3400"/>
        <w:spacing w:after="0"/>
        <w:rPr>
          <w:sz w:val="20"/>
          <w:szCs w:val="20"/>
          <w:color w:val="auto"/>
        </w:rPr>
      </w:pPr>
      <w:r>
        <w:rPr>
          <w:rFonts w:ascii="Courier New" w:cs="Courier New" w:eastAsia="Courier New" w:hAnsi="Courier New"/>
          <w:sz w:val="17"/>
          <w:szCs w:val="17"/>
          <w:color w:val="auto"/>
        </w:rPr>
        <w:t>CERTIFICATIONS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Frances M. Flood, certify that:</w:t>
      </w:r>
    </w:p>
    <w:p>
      <w:pPr>
        <w:spacing w:after="0" w:line="203" w:lineRule="exact"/>
        <w:rPr>
          <w:sz w:val="20"/>
          <w:szCs w:val="20"/>
          <w:color w:val="auto"/>
        </w:rPr>
      </w:pPr>
    </w:p>
    <w:p>
      <w:pPr>
        <w:ind w:left="1040" w:right="2799" w:hanging="520"/>
        <w:spacing w:after="0" w:line="247" w:lineRule="auto"/>
        <w:tabs>
          <w:tab w:leader="none" w:pos="10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ClearOne Communications, Inc.;</w:t>
      </w:r>
    </w:p>
    <w:p>
      <w:pPr>
        <w:spacing w:after="0" w:line="197" w:lineRule="exact"/>
        <w:rPr>
          <w:rFonts w:ascii="Courier New" w:cs="Courier New" w:eastAsia="Courier New" w:hAnsi="Courier New"/>
          <w:sz w:val="17"/>
          <w:szCs w:val="17"/>
          <w:color w:val="auto"/>
        </w:rPr>
      </w:pPr>
    </w:p>
    <w:p>
      <w:pPr>
        <w:ind w:left="1040" w:right="2079" w:hanging="520"/>
        <w:spacing w:after="0" w:line="246" w:lineRule="auto"/>
        <w:tabs>
          <w:tab w:leader="none" w:pos="10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rFonts w:ascii="Courier New" w:cs="Courier New" w:eastAsia="Courier New" w:hAnsi="Courier New"/>
          <w:sz w:val="17"/>
          <w:szCs w:val="17"/>
          <w:color w:val="auto"/>
        </w:rPr>
      </w:pPr>
    </w:p>
    <w:p>
      <w:pPr>
        <w:ind w:left="1040" w:right="1979" w:hanging="520"/>
        <w:spacing w:after="0" w:line="246" w:lineRule="auto"/>
        <w:tabs>
          <w:tab w:leader="none" w:pos="10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0" w:lineRule="exact"/>
        <w:rPr>
          <w:rFonts w:ascii="Courier New" w:cs="Courier New" w:eastAsia="Courier New" w:hAnsi="Courier New"/>
          <w:sz w:val="17"/>
          <w:szCs w:val="17"/>
          <w:color w:val="auto"/>
        </w:rPr>
      </w:pPr>
    </w:p>
    <w:p>
      <w:pPr>
        <w:ind w:left="1040" w:right="2179" w:hanging="520"/>
        <w:spacing w:after="0" w:line="246" w:lineRule="auto"/>
        <w:tabs>
          <w:tab w:leader="none" w:pos="10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are responsible for establishing and maintaining disclosure controls and procedures (as defined in Exchange Act Rules 13a-14 and 15d-14) for the registrant and we have:</w:t>
      </w:r>
    </w:p>
    <w:p>
      <w:pPr>
        <w:spacing w:after="0" w:line="200" w:lineRule="exact"/>
        <w:rPr>
          <w:rFonts w:ascii="Courier New" w:cs="Courier New" w:eastAsia="Courier New" w:hAnsi="Courier New"/>
          <w:sz w:val="17"/>
          <w:szCs w:val="17"/>
          <w:color w:val="auto"/>
        </w:rPr>
      </w:pPr>
    </w:p>
    <w:p>
      <w:pPr>
        <w:ind w:left="1540" w:right="2179" w:hanging="505"/>
        <w:spacing w:after="0" w:line="246" w:lineRule="auto"/>
        <w:tabs>
          <w:tab w:leader="none" w:pos="154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0" w:lineRule="exact"/>
        <w:rPr>
          <w:rFonts w:ascii="Courier New" w:cs="Courier New" w:eastAsia="Courier New" w:hAnsi="Courier New"/>
          <w:sz w:val="17"/>
          <w:szCs w:val="17"/>
          <w:color w:val="auto"/>
        </w:rPr>
      </w:pPr>
    </w:p>
    <w:p>
      <w:pPr>
        <w:ind w:left="1540" w:right="1979" w:hanging="505"/>
        <w:spacing w:after="0" w:line="246" w:lineRule="auto"/>
        <w:tabs>
          <w:tab w:leader="none" w:pos="154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as of a date within 90 days prior to the filing date of this quarterly report (the "Evaluation Date"); and</w:t>
      </w:r>
    </w:p>
    <w:p>
      <w:pPr>
        <w:spacing w:after="0" w:line="199" w:lineRule="exact"/>
        <w:rPr>
          <w:rFonts w:ascii="Courier New" w:cs="Courier New" w:eastAsia="Courier New" w:hAnsi="Courier New"/>
          <w:sz w:val="17"/>
          <w:szCs w:val="17"/>
          <w:color w:val="auto"/>
        </w:rPr>
      </w:pPr>
    </w:p>
    <w:p>
      <w:pPr>
        <w:ind w:left="1540" w:right="2079" w:hanging="505"/>
        <w:spacing w:after="0" w:line="246" w:lineRule="auto"/>
        <w:tabs>
          <w:tab w:leader="none" w:pos="154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quarterly report our conclusions about the effectiveness of the disclosure controls and procedures based on our evaluation as of the Evaluation Date;</w:t>
      </w:r>
    </w:p>
    <w:p>
      <w:pPr>
        <w:spacing w:after="0" w:line="199" w:lineRule="exact"/>
        <w:rPr>
          <w:rFonts w:ascii="Courier New" w:cs="Courier New" w:eastAsia="Courier New" w:hAnsi="Courier New"/>
          <w:sz w:val="17"/>
          <w:szCs w:val="17"/>
          <w:color w:val="auto"/>
        </w:rPr>
      </w:pPr>
    </w:p>
    <w:p>
      <w:pPr>
        <w:ind w:left="1040" w:right="1979" w:hanging="520"/>
        <w:spacing w:after="0" w:line="246" w:lineRule="auto"/>
        <w:tabs>
          <w:tab w:leader="none" w:pos="10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200" w:lineRule="exact"/>
        <w:rPr>
          <w:rFonts w:ascii="Courier New" w:cs="Courier New" w:eastAsia="Courier New" w:hAnsi="Courier New"/>
          <w:sz w:val="17"/>
          <w:szCs w:val="17"/>
          <w:color w:val="auto"/>
        </w:rPr>
      </w:pPr>
    </w:p>
    <w:p>
      <w:pPr>
        <w:ind w:left="1540" w:right="2179" w:hanging="505"/>
        <w:spacing w:after="0" w:line="246" w:lineRule="auto"/>
        <w:tabs>
          <w:tab w:leader="none" w:pos="154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0" w:lineRule="exact"/>
        <w:rPr>
          <w:rFonts w:ascii="Courier New" w:cs="Courier New" w:eastAsia="Courier New" w:hAnsi="Courier New"/>
          <w:sz w:val="17"/>
          <w:szCs w:val="17"/>
          <w:color w:val="auto"/>
        </w:rPr>
      </w:pPr>
    </w:p>
    <w:p>
      <w:pPr>
        <w:jc w:val="both"/>
        <w:ind w:left="1540" w:right="2179" w:hanging="505"/>
        <w:spacing w:after="0" w:line="246" w:lineRule="auto"/>
        <w:tabs>
          <w:tab w:leader="none" w:pos="1540"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controls; and</w:t>
      </w:r>
    </w:p>
    <w:p>
      <w:pPr>
        <w:spacing w:after="0" w:line="199" w:lineRule="exact"/>
        <w:rPr>
          <w:rFonts w:ascii="Courier New" w:cs="Courier New" w:eastAsia="Courier New" w:hAnsi="Courier New"/>
          <w:sz w:val="17"/>
          <w:szCs w:val="17"/>
          <w:color w:val="auto"/>
        </w:rPr>
      </w:pPr>
    </w:p>
    <w:p>
      <w:pPr>
        <w:ind w:left="1040" w:right="1979" w:hanging="520"/>
        <w:spacing w:after="0" w:line="246" w:lineRule="auto"/>
        <w:tabs>
          <w:tab w:leader="none" w:pos="104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ectPr>
          <w:pgSz w:w="11900" w:h="16838" w:orient="portrait"/>
          <w:cols w:equalWidth="0" w:num="1">
            <w:col w:w="10219"/>
          </w:cols>
          <w:pgMar w:left="240" w:top="907" w:right="1440" w:bottom="323" w:gutter="0" w:footer="0" w:header="0"/>
        </w:sectPr>
      </w:pPr>
    </w:p>
    <w:bookmarkStart w:id="38" w:name="page39"/>
    <w:bookmarkEnd w:id="38"/>
    <w:p>
      <w:pPr>
        <w:ind w:left="2820"/>
        <w:spacing w:after="0"/>
        <w:rPr>
          <w:sz w:val="20"/>
          <w:szCs w:val="20"/>
          <w:color w:val="auto"/>
        </w:rPr>
      </w:pPr>
      <w:r>
        <w:rPr>
          <w:rFonts w:ascii="Courier New" w:cs="Courier New" w:eastAsia="Courier New" w:hAnsi="Courier New"/>
          <w:sz w:val="16"/>
          <w:szCs w:val="16"/>
          <w:color w:val="auto"/>
        </w:rPr>
        <w:t>26</w:t>
      </w:r>
    </w:p>
    <w:p>
      <w:pPr>
        <w:sectPr>
          <w:pgSz w:w="11900" w:h="16838" w:orient="portrait"/>
          <w:cols w:equalWidth="0" w:num="1">
            <w:col w:w="9019"/>
          </w:cols>
          <w:pgMar w:left="1440" w:top="340" w:right="1440" w:bottom="1440" w:gutter="0" w:footer="0" w:header="0"/>
        </w:sectPr>
      </w:pPr>
    </w:p>
    <w:bookmarkStart w:id="39" w:name="page40"/>
    <w:bookmarkEnd w:id="39"/>
    <w:p>
      <w:pPr>
        <w:ind w:left="4120"/>
        <w:spacing w:after="0"/>
        <w:rPr>
          <w:sz w:val="20"/>
          <w:szCs w:val="20"/>
          <w:color w:val="auto"/>
        </w:rPr>
      </w:pPr>
      <w:r>
        <w:rPr>
          <w:rFonts w:ascii="Courier New" w:cs="Courier New" w:eastAsia="Courier New" w:hAnsi="Courier New"/>
          <w:sz w:val="17"/>
          <w:szCs w:val="17"/>
          <w:color w:val="auto"/>
        </w:rPr>
        <w:t>CLEARONE COMMUNCIATIONS, INC.</w:t>
      </w:r>
    </w:p>
    <w:p>
      <w:pPr>
        <w:sectPr>
          <w:pgSz w:w="11900" w:h="16838" w:orient="portrait"/>
          <w:cols w:equalWidth="0" w:num="1">
            <w:col w:w="10219"/>
          </w:cols>
          <w:pgMar w:left="240" w:top="907" w:right="1440" w:bottom="0" w:gutter="0" w:footer="0" w:header="0"/>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Frances M. Flood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Frances M. Flood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Chairman of the Board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Executive Officer</w:t>
      </w:r>
    </w:p>
    <w:p>
      <w:pPr>
        <w:spacing w:after="0" w:line="200" w:lineRule="exact"/>
        <w:rPr>
          <w:sz w:val="20"/>
          <w:szCs w:val="20"/>
          <w:color w:val="auto"/>
        </w:rPr>
      </w:pPr>
    </w:p>
    <w:p>
      <w:pPr>
        <w:sectPr>
          <w:pgSz w:w="11900" w:h="16838" w:orient="portrait"/>
          <w:cols w:equalWidth="0" w:num="3">
            <w:col w:w="520" w:space="200"/>
            <w:col w:w="2680" w:space="720"/>
            <w:col w:w="6099"/>
          </w:cols>
          <w:pgMar w:left="240" w:top="907"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Susie Strohm, certify that:</w:t>
      </w:r>
    </w:p>
    <w:p>
      <w:pPr>
        <w:spacing w:after="0" w:line="203" w:lineRule="exact"/>
        <w:rPr>
          <w:sz w:val="20"/>
          <w:szCs w:val="20"/>
          <w:color w:val="auto"/>
        </w:rPr>
      </w:pPr>
    </w:p>
    <w:p>
      <w:pPr>
        <w:ind w:left="1040" w:right="2799" w:hanging="520"/>
        <w:spacing w:after="0" w:line="247" w:lineRule="auto"/>
        <w:tabs>
          <w:tab w:leader="none" w:pos="10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quarterly report on Form 10-Q of ClearOne Communications, Inc.;</w:t>
      </w:r>
    </w:p>
    <w:p>
      <w:pPr>
        <w:spacing w:after="0" w:line="197" w:lineRule="exact"/>
        <w:rPr>
          <w:rFonts w:ascii="Courier New" w:cs="Courier New" w:eastAsia="Courier New" w:hAnsi="Courier New"/>
          <w:sz w:val="17"/>
          <w:szCs w:val="17"/>
          <w:color w:val="auto"/>
        </w:rPr>
      </w:pPr>
    </w:p>
    <w:p>
      <w:pPr>
        <w:ind w:left="1040" w:right="2079" w:hanging="520"/>
        <w:spacing w:after="0" w:line="246" w:lineRule="auto"/>
        <w:tabs>
          <w:tab w:leader="none" w:pos="10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0" w:lineRule="exact"/>
        <w:rPr>
          <w:rFonts w:ascii="Courier New" w:cs="Courier New" w:eastAsia="Courier New" w:hAnsi="Courier New"/>
          <w:sz w:val="17"/>
          <w:szCs w:val="17"/>
          <w:color w:val="auto"/>
        </w:rPr>
      </w:pPr>
    </w:p>
    <w:p>
      <w:pPr>
        <w:ind w:left="1040" w:right="1979" w:hanging="520"/>
        <w:spacing w:after="0" w:line="246" w:lineRule="auto"/>
        <w:tabs>
          <w:tab w:leader="none" w:pos="10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0" w:lineRule="exact"/>
        <w:rPr>
          <w:rFonts w:ascii="Courier New" w:cs="Courier New" w:eastAsia="Courier New" w:hAnsi="Courier New"/>
          <w:sz w:val="17"/>
          <w:szCs w:val="17"/>
          <w:color w:val="auto"/>
        </w:rPr>
      </w:pPr>
    </w:p>
    <w:p>
      <w:pPr>
        <w:ind w:left="1040" w:right="2179" w:hanging="520"/>
        <w:spacing w:after="0" w:line="246" w:lineRule="auto"/>
        <w:tabs>
          <w:tab w:leader="none" w:pos="10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are responsible for establishing and maintaining disclosure controls and procedures (as defined in Exchange Act Rules 13a-14 and 15d-14) for the registrant and we have:</w:t>
      </w:r>
    </w:p>
    <w:p>
      <w:pPr>
        <w:spacing w:after="0" w:line="200" w:lineRule="exact"/>
        <w:rPr>
          <w:rFonts w:ascii="Courier New" w:cs="Courier New" w:eastAsia="Courier New" w:hAnsi="Courier New"/>
          <w:sz w:val="17"/>
          <w:szCs w:val="17"/>
          <w:color w:val="auto"/>
        </w:rPr>
      </w:pPr>
    </w:p>
    <w:p>
      <w:pPr>
        <w:ind w:left="1540" w:right="2179" w:hanging="505"/>
        <w:spacing w:after="0" w:line="246" w:lineRule="auto"/>
        <w:tabs>
          <w:tab w:leader="none" w:pos="1540"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200" w:lineRule="exact"/>
        <w:rPr>
          <w:rFonts w:ascii="Courier New" w:cs="Courier New" w:eastAsia="Courier New" w:hAnsi="Courier New"/>
          <w:sz w:val="17"/>
          <w:szCs w:val="17"/>
          <w:color w:val="auto"/>
        </w:rPr>
      </w:pPr>
    </w:p>
    <w:p>
      <w:pPr>
        <w:ind w:left="1540" w:right="1979" w:hanging="505"/>
        <w:spacing w:after="0" w:line="246" w:lineRule="auto"/>
        <w:tabs>
          <w:tab w:leader="none" w:pos="1540"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Evaluated the effectiveness of the registrant's disclosure controls and procedures as of a date within 90 days prior to the filing date of this quarterly report (the "Evaluation Date"); and</w:t>
      </w:r>
    </w:p>
    <w:p>
      <w:pPr>
        <w:spacing w:after="0" w:line="199" w:lineRule="exact"/>
        <w:rPr>
          <w:rFonts w:ascii="Courier New" w:cs="Courier New" w:eastAsia="Courier New" w:hAnsi="Courier New"/>
          <w:sz w:val="17"/>
          <w:szCs w:val="17"/>
          <w:color w:val="auto"/>
        </w:rPr>
      </w:pPr>
    </w:p>
    <w:p>
      <w:pPr>
        <w:ind w:left="1540" w:right="2079" w:hanging="505"/>
        <w:spacing w:after="0" w:line="246" w:lineRule="auto"/>
        <w:tabs>
          <w:tab w:leader="none" w:pos="1540" w:val="left"/>
        </w:tabs>
        <w:numPr>
          <w:ilvl w:val="1"/>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Presented in this quarterly report our conclusions about the effectiveness of the disclosure controls and procedures based on our evaluation as of the Evaluation Date;</w:t>
      </w:r>
    </w:p>
    <w:p>
      <w:pPr>
        <w:spacing w:after="0" w:line="199" w:lineRule="exact"/>
        <w:rPr>
          <w:rFonts w:ascii="Courier New" w:cs="Courier New" w:eastAsia="Courier New" w:hAnsi="Courier New"/>
          <w:sz w:val="17"/>
          <w:szCs w:val="17"/>
          <w:color w:val="auto"/>
        </w:rPr>
      </w:pPr>
    </w:p>
    <w:p>
      <w:pPr>
        <w:ind w:left="1040" w:right="1979" w:hanging="520"/>
        <w:spacing w:after="0" w:line="246" w:lineRule="auto"/>
        <w:tabs>
          <w:tab w:leader="none" w:pos="104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200" w:lineRule="exact"/>
        <w:rPr>
          <w:rFonts w:ascii="Courier New" w:cs="Courier New" w:eastAsia="Courier New" w:hAnsi="Courier New"/>
          <w:sz w:val="17"/>
          <w:szCs w:val="17"/>
          <w:color w:val="auto"/>
        </w:rPr>
      </w:pPr>
    </w:p>
    <w:p>
      <w:pPr>
        <w:ind w:left="1540" w:right="2179" w:hanging="505"/>
        <w:spacing w:after="0" w:line="246" w:lineRule="auto"/>
        <w:tabs>
          <w:tab w:leader="none" w:pos="154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0" w:lineRule="exact"/>
        <w:rPr>
          <w:rFonts w:ascii="Courier New" w:cs="Courier New" w:eastAsia="Courier New" w:hAnsi="Courier New"/>
          <w:sz w:val="17"/>
          <w:szCs w:val="17"/>
          <w:color w:val="auto"/>
        </w:rPr>
      </w:pPr>
    </w:p>
    <w:p>
      <w:pPr>
        <w:jc w:val="both"/>
        <w:ind w:left="1540" w:right="2179" w:hanging="505"/>
        <w:spacing w:after="0" w:line="246" w:lineRule="auto"/>
        <w:tabs>
          <w:tab w:leader="none" w:pos="1540" w:val="left"/>
        </w:tabs>
        <w:numPr>
          <w:ilvl w:val="1"/>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fraud, whether or not material, that involves management or other employees who have a significant role in the registrant's internal controls; and</w:t>
      </w:r>
    </w:p>
    <w:p>
      <w:pPr>
        <w:spacing w:after="0" w:line="199" w:lineRule="exact"/>
        <w:rPr>
          <w:rFonts w:ascii="Courier New" w:cs="Courier New" w:eastAsia="Courier New" w:hAnsi="Courier New"/>
          <w:sz w:val="17"/>
          <w:szCs w:val="17"/>
          <w:color w:val="auto"/>
        </w:rPr>
      </w:pPr>
    </w:p>
    <w:p>
      <w:pPr>
        <w:ind w:left="1040" w:right="1979" w:hanging="520"/>
        <w:spacing w:after="0" w:line="246" w:lineRule="auto"/>
        <w:tabs>
          <w:tab w:leader="none" w:pos="104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7"/>
          <w:szCs w:val="17"/>
          <w:color w:val="auto"/>
        </w:rPr>
        <w:t>CLEARONE COMMUNCIATIONS, INC.</w:t>
      </w:r>
    </w:p>
    <w:p>
      <w:pPr>
        <w:sectPr>
          <w:pgSz w:w="11900" w:h="16838" w:orient="portrait"/>
          <w:cols w:equalWidth="0" w:num="1">
            <w:col w:w="10219"/>
          </w:cols>
          <w:pgMar w:left="240" w:top="907" w:right="1440" w:bottom="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November 14,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9"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/s/ Susie Strohm</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Susie Strohm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3">
            <w:col w:w="520" w:space="200"/>
            <w:col w:w="2680" w:space="720"/>
            <w:col w:w="6099"/>
          </w:cols>
          <w:pgMar w:left="240" w:top="907" w:right="1440" w:bottom="0" w:gutter="0" w:footer="0" w:header="0"/>
          <w:type w:val="continuous"/>
        </w:sectPr>
      </w:pPr>
    </w:p>
    <w:bookmarkStart w:id="40" w:name="page41"/>
    <w:bookmarkEnd w:id="40"/>
    <w:p>
      <w:pPr>
        <w:ind w:left="2820"/>
        <w:spacing w:after="0"/>
        <w:rPr>
          <w:sz w:val="20"/>
          <w:szCs w:val="20"/>
          <w:color w:val="auto"/>
        </w:rPr>
      </w:pPr>
      <w:r>
        <w:rPr>
          <w:rFonts w:ascii="Courier New" w:cs="Courier New" w:eastAsia="Courier New" w:hAnsi="Courier New"/>
          <w:sz w:val="16"/>
          <w:szCs w:val="16"/>
          <w:color w:val="auto"/>
        </w:rPr>
        <w:t>27</w:t>
      </w:r>
    </w:p>
    <w:sectPr>
      <w:pgSz w:w="11900" w:h="16838" w:orient="portrait"/>
      <w:cols w:equalWidth="0" w:num="1">
        <w:col w:w="9019"/>
      </w:cols>
      <w:pgMar w:left="1440" w:top="5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upperLetter"/>
      <w:start w:val="24"/>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44"/>
    </w:lvl>
  </w:abstractNum>
  <w:abstractNum w:abstractNumId="4">
    <w:nsid w:val="4E6AFB66"/>
    <w:multiLevelType w:val="hybridMultilevel"/>
    <w:lvl w:ilvl="0">
      <w:lvlJc w:val="left"/>
      <w:lvlText w:val="%1."/>
      <w:numFmt w:val="decimal"/>
      <w:start w:val="2"/>
    </w:lvl>
  </w:abstractNum>
  <w:abstractNum w:abstractNumId="5">
    <w:nsid w:val="25E45D32"/>
    <w:multiLevelType w:val="hybridMultilevel"/>
    <w:lvl w:ilvl="0">
      <w:lvlJc w:val="left"/>
      <w:lvlText w:val="%1."/>
      <w:numFmt w:val="decimal"/>
      <w:start w:val="6"/>
    </w:lvl>
  </w:abstractNum>
  <w:abstractNum w:abstractNumId="6">
    <w:nsid w:val="519B500D"/>
    <w:multiLevelType w:val="hybridMultilevel"/>
    <w:lvl w:ilvl="0">
      <w:lvlJc w:val="left"/>
      <w:lvlText w:val="%1."/>
      <w:numFmt w:val="decimal"/>
      <w:start w:val="7"/>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1."/>
      <w:numFmt w:val="decimal"/>
      <w:start w:val="8"/>
    </w:lvl>
  </w:abstractNum>
  <w:abstractNum w:abstractNumId="11">
    <w:nsid w:val="62BBD95A"/>
    <w:multiLevelType w:val="hybridMultilevel"/>
    <w:lvl w:ilvl="0">
      <w:lvlJc w:val="left"/>
      <w:lvlText w:val="%1."/>
      <w:numFmt w:val="decimal"/>
      <w:start w:val="9"/>
    </w:lvl>
  </w:abstractNum>
  <w:abstractNum w:abstractNumId="12">
    <w:nsid w:val="436C6125"/>
    <w:multiLevelType w:val="hybridMultilevel"/>
    <w:lvl w:ilvl="0">
      <w:lvlJc w:val="left"/>
      <w:lvlText w:val="%1."/>
      <w:numFmt w:val="decimal"/>
      <w:start w:val="10"/>
    </w:lvl>
  </w:abstractNum>
  <w:abstractNum w:abstractNumId="13">
    <w:nsid w:val="628C895D"/>
    <w:multiLevelType w:val="hybridMultilevel"/>
    <w:lvl w:ilvl="0">
      <w:lvlJc w:val="left"/>
      <w:lvlText w:val="%1."/>
      <w:numFmt w:val="decimal"/>
      <w:start w:val="11"/>
    </w:lvl>
  </w:abstractNum>
  <w:abstractNum w:abstractNumId="14">
    <w:nsid w:val="333AB105"/>
    <w:multiLevelType w:val="hybridMultilevel"/>
    <w:lvl w:ilvl="0">
      <w:lvlJc w:val="left"/>
      <w:lvlText w:val="o"/>
      <w:numFmt w:val="bullet"/>
      <w:start w:val="1"/>
    </w:lvl>
  </w:abstractNum>
  <w:abstractNum w:abstractNumId="15">
    <w:nsid w:val="721DA317"/>
    <w:multiLevelType w:val="hybridMultilevel"/>
    <w:lvl w:ilvl="0">
      <w:lvlJc w:val="left"/>
      <w:lvlText w:val="o"/>
      <w:numFmt w:val="bullet"/>
      <w:start w:val="1"/>
    </w:lvl>
  </w:abstractNum>
  <w:abstractNum w:abstractNumId="16">
    <w:nsid w:val="2443A858"/>
    <w:multiLevelType w:val="hybridMultilevel"/>
    <w:lvl w:ilvl="0">
      <w:lvlJc w:val="left"/>
      <w:lvlText w:val="o"/>
      <w:numFmt w:val="bullet"/>
      <w:start w:val="1"/>
    </w:lvl>
  </w:abstractNum>
  <w:abstractNum w:abstractNumId="17">
    <w:nsid w:val="2D1D5AE9"/>
    <w:multiLevelType w:val="hybridMultilevel"/>
    <w:lvl w:ilvl="0">
      <w:lvlJc w:val="left"/>
      <w:lvlText w:val="o"/>
      <w:numFmt w:val="bullet"/>
      <w:start w:val="1"/>
    </w:lvl>
  </w:abstractNum>
  <w:abstractNum w:abstractNumId="18">
    <w:nsid w:val="6763845E"/>
    <w:multiLevelType w:val="hybridMultilevel"/>
    <w:lvl w:ilvl="0">
      <w:lvlJc w:val="left"/>
      <w:lvlText w:val="o"/>
      <w:numFmt w:val="bullet"/>
      <w:start w:val="1"/>
    </w:lvl>
  </w:abstractNum>
  <w:abstractNum w:abstractNumId="19">
    <w:nsid w:val="75A2A8D4"/>
    <w:multiLevelType w:val="hybridMultilevel"/>
    <w:lvl w:ilvl="0">
      <w:lvlJc w:val="left"/>
      <w:lvlText w:val="o"/>
      <w:numFmt w:val="bullet"/>
      <w:start w:val="1"/>
    </w:lvl>
  </w:abstractNum>
  <w:abstractNum w:abstractNumId="20">
    <w:nsid w:val="8EDBDAB"/>
    <w:multiLevelType w:val="hybridMultilevel"/>
    <w:lvl w:ilvl="0">
      <w:lvlJc w:val="left"/>
      <w:lvlText w:val="o"/>
      <w:numFmt w:val="bullet"/>
      <w:start w:val="1"/>
    </w:lvl>
  </w:abstractNum>
  <w:abstractNum w:abstractNumId="21">
    <w:nsid w:val="79838CB2"/>
    <w:multiLevelType w:val="hybridMultilevel"/>
    <w:lvl w:ilvl="0">
      <w:lvlJc w:val="left"/>
      <w:lvlText w:val="(%1)"/>
      <w:numFmt w:val="lowerLetter"/>
      <w:start w:val="1"/>
    </w:lvl>
  </w:abstractNum>
  <w:abstractNum w:abstractNumId="22">
    <w:nsid w:val="4353D0CD"/>
    <w:multiLevelType w:val="hybridMultilevel"/>
    <w:lvl w:ilvl="0">
      <w:lvlJc w:val="left"/>
      <w:lvlText w:val="(%1)"/>
      <w:numFmt w:val="lowerLetter"/>
      <w:start w:val="2"/>
    </w:lvl>
  </w:abstractNum>
  <w:abstractNum w:abstractNumId="23">
    <w:nsid w:val="B03E0C6"/>
    <w:multiLevelType w:val="hybridMultilevel"/>
    <w:lvl w:ilvl="0">
      <w:lvlJc w:val="left"/>
      <w:lvlText w:val="(%1)"/>
      <w:numFmt w:val="lowerLetter"/>
      <w:start w:val="1"/>
    </w:lvl>
  </w:abstractNum>
  <w:abstractNum w:abstractNumId="24">
    <w:nsid w:val="189A769B"/>
    <w:multiLevelType w:val="hybridMultilevel"/>
    <w:lvl w:ilvl="0">
      <w:lvlJc w:val="left"/>
      <w:lvlText w:val="%1."/>
      <w:numFmt w:val="decimal"/>
      <w:start w:val="1"/>
    </w:lvl>
    <w:lvl w:ilvl="1">
      <w:lvlJc w:val="left"/>
      <w:lvlText w:val="%2."/>
      <w:numFmt w:val="lowerLetter"/>
      <w:start w:val="1"/>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4"/>
    </w:lvl>
  </w:abstractNum>
  <w:abstractNum w:abstractNumId="27">
    <w:nsid w:val="2CA88611"/>
    <w:multiLevelType w:val="hybridMultilevel"/>
    <w:lvl w:ilvl="0">
      <w:lvlJc w:val="left"/>
      <w:lvlText w:val="%1."/>
      <w:numFmt w:val="decimal"/>
      <w:start w:val="6"/>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2019-12-13T17:47:02Z</dcterms:created>
  <dcterms:modified xsi:type="dcterms:W3CDTF">2019-12-13T17:47:02Z</dcterms:modified>
</cp:coreProperties>
</file>