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211"/>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18, 2018</w:t>
      </w:r>
      <w:r>
        <w:rPr>
          <w:rFonts w:ascii="Arial" w:cs="Arial" w:eastAsia="Arial" w:hAnsi="Arial"/>
          <w:sz w:val="18"/>
          <w:szCs w:val="18"/>
          <w:color w:val="auto"/>
        </w:rPr>
        <w:t xml:space="preserve"> </w:t>
      </w:r>
      <w:r>
        <w:rPr>
          <w:rFonts w:ascii="Arial" w:cs="Arial" w:eastAsia="Arial" w:hAnsi="Arial"/>
          <w:sz w:val="18"/>
          <w:szCs w:val="18"/>
          <w:b w:val="1"/>
          <w:bCs w:val="1"/>
          <w:color w:val="auto"/>
        </w:rPr>
        <w:t>(May 16, 2018)</w:t>
      </w:r>
    </w:p>
    <w:p>
      <w:pPr>
        <w:spacing w:after="0" w:line="225"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211"/>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852" w:type="dxa"/>
        <w:tblCellMar>
          <w:top w:w="0" w:type="dxa"/>
          <w:left w:w="0" w:type="dxa"/>
          <w:bottom w:w="0" w:type="dxa"/>
          <w:right w:w="0" w:type="dxa"/>
        </w:tblCellMar>
      </w:tblPr>
      <w:tr>
        <w:trPr>
          <w:trHeight w:val="220"/>
        </w:trPr>
        <w:tc>
          <w:tcPr>
            <w:tcW w:w="246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Utah</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001-33660</w:t>
            </w:r>
          </w:p>
        </w:tc>
        <w:tc>
          <w:tcPr>
            <w:tcW w:w="188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rPr>
              <w:t>87-0398877</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2"/>
          </w:tcPr>
          <w:p>
            <w:pPr>
              <w:jc w:val="center"/>
              <w:ind w:right="206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4"/>
              </w:rPr>
              <w:t>of Incorporation)</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2"/>
          </w:tcPr>
          <w:p>
            <w:pPr>
              <w:jc w:val="center"/>
              <w:ind w:right="206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420" w:type="dxa"/>
            <w:vAlign w:val="bottom"/>
            <w:gridSpan w:val="5"/>
          </w:tcPr>
          <w:p>
            <w:pPr>
              <w:ind w:left="900"/>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84116</w:t>
            </w:r>
          </w:p>
        </w:tc>
      </w:tr>
      <w:tr>
        <w:trPr>
          <w:trHeight w:val="230"/>
        </w:trPr>
        <w:tc>
          <w:tcPr>
            <w:tcW w:w="4380" w:type="dxa"/>
            <w:vAlign w:val="bottom"/>
            <w:gridSpan w:val="3"/>
          </w:tcPr>
          <w:p>
            <w:pPr>
              <w:jc w:val="right"/>
              <w:ind w:right="20"/>
              <w:spacing w:after="0"/>
              <w:rPr>
                <w:sz w:val="20"/>
                <w:szCs w:val="20"/>
                <w:color w:val="auto"/>
              </w:rPr>
            </w:pPr>
            <w:r>
              <w:rPr>
                <w:rFonts w:ascii="Arial" w:cs="Arial" w:eastAsia="Arial" w:hAnsi="Arial"/>
                <w:sz w:val="18"/>
                <w:szCs w:val="18"/>
                <w:color w:val="auto"/>
              </w:rPr>
              <w:t>(Address of principal executive offices)</w:t>
            </w:r>
          </w:p>
        </w:tc>
        <w:tc>
          <w:tcPr>
            <w:tcW w:w="1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Pr>
          <w:p>
            <w:pPr>
              <w:jc w:val="center"/>
              <w:ind w:left="570"/>
              <w:spacing w:after="0"/>
              <w:rPr>
                <w:sz w:val="20"/>
                <w:szCs w:val="20"/>
                <w:color w:val="auto"/>
              </w:rPr>
            </w:pPr>
            <w:r>
              <w:rPr>
                <w:rFonts w:ascii="Arial" w:cs="Arial" w:eastAsia="Arial" w:hAnsi="Arial"/>
                <w:sz w:val="18"/>
                <w:szCs w:val="18"/>
                <w:color w:val="auto"/>
                <w:w w:val="94"/>
              </w:rPr>
              <w:t>(Zip Code)</w:t>
            </w:r>
          </w:p>
        </w:tc>
      </w:tr>
      <w:tr>
        <w:trPr>
          <w:trHeight w:val="392"/>
        </w:trPr>
        <w:tc>
          <w:tcPr>
            <w:tcW w:w="2460" w:type="dxa"/>
            <w:vAlign w:val="bottom"/>
          </w:tcPr>
          <w:p>
            <w:pPr>
              <w:spacing w:after="0"/>
              <w:rPr>
                <w:sz w:val="24"/>
                <w:szCs w:val="24"/>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(801) 975-7200</w:t>
            </w:r>
          </w:p>
        </w:tc>
        <w:tc>
          <w:tcPr>
            <w:tcW w:w="18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496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ind w:right="-211"/>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2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132"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52" w:hanging="152"/>
        <w:spacing w:after="0"/>
        <w:tabs>
          <w:tab w:leader="none" w:pos="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52" w:hanging="152"/>
        <w:spacing w:after="0"/>
        <w:tabs>
          <w:tab w:leader="none" w:pos="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52" w:hanging="152"/>
        <w:spacing w:after="0"/>
        <w:tabs>
          <w:tab w:leader="none" w:pos="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52" w:hanging="152"/>
        <w:spacing w:after="0"/>
        <w:tabs>
          <w:tab w:leader="none" w:pos="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left="132" w:right="36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47" w:lineRule="exact"/>
        <w:rPr>
          <w:sz w:val="24"/>
          <w:szCs w:val="24"/>
          <w:color w:val="auto"/>
        </w:rPr>
      </w:pPr>
    </w:p>
    <w:p>
      <w:pPr>
        <w:ind w:left="132"/>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12"/>
          </w:cols>
          <w:pgMar w:left="248" w:top="877"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On May 16, 2018, ClearOne, Inc. (the “Company”) received a letter from NASDAQ Stock Market stating that the Company no longer complies with NASDAQ Listing Rule 5250(c)(1) as a result of the Company’s delay in filing its Form 10-Q for the three months ended March 31, 2018. The letter was issued by NASDAQ under NASDAQ Listing Rule 5810(c)(2) for the Company’s failure to comply with NASDAQ Listing Rule 5250(c)(1). The Company has 60 calendar days, or until July 16, 2018, to submit to NASDAQ a plan (the “Plan”) to regain compliance with the NASDAQ Listing Rules. The Company intends to file its Quarterly Report with SEC as soon as possible and before the plan has to be submitted to NASDAQ to regain compliance.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140"/>
          </w:cols>
          <w:pgMar w:left="380" w:top="580" w:right="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both"/>
        <w:ind w:left="20"/>
        <w:spacing w:after="0" w:line="313" w:lineRule="auto"/>
        <w:rPr>
          <w:sz w:val="20"/>
          <w:szCs w:val="20"/>
          <w:color w:val="auto"/>
        </w:rPr>
      </w:pPr>
      <w:r>
        <w:rPr>
          <w:rFonts w:ascii="Arial" w:cs="Arial" w:eastAsia="Arial" w:hAnsi="Arial"/>
          <w:sz w:val="17"/>
          <w:szCs w:val="17"/>
          <w:b w:val="1"/>
          <w:bCs w:val="1"/>
          <w:color w:val="auto"/>
        </w:rPr>
        <w:t xml:space="preserve">Exhibit No. </w:t>
      </w: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May 18, 2018 titled “ClearOne Receives NASDAQ Deficiency Notification Letter”.</w:t>
      </w:r>
    </w:p>
    <w:p>
      <w:pPr>
        <w:spacing w:after="0" w:line="291" w:lineRule="exact"/>
        <w:rPr>
          <w:sz w:val="20"/>
          <w:szCs w:val="20"/>
          <w:color w:val="auto"/>
        </w:rPr>
      </w:pPr>
    </w:p>
    <w:p>
      <w:pPr>
        <w:sectPr>
          <w:pgSz w:w="11900" w:h="16838" w:orient="portrait"/>
          <w:cols w:equalWidth="0" w:num="2">
            <w:col w:w="920" w:space="500"/>
            <w:col w:w="9720"/>
          </w:cols>
          <w:pgMar w:left="380" w:top="580" w:right="379" w:bottom="1440" w:gutter="0" w:footer="0" w:header="0"/>
          <w:type w:val="continuous"/>
        </w:sectPr>
      </w:pP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included in this Current Report on Form 8-K (including the exhibit hereto) is being furnished under Item 3.01, “Notice of Delisting or Failure to Satisfy a Continued Listing Rule or Standard; Transfer of Listing”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type w:val="continuous"/>
        </w:sectPr>
      </w:pPr>
    </w:p>
    <w:bookmarkStart w:id="2" w:name="page3"/>
    <w:bookmarkEnd w:id="2"/>
    <w:p>
      <w:pPr>
        <w:ind w:left="50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180" w:type="dxa"/>
            <w:vAlign w:val="bottom"/>
          </w:tcPr>
          <w:p>
            <w:pPr>
              <w:ind w:left="2580"/>
              <w:spacing w:after="0"/>
              <w:rPr>
                <w:sz w:val="20"/>
                <w:szCs w:val="20"/>
                <w:color w:val="auto"/>
              </w:rPr>
            </w:pPr>
            <w:r>
              <w:rPr>
                <w:rFonts w:ascii="Arial" w:cs="Arial" w:eastAsia="Arial" w:hAnsi="Arial"/>
                <w:sz w:val="18"/>
                <w:szCs w:val="18"/>
                <w:color w:val="auto"/>
              </w:rPr>
              <w:t>ClearOne, Inc.,</w:t>
            </w:r>
          </w:p>
        </w:tc>
      </w:tr>
      <w:tr>
        <w:trPr>
          <w:trHeight w:val="230"/>
        </w:trPr>
        <w:tc>
          <w:tcPr>
            <w:tcW w:w="3080" w:type="dxa"/>
            <w:vAlign w:val="bottom"/>
          </w:tcPr>
          <w:p>
            <w:pPr>
              <w:spacing w:after="0"/>
              <w:rPr>
                <w:sz w:val="20"/>
                <w:szCs w:val="20"/>
                <w:color w:val="auto"/>
              </w:rPr>
            </w:pPr>
          </w:p>
        </w:tc>
        <w:tc>
          <w:tcPr>
            <w:tcW w:w="4180" w:type="dxa"/>
            <w:vAlign w:val="bottom"/>
          </w:tcPr>
          <w:p>
            <w:pPr>
              <w:ind w:left="2580"/>
              <w:spacing w:after="0"/>
              <w:rPr>
                <w:sz w:val="20"/>
                <w:szCs w:val="20"/>
                <w:color w:val="auto"/>
              </w:rPr>
            </w:pPr>
            <w:r>
              <w:rPr>
                <w:rFonts w:ascii="Arial" w:cs="Arial" w:eastAsia="Arial" w:hAnsi="Arial"/>
                <w:sz w:val="18"/>
                <w:szCs w:val="18"/>
                <w:color w:val="auto"/>
              </w:rPr>
              <w:t>(Registrant)</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May 16, 2018</w:t>
            </w:r>
          </w:p>
        </w:tc>
        <w:tc>
          <w:tcPr>
            <w:tcW w:w="4180" w:type="dxa"/>
            <w:vAlign w:val="bottom"/>
          </w:tcPr>
          <w:p>
            <w:pPr>
              <w:ind w:left="2080"/>
              <w:spacing w:after="0"/>
              <w:rPr>
                <w:sz w:val="20"/>
                <w:szCs w:val="20"/>
                <w:color w:val="auto"/>
              </w:rPr>
            </w:pPr>
            <w:r>
              <w:rPr>
                <w:rFonts w:ascii="Arial" w:cs="Arial" w:eastAsia="Arial" w:hAnsi="Arial"/>
                <w:sz w:val="18"/>
                <w:szCs w:val="18"/>
                <w:color w:val="auto"/>
                <w:w w:val="96"/>
              </w:rPr>
              <w:t>By:   /s/ Zeynep Hakimoglu</w:t>
            </w:r>
          </w:p>
        </w:tc>
      </w:tr>
      <w:tr>
        <w:trPr>
          <w:trHeight w:val="230"/>
        </w:trPr>
        <w:tc>
          <w:tcPr>
            <w:tcW w:w="3080" w:type="dxa"/>
            <w:vAlign w:val="bottom"/>
          </w:tcPr>
          <w:p>
            <w:pPr>
              <w:spacing w:after="0"/>
              <w:rPr>
                <w:sz w:val="20"/>
                <w:szCs w:val="20"/>
                <w:color w:val="auto"/>
              </w:rPr>
            </w:pPr>
          </w:p>
        </w:tc>
        <w:tc>
          <w:tcPr>
            <w:tcW w:w="4180" w:type="dxa"/>
            <w:vAlign w:val="bottom"/>
          </w:tcPr>
          <w:p>
            <w:pPr>
              <w:ind w:left="2580"/>
              <w:spacing w:after="0"/>
              <w:rPr>
                <w:sz w:val="20"/>
                <w:szCs w:val="20"/>
                <w:color w:val="auto"/>
              </w:rPr>
            </w:pPr>
            <w:r>
              <w:rPr>
                <w:rFonts w:ascii="Arial" w:cs="Arial" w:eastAsia="Arial" w:hAnsi="Arial"/>
                <w:sz w:val="18"/>
                <w:szCs w:val="18"/>
                <w:color w:val="auto"/>
              </w:rPr>
              <w:t>Zeynep Hakimoglu</w:t>
            </w:r>
          </w:p>
        </w:tc>
      </w:tr>
    </w:tbl>
    <w:p>
      <w:pPr>
        <w:ind w:left="56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280"/>
          </w:cols>
          <w:pgMar w:left="380" w:top="580"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292100</wp:posOffset>
            </wp:positionV>
            <wp:extent cx="120078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7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ClearOne Receives NASDAQ Deficiency Notification Letter</w:t>
      </w:r>
    </w:p>
    <w:p>
      <w:pPr>
        <w:spacing w:after="0" w:line="200" w:lineRule="exact"/>
        <w:rPr>
          <w:sz w:val="20"/>
          <w:szCs w:val="20"/>
          <w:color w:val="auto"/>
        </w:rPr>
      </w:pPr>
    </w:p>
    <w:p>
      <w:pPr>
        <w:spacing w:after="0" w:line="24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SALT LAKE CITY, Utah – May 18, 2018 /PRNewswire/ -- ClearOne (NASDAQ: CLRO</w:t>
      </w:r>
      <w:r>
        <w:rPr>
          <w:rFonts w:ascii="Arial" w:cs="Arial" w:eastAsia="Arial" w:hAnsi="Arial"/>
          <w:sz w:val="18"/>
          <w:szCs w:val="18"/>
          <w:color w:val="auto"/>
        </w:rPr>
        <w:t>), a global provider of audio and visual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in accordance with NASDAQ Rules, that it received a notification letter from staff of the NASDAQ Listing Qualifications Department, dated May 16, 2018, stating that ClearOne is not in compliance with NASDAQ Listing Rule 5250(c)(1), which requires timely filing of periodic reports with the Securities and Exchange Commission (SEC). The letter was issued in accordance with standard NASDAQ procedure under NASDAQ Listing Rules.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announced, the filing of ClearOne’s Quarterly Report on Form 10-Q for the three months ended March 31, 2018 (the "Quarterly Report") was delayed as the company needs additional time to complete the Quarterly Report. The delay in filing our Annual Report for the year ended December 31, 2017 impacted the timeliness of filing our Quarterly Report. The company intends to file its Quarterly Report with the SEC as soon as possible and continues to work diligently to finalize its financial statements.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ClearOne has 60 calendar days, or until July 16, 2018, to submit to NASDAQ a plan to regain compliance with the NASDAQ Listing Rules. As previously discussed, ClearOne intends to file its Quarterly Report with SEC as soon as possible and before the plan has to be submitted to NASDAQ to regain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sectPr>
      <w:pgSz w:w="11900" w:h="16838" w:orient="portrait"/>
      <w:cols w:equalWidth="0" w:num="1">
        <w:col w:w="11140"/>
      </w:cols>
      <w:pgMar w:left="38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2019-12-05T20:12:56Z</dcterms:created>
  <dcterms:modified xsi:type="dcterms:W3CDTF">2019-12-05T20:12:56Z</dcterms:modified>
</cp:coreProperties>
</file>