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10, 2018</w:t>
      </w:r>
      <w:r>
        <w:rPr>
          <w:rFonts w:ascii="Arial" w:cs="Arial" w:eastAsia="Arial" w:hAnsi="Arial"/>
          <w:sz w:val="18"/>
          <w:szCs w:val="18"/>
          <w:color w:val="auto"/>
        </w:rPr>
        <w:t xml:space="preserve"> </w:t>
      </w:r>
      <w:r>
        <w:rPr>
          <w:rFonts w:ascii="Arial" w:cs="Arial" w:eastAsia="Arial" w:hAnsi="Arial"/>
          <w:sz w:val="18"/>
          <w:szCs w:val="18"/>
          <w:b w:val="1"/>
          <w:bCs w:val="1"/>
          <w:color w:val="auto"/>
        </w:rPr>
        <w:t>(January 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Utah</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3"/>
          </w:tcPr>
          <w:p>
            <w:pPr>
              <w:jc w:val="center"/>
              <w:ind w:right="13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jc w:val="center"/>
              <w:ind w:right="15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780" w:type="dxa"/>
            <w:vAlign w:val="bottom"/>
            <w:gridSpan w:val="8"/>
          </w:tcPr>
          <w:p>
            <w:pPr>
              <w:ind w:left="1760"/>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2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(Address of principal executive offices)</w:t>
            </w:r>
          </w:p>
        </w:tc>
        <w:tc>
          <w:tcPr>
            <w:tcW w:w="1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6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2"/>
              </w:rPr>
              <w:t>(801)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7"/>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January 4, 2018 (the “Separation Date”), ClearOne, Inc. (the “Company”) terminated Michael Braithwaite as the Company’s Senior Vice President - Network Streaming Business and an employee of the Company. In connection with Mr. Braithwaite’s separation from the Company, on January 9, 2018 Mr. Braithwaite entered into a Confidential Separation Agreement and General Release with the Company (the “Separation Agreement”).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Separation Agreement, Mr. Braithwaite was paid all unpaid base salary and accrued but unused vacation time through the Separation Date. Provided that the Separation Agreement has not been revoked by Mr. Braithwaite prior to the expiration of the seven day revocation period described below, the Company will pay Mr. Braithwaite cash severance of $52,355.85 as additional consideration for the release of claims referenced below. The foregoing amounts will be paid less state and federal taxes and other withholding requirements of the Company. Provided that the Separation Agreement is not revoked by Mr. Braithwaite as described below, the agreement provides for a general release of claims against the Company by Mr. Braithwaite, subject to certain customary exceptions set forth in the Separation Agreement.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applicable law, Mr. Braithwaite has a period of seven calendar days to revoke the Separation Agreement by providing the Company with written notice of such revocation. Any revocation of the Separation Agreement, however, shall not affect the finality of the separation of Mr. Braithwaite’s employment with the Company on the Separation Date.</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Item 1.01 of this Form 8-K above,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January 10,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2019-12-05T19:50:30Z</dcterms:created>
  <dcterms:modified xsi:type="dcterms:W3CDTF">2019-12-05T19:50:30Z</dcterms:modified>
</cp:coreProperties>
</file>