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335"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333-195591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19, 2014)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CLEARONE,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150,000 Shares of Common Stock</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Offered by a Selling Shareholder</w:t>
      </w:r>
    </w:p>
    <w:p>
      <w:pPr>
        <w:spacing w:after="0" w:line="211" w:lineRule="exact"/>
        <w:rPr>
          <w:sz w:val="24"/>
          <w:szCs w:val="24"/>
          <w:color w:val="auto"/>
        </w:rPr>
      </w:pPr>
    </w:p>
    <w:p>
      <w:pPr>
        <w:ind w:right="440" w:firstLine="456"/>
        <w:spacing w:after="0" w:line="286" w:lineRule="auto"/>
        <w:rPr>
          <w:sz w:val="20"/>
          <w:szCs w:val="20"/>
          <w:color w:val="auto"/>
        </w:rPr>
      </w:pPr>
      <w:r>
        <w:rPr>
          <w:rFonts w:ascii="Arial" w:cs="Arial" w:eastAsia="Arial" w:hAnsi="Arial"/>
          <w:sz w:val="17"/>
          <w:szCs w:val="17"/>
          <w:color w:val="auto"/>
        </w:rPr>
        <w:t>This prospectus supplement relates to the offering from time to time of 150,000 shares of our common stock, all of which are being offered by the shareholder listed under the heading “Selling Shareholder.” We will not receive any of the proceeds from the sales of common stock by the selling shareholder. The selling shareholder may sell its shares at prevailing market prices or privately negotiated prices.</w:t>
      </w:r>
    </w:p>
    <w:p>
      <w:pPr>
        <w:spacing w:after="0" w:line="166"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“CLRO.” As of May 19, 2014, the closing sale price of our common stock as reported on NASDAQ was $9.61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5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risks. See the “</w:t>
      </w:r>
      <w:hyperlink w:anchor="page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of our filings with the Securities and Exchange Commission and page 3 of this prospectus supplement for certain factors you should consider before making an investment decision.</w:t>
      </w:r>
    </w:p>
    <w:p>
      <w:pPr>
        <w:spacing w:after="0" w:line="186" w:lineRule="exact"/>
        <w:rPr>
          <w:sz w:val="24"/>
          <w:szCs w:val="24"/>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This prospectus may not be used to consummate sales of securities unless accompanied by a prospectus supplement.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May 21, 2014</w:t>
      </w:r>
    </w:p>
    <w:p>
      <w:pPr>
        <w:sectPr>
          <w:pgSz w:w="11900" w:h="16838" w:orient="portrait"/>
          <w:cols w:equalWidth="0" w:num="1">
            <w:col w:w="11420"/>
          </w:cols>
          <w:pgMar w:left="240" w:top="2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6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89"/>
              </w:rPr>
              <w:t>Table of Contents</w:t>
            </w:r>
          </w:p>
        </w:tc>
        <w:tc>
          <w:tcPr>
            <w:tcW w:w="23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PROSPECTUS SUPPLEMENT</w:t>
            </w:r>
          </w:p>
        </w:tc>
        <w:tc>
          <w:tcPr>
            <w:tcW w:w="2360" w:type="dxa"/>
            <w:vAlign w:val="bottom"/>
          </w:tcPr>
          <w:p>
            <w:pPr>
              <w:spacing w:after="0"/>
              <w:rPr>
                <w:sz w:val="24"/>
                <w:szCs w:val="24"/>
                <w:color w:val="auto"/>
              </w:rPr>
            </w:pPr>
          </w:p>
        </w:tc>
      </w:tr>
      <w:tr>
        <w:trPr>
          <w:trHeight w:val="419"/>
        </w:trPr>
        <w:tc>
          <w:tcPr>
            <w:tcW w:w="8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3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THE COMPANY</w:t>
              </w:r>
            </w:hyperlink>
          </w:p>
        </w:tc>
        <w:tc>
          <w:tcPr>
            <w:tcW w:w="5520" w:type="dxa"/>
            <w:vAlign w:val="bottom"/>
            <w:gridSpan w:val="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680" w:type="dxa"/>
            <w:vAlign w:val="bottom"/>
            <w:gridSpan w:val="1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58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CAUTIONARY NOTE REGARDING FORWARD-LOOKING STATEMENTS</w:t>
              </w:r>
            </w:hyperlink>
          </w:p>
        </w:tc>
        <w:tc>
          <w:tcPr>
            <w:tcW w:w="316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DESCRIPTION OF CAPITAL STOCK</w:t>
              </w:r>
            </w:hyperlink>
          </w:p>
        </w:tc>
        <w:tc>
          <w:tcPr>
            <w:tcW w:w="6080" w:type="dxa"/>
            <w:vAlign w:val="bottom"/>
            <w:gridSpan w:val="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SHAREHOLDER</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PLAN OF DISTRIBUTION</w:t>
              </w:r>
            </w:hyperlink>
          </w:p>
        </w:tc>
        <w:tc>
          <w:tcPr>
            <w:tcW w:w="60" w:type="dxa"/>
            <w:vAlign w:val="bottom"/>
            <w:tcBorders>
              <w:top w:val="single" w:sz="8" w:color="0000EE"/>
            </w:tcBorders>
          </w:tcPr>
          <w:p>
            <w:pPr>
              <w:spacing w:after="0"/>
              <w:rPr>
                <w:sz w:val="17"/>
                <w:szCs w:val="17"/>
                <w:color w:val="auto"/>
              </w:rPr>
            </w:pPr>
          </w:p>
        </w:tc>
        <w:tc>
          <w:tcPr>
            <w:tcW w:w="6840" w:type="dxa"/>
            <w:vAlign w:val="bottom"/>
            <w:gridSpan w:val="10"/>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500" w:type="dxa"/>
            <w:vAlign w:val="bottom"/>
            <w:gridSpan w:val="1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INFORMATION INCORPORATED BY REFERENCE</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920" w:type="dxa"/>
            <w:vAlign w:val="bottom"/>
            <w:gridSpan w:val="2"/>
          </w:tcPr>
          <w:p>
            <w:pPr>
              <w:ind w:left="720"/>
              <w:spacing w:after="0"/>
              <w:rPr>
                <w:sz w:val="20"/>
                <w:szCs w:val="20"/>
                <w:color w:val="auto"/>
              </w:rPr>
            </w:pPr>
            <w:r>
              <w:rPr>
                <w:rFonts w:ascii="Arial" w:cs="Arial" w:eastAsia="Arial" w:hAnsi="Arial"/>
                <w:sz w:val="18"/>
                <w:szCs w:val="18"/>
                <w:b w:val="1"/>
                <w:bCs w:val="1"/>
                <w:color w:val="auto"/>
              </w:rPr>
              <w:t>PROSPECTUS</w:t>
            </w:r>
          </w:p>
        </w:tc>
        <w:tc>
          <w:tcPr>
            <w:tcW w:w="2360" w:type="dxa"/>
            <w:vAlign w:val="bottom"/>
          </w:tcPr>
          <w:p>
            <w:pPr>
              <w:spacing w:after="0"/>
              <w:rPr>
                <w:sz w:val="24"/>
                <w:szCs w:val="24"/>
                <w:color w:val="auto"/>
              </w:rPr>
            </w:pPr>
          </w:p>
        </w:tc>
      </w:tr>
      <w:tr>
        <w:trPr>
          <w:trHeight w:val="392"/>
        </w:trPr>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ABOUT THIS PROSPECTUS</w:t>
              </w:r>
            </w:hyperlink>
          </w:p>
        </w:tc>
        <w:tc>
          <w:tcPr>
            <w:tcW w:w="6720" w:type="dxa"/>
            <w:vAlign w:val="bottom"/>
            <w:gridSpan w:val="9"/>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THE COMPANY</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680" w:type="dxa"/>
            <w:vAlign w:val="bottom"/>
            <w:gridSpan w:val="1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8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CAUTIONARY NOTE REGARDING FORWARD-LOOKING STATEMENTS</w:t>
              </w:r>
            </w:hyperlink>
          </w:p>
        </w:tc>
        <w:tc>
          <w:tcPr>
            <w:tcW w:w="316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DEBT SECURITIES</w:t>
              </w:r>
            </w:hyperlink>
          </w:p>
        </w:tc>
        <w:tc>
          <w:tcPr>
            <w:tcW w:w="5920" w:type="dxa"/>
            <w:vAlign w:val="bottom"/>
            <w:gridSpan w:val="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DESCRIPTION OF CAPITAL STOCK</w:t>
              </w:r>
            </w:hyperlink>
          </w:p>
        </w:tc>
        <w:tc>
          <w:tcPr>
            <w:tcW w:w="6080" w:type="dxa"/>
            <w:vAlign w:val="bottom"/>
            <w:gridSpan w:val="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DESCRIPTION OF SECURITIES WARRANTS</w:t>
              </w:r>
            </w:hyperlink>
          </w:p>
        </w:tc>
        <w:tc>
          <w:tcPr>
            <w:tcW w:w="5400" w:type="dxa"/>
            <w:vAlign w:val="bottom"/>
            <w:gridSpan w:val="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48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SUBSCRIPTION RIGHTS</w:t>
              </w:r>
            </w:hyperlink>
          </w:p>
        </w:tc>
        <w:tc>
          <w:tcPr>
            <w:tcW w:w="5480" w:type="dxa"/>
            <w:vAlign w:val="bottom"/>
            <w:gridSpan w:val="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SHAREHOLDER</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PLAN OF DISTRIBUTION</w:t>
              </w:r>
            </w:hyperlink>
          </w:p>
        </w:tc>
        <w:tc>
          <w:tcPr>
            <w:tcW w:w="60" w:type="dxa"/>
            <w:vAlign w:val="bottom"/>
            <w:tcBorders>
              <w:top w:val="single" w:sz="8" w:color="0000EE"/>
            </w:tcBorders>
          </w:tcPr>
          <w:p>
            <w:pPr>
              <w:spacing w:after="0"/>
              <w:rPr>
                <w:sz w:val="17"/>
                <w:szCs w:val="17"/>
                <w:color w:val="auto"/>
              </w:rPr>
            </w:pPr>
          </w:p>
        </w:tc>
        <w:tc>
          <w:tcPr>
            <w:tcW w:w="6840" w:type="dxa"/>
            <w:vAlign w:val="bottom"/>
            <w:gridSpan w:val="10"/>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500" w:type="dxa"/>
            <w:vAlign w:val="bottom"/>
            <w:gridSpan w:val="1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82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INFORMATION INCORPORATED BY REFERENCE</w:t>
              </w:r>
            </w:hyperlink>
          </w:p>
        </w:tc>
        <w:tc>
          <w:tcPr>
            <w:tcW w:w="4920" w:type="dxa"/>
            <w:vAlign w:val="bottom"/>
            <w:gridSpan w:val="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81" w:lineRule="auto"/>
        <w:rPr>
          <w:sz w:val="20"/>
          <w:szCs w:val="20"/>
          <w:color w:val="auto"/>
        </w:rPr>
      </w:pPr>
      <w:r>
        <w:rPr>
          <w:rFonts w:ascii="Arial" w:cs="Arial" w:eastAsia="Arial" w:hAnsi="Arial"/>
          <w:sz w:val="17"/>
          <w:szCs w:val="17"/>
          <w:b w:val="1"/>
          <w:bCs w:val="1"/>
          <w:color w:val="auto"/>
        </w:rPr>
        <w:t>You should rely only on information contained in this prospectus and any prospectus supplement and those documents incorporated by reference herein. We have not authorized anyone else to provide you with different information. Neither we nor the selling security holders are making an offer of these securities in any state where the offer is not permitted. You should not assume that the information in this prospectus or any prospectus supplement is accurate as of any date other than the date on the front cover of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This prospectus and prospectus supplement are part of a “shelf” registration statement that we filed with the Securities and Exchange Commission, which we refer to as the “SEC”. Under this registration statement, the selling shareholder may sell from time to time up to 150,000 shares of our common stock.</w:t>
      </w:r>
    </w:p>
    <w:p>
      <w:pPr>
        <w:spacing w:after="0" w:line="181" w:lineRule="exact"/>
        <w:rPr>
          <w:sz w:val="20"/>
          <w:szCs w:val="20"/>
          <w:color w:val="auto"/>
        </w:rPr>
      </w:pPr>
    </w:p>
    <w:p>
      <w:pPr>
        <w:ind w:right="80" w:firstLine="1484"/>
        <w:spacing w:after="0" w:line="25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our common stock by the selling shareholder. The second part is the accompanying prospectus, which gives more general information, some of which may not apply to this offering of our common stock by the selling shareholder. Each time we or the selling shareholder sell securities under the registration statement, we will provide a supplement to the prospectus that will contain specific information about the terms of that offering. If the information about the common stock offering by the selling shareholder varies between this prospectus supplement and the accompanying prospectus, you should rely on the information in this prospectus supplement.</w:t>
      </w:r>
    </w:p>
    <w:p>
      <w:pPr>
        <w:spacing w:after="0" w:line="193" w:lineRule="exact"/>
        <w:rPr>
          <w:sz w:val="20"/>
          <w:szCs w:val="20"/>
          <w:color w:val="auto"/>
        </w:rPr>
      </w:pPr>
    </w:p>
    <w:p>
      <w:pPr>
        <w:ind w:right="200" w:firstLine="1484"/>
        <w:spacing w:after="0" w:line="297" w:lineRule="auto"/>
        <w:rPr>
          <w:sz w:val="20"/>
          <w:szCs w:val="20"/>
          <w:color w:val="auto"/>
        </w:rPr>
      </w:pPr>
      <w:r>
        <w:rPr>
          <w:rFonts w:ascii="Arial" w:cs="Arial" w:eastAsia="Arial" w:hAnsi="Arial"/>
          <w:sz w:val="16"/>
          <w:szCs w:val="16"/>
          <w:color w:val="auto"/>
        </w:rPr>
        <w:t>You should rely only on the information contained in this prospectus supplement and in the accompanying prospectus, including any information incorporated by reference. We have not authorized any other person to provide you with different information. If anyone provides you with different or inconsistent information, you should not rely on it. You should not assume that the information appearing in this prospectus supplement and the accompanying prospectus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158" w:lineRule="exact"/>
        <w:rPr>
          <w:sz w:val="20"/>
          <w:szCs w:val="20"/>
          <w:color w:val="auto"/>
        </w:rPr>
      </w:pPr>
    </w:p>
    <w:p>
      <w:pPr>
        <w:ind w:right="40" w:firstLine="1484"/>
        <w:spacing w:after="0" w:line="302" w:lineRule="auto"/>
        <w:rPr>
          <w:sz w:val="20"/>
          <w:szCs w:val="20"/>
          <w:color w:val="auto"/>
        </w:rPr>
      </w:pPr>
      <w:r>
        <w:rPr>
          <w:rFonts w:ascii="Arial" w:cs="Arial" w:eastAsia="Arial" w:hAnsi="Arial"/>
          <w:sz w:val="16"/>
          <w:szCs w:val="16"/>
          <w:color w:val="auto"/>
        </w:rPr>
        <w:t>The distribution of this prospectus supplement and the accompanying prospectus may be restricted by law in certain jurisdictions. You should inform yourself about and observe any of these restrictions. This prospectus supplement and the accompanying prospectus do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Information contained on or accessible through our website does not constitute part of this prospectus supplement or the prospectus.</w:t>
      </w:r>
    </w:p>
    <w:p>
      <w:pPr>
        <w:spacing w:after="0" w:line="248" w:lineRule="exact"/>
        <w:rPr>
          <w:sz w:val="20"/>
          <w:szCs w:val="20"/>
          <w:color w:val="auto"/>
        </w:rPr>
      </w:pPr>
    </w:p>
    <w:p>
      <w:pPr>
        <w:ind w:right="120" w:firstLine="1484"/>
        <w:spacing w:after="0" w:line="286" w:lineRule="auto"/>
        <w:rPr>
          <w:sz w:val="20"/>
          <w:szCs w:val="20"/>
          <w:color w:val="auto"/>
        </w:rPr>
      </w:pPr>
      <w:r>
        <w:rPr>
          <w:rFonts w:ascii="Arial" w:cs="Arial" w:eastAsia="Arial" w:hAnsi="Arial"/>
          <w:sz w:val="17"/>
          <w:szCs w:val="17"/>
          <w:color w:val="auto"/>
        </w:rPr>
        <w:t>When used in this prospectus or in any prospectus supplement, the terms “we,” “us,” “our,” “ClearOne” and “the Company” refer to ClearOne, Inc., a Utah corporation, and its subsidiaries (unless the context indicates another meaning). The phrase “this prospectus” refers to this prospectus supplement and the accompanying prospectus, and any further supplements thereto, unless the context otherwise requires.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i w:val="1"/>
          <w:iCs w:val="1"/>
          <w:color w:val="auto"/>
        </w:rPr>
        <w:t>This is only a summary and does not contain all the information that may be important to you. You should carefully read the more detailed information contained in this prospectus, together with the additional information described in this prospectus under the headings “Where You Can Find More Information” and “Information Incorporated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121"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offices in Austin, Texas, Corvallis, Oregon, Hong Kong, the United Kingdom and Israel.</w:t>
      </w:r>
    </w:p>
    <w:p>
      <w:pPr>
        <w:spacing w:after="0" w:line="170" w:lineRule="exact"/>
        <w:rPr>
          <w:sz w:val="20"/>
          <w:szCs w:val="20"/>
          <w:color w:val="auto"/>
        </w:rPr>
      </w:pPr>
    </w:p>
    <w:p>
      <w:pPr>
        <w:ind w:right="480" w:firstLine="1484"/>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firstLine="1077"/>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currently participate in the following markets:</w:t>
      </w:r>
    </w:p>
    <w:p>
      <w:pPr>
        <w:spacing w:after="0" w:line="131" w:lineRule="exact"/>
        <w:rPr>
          <w:sz w:val="20"/>
          <w:szCs w:val="20"/>
          <w:color w:val="auto"/>
        </w:rPr>
      </w:pPr>
    </w:p>
    <w:p>
      <w:pPr>
        <w:ind w:left="2380" w:hanging="319"/>
        <w:spacing w:after="0"/>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 and collaboration;</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Professional microphones;</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Multimedia streaming and control; and</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Our business goals are to:</w:t>
      </w:r>
    </w:p>
    <w:p>
      <w:pPr>
        <w:spacing w:after="0" w:line="131" w:lineRule="exact"/>
        <w:rPr>
          <w:sz w:val="20"/>
          <w:szCs w:val="20"/>
          <w:color w:val="auto"/>
        </w:rPr>
      </w:pPr>
    </w:p>
    <w:p>
      <w:pPr>
        <w:ind w:left="2380" w:hanging="319"/>
        <w:spacing w:after="0"/>
        <w:tabs>
          <w:tab w:leader="none" w:pos="2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Maintain our leading global market share in professional audio conferencing products for large businesses and organizations;</w:t>
      </w:r>
    </w:p>
    <w:p>
      <w:pPr>
        <w:spacing w:after="0" w:line="153" w:lineRule="exact"/>
        <w:rPr>
          <w:rFonts w:ascii="Arial" w:cs="Arial" w:eastAsia="Arial" w:hAnsi="Arial"/>
          <w:sz w:val="16"/>
          <w:szCs w:val="16"/>
          <w:color w:val="auto"/>
        </w:rPr>
      </w:pPr>
    </w:p>
    <w:p>
      <w:pPr>
        <w:ind w:left="2380" w:right="200" w:hanging="319"/>
        <w:spacing w:after="0" w:line="277" w:lineRule="auto"/>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we recently acquired to enter new growth markets;</w:t>
      </w:r>
    </w:p>
    <w:p>
      <w:pPr>
        <w:spacing w:after="0" w:line="75" w:lineRule="exact"/>
        <w:rPr>
          <w:rFonts w:ascii="Arial" w:cs="Arial" w:eastAsia="Arial" w:hAnsi="Arial"/>
          <w:sz w:val="18"/>
          <w:szCs w:val="18"/>
          <w:color w:val="auto"/>
        </w:rPr>
      </w:pPr>
    </w:p>
    <w:p>
      <w:pPr>
        <w:ind w:left="2380" w:hanging="319"/>
        <w:spacing w:after="0"/>
        <w:tabs>
          <w:tab w:leader="none" w:pos="2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Focus on the small and medium business (SMB) market with scaled, lower cost and less complex products and solutions;</w:t>
      </w:r>
    </w:p>
    <w:p>
      <w:pPr>
        <w:spacing w:after="0" w:line="153" w:lineRule="exact"/>
        <w:rPr>
          <w:rFonts w:ascii="Arial" w:cs="Arial" w:eastAsia="Arial" w:hAnsi="Arial"/>
          <w:sz w:val="16"/>
          <w:szCs w:val="16"/>
          <w:color w:val="auto"/>
        </w:rPr>
      </w:pPr>
    </w:p>
    <w:p>
      <w:pPr>
        <w:ind w:left="2380" w:right="260" w:hanging="319"/>
        <w:spacing w:after="0" w:line="277" w:lineRule="auto"/>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Capitalize on the growing adoption of unified communications and introduce new products through emerging information technology channels;</w:t>
      </w:r>
    </w:p>
    <w:p>
      <w:pPr>
        <w:spacing w:after="0" w:line="75" w:lineRule="exact"/>
        <w:rPr>
          <w:rFonts w:ascii="Arial" w:cs="Arial" w:eastAsia="Arial" w:hAnsi="Arial"/>
          <w:sz w:val="18"/>
          <w:szCs w:val="18"/>
          <w:color w:val="auto"/>
        </w:rPr>
      </w:pPr>
    </w:p>
    <w:p>
      <w:pPr>
        <w:ind w:left="2380" w:hanging="319"/>
        <w:spacing w:after="0" w:line="277" w:lineRule="auto"/>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75" w:lineRule="exact"/>
        <w:rPr>
          <w:rFonts w:ascii="Arial" w:cs="Arial" w:eastAsia="Arial" w:hAnsi="Arial"/>
          <w:sz w:val="18"/>
          <w:szCs w:val="18"/>
          <w:color w:val="auto"/>
        </w:rPr>
      </w:pPr>
    </w:p>
    <w:p>
      <w:pPr>
        <w:ind w:left="2380" w:hanging="319"/>
        <w:spacing w:after="0"/>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31" w:lineRule="exact"/>
        <w:rPr>
          <w:sz w:val="20"/>
          <w:szCs w:val="20"/>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32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Company Offices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Our principle executive offices are located at 5225 Wiley Post Way, Suite 500, Salt Lake City, Utah 84116 and our telephone number is</w:t>
      </w:r>
    </w:p>
    <w:p>
      <w:pPr>
        <w:spacing w:after="0" w:line="46" w:lineRule="exact"/>
        <w:rPr>
          <w:sz w:val="20"/>
          <w:szCs w:val="20"/>
          <w:color w:val="auto"/>
        </w:rPr>
      </w:pPr>
    </w:p>
    <w:p>
      <w:pPr>
        <w:ind w:left="5580" w:right="1280" w:hanging="5572"/>
        <w:spacing w:after="0" w:line="433" w:lineRule="auto"/>
        <w:tabs>
          <w:tab w:leader="none" w:pos="43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975-7200. Our website address is </w:t>
      </w:r>
      <w:r>
        <w:rPr>
          <w:rFonts w:ascii="Arial" w:cs="Arial" w:eastAsia="Arial" w:hAnsi="Arial"/>
          <w:sz w:val="18"/>
          <w:szCs w:val="18"/>
          <w:i w:val="1"/>
          <w:iCs w:val="1"/>
          <w:color w:val="auto"/>
        </w:rPr>
        <w:t>www.clearone.com</w:t>
      </w:r>
      <w:r>
        <w:rPr>
          <w:rFonts w:ascii="Arial" w:cs="Arial" w:eastAsia="Arial" w:hAnsi="Arial"/>
          <w:sz w:val="18"/>
          <w:szCs w:val="18"/>
          <w:color w:val="auto"/>
        </w:rPr>
        <w:t>. Information contained on our website does not constitute part of this prospectus. S-2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An investment in our securities involves a high degree of risk. You should carefully consider the risk factors and all of the other information included in, or incorporated by reference into, this prospectus, including, without limitation, the risk factors included in Item 1A of our Form 10-K filed with the SEC on March 20, 2014 and other information contained or incorporated by reference in this prospectus, as updated by our subsequent filings under the Exchange Act, and the risk factors and other information contained in any applicable accompanying prospectus supplement before acquiring any such securities. The occurrence of these risks might cause you to lose all or a part of your investment in the offered securities. Please also refer to the section below entitled “Cautionary Note Regarding Forward-Looking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firstLine="1484"/>
        <w:spacing w:after="0" w:line="271"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Section 27A of the Securities Act and Section 21E of the Exchange Act, which concern our business. Such statements are not guarantees of future performance, and actual results could differ materially from those expressed or implied in such statements as a result of certain factors, including those set forth in “Risk Factors” in this prospectus and those discussed in the documents we have incorporated by reference, including, without limitation, the risk factors included in Item 1A of our Form 10-K filed on March 20, 2014. In some cases, you can identify forward looking statement by terms such as, “may,” “will,” “should,” “could,” would,” “expects,” “plans,” “anticipates,” “intends,” “believes,” “estimates,” “projects,” “predicts,” “potential” and similar expressions intended to identify forward-looking statements. All statements, other than statements of historical facts, included or incorporated by reference in this prospectus that address activities, events or developments we expect, believe, intend or anticipate will or may occur in the future.</w:t>
      </w:r>
    </w:p>
    <w:p>
      <w:pPr>
        <w:spacing w:after="0" w:line="179"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Actual results or events could differ materially from the forward-looking statements we make. Among the factors that could cause actual results to differ materially are the factors discussed under “Risk Factors” in our Form 10-K for the fiscal year ended December 31, 2013. We will also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We claim the protections afforded by the Private Securities Litigation Reform Act of 1995, as amended, for our forward-looking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The proceeds from the resale of the shares of common stock under this prospectus are solely for the account of the selling shareholder. Accordingly, we will receive no proceeds from the sale of the shares of common stock offered pursuant to this prospectus, but we will incur expenses in connection with the filing of the registration statement of which this prospectus forms a part.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The Selling Shareholder may offer from time to time up to 150,000 shares of our common stock, $0.001 par value per share, under this prospectus. Our authorized capital stock currently consists of 50,000,000 shares of common stock. At April 29, 2014, 9,309,529 shares of common stock were issued and outstanding. The following summary of certain provisions of our capital stock does not purport to be complete and is subject to and is qualified in its entirety by our articles of incorporation and by-laws, which are incorporated in this prospectus by reference as exhibits to the registration statement of which this prospectus forms a part, and by the provisions of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80" w:firstLine="1484"/>
        <w:spacing w:after="0" w:line="257" w:lineRule="auto"/>
        <w:rPr>
          <w:sz w:val="20"/>
          <w:szCs w:val="20"/>
          <w:color w:val="auto"/>
        </w:rPr>
      </w:pPr>
      <w:r>
        <w:rPr>
          <w:rFonts w:ascii="Arial" w:cs="Arial" w:eastAsia="Arial" w:hAnsi="Arial"/>
          <w:sz w:val="18"/>
          <w:szCs w:val="18"/>
          <w:color w:val="auto"/>
        </w:rPr>
        <w:t>The Company has fifty million (50,000,000) shares of common stock, $0.001 par value per share, authorized by its Amended and Restated Articles of Incorporation. The holders of the common stock of the Company shall be entitled at all meetings of shareholders to one vote for each share of such stock held by them. Cumulative voting is expressly prohibited by the Amended and Restated Articles of Incorporation. With respect to any matter, a quorum shall be present at a meeting of shareholders if the holders of a majority of the shares entitled to vote on that matter are represented at the meeting in person or by proxy.</w:t>
      </w:r>
    </w:p>
    <w:p>
      <w:pPr>
        <w:spacing w:after="0" w:line="188"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future issuance of such shares would reduce the percentage ownership held by existing shareholders and might dilute the book value of their shares.</w:t>
      </w:r>
    </w:p>
    <w:p>
      <w:pPr>
        <w:spacing w:after="0" w:line="234" w:lineRule="exact"/>
        <w:rPr>
          <w:sz w:val="20"/>
          <w:szCs w:val="20"/>
          <w:color w:val="auto"/>
        </w:rPr>
      </w:pPr>
    </w:p>
    <w:p>
      <w:pPr>
        <w:ind w:right="340" w:firstLine="1484"/>
        <w:spacing w:after="0" w:line="34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60" w:firstLine="1484"/>
        <w:spacing w:after="0" w:line="270" w:lineRule="auto"/>
        <w:rPr>
          <w:sz w:val="20"/>
          <w:szCs w:val="20"/>
          <w:color w:val="auto"/>
        </w:rPr>
      </w:pPr>
      <w:r>
        <w:rPr>
          <w:rFonts w:ascii="Arial" w:cs="Arial" w:eastAsia="Arial" w:hAnsi="Arial"/>
          <w:sz w:val="17"/>
          <w:szCs w:val="17"/>
          <w:color w:val="auto"/>
        </w:rPr>
        <w:t>We are a Utah corporation are subject to the Utah Control Shares Acquisitions Act, Utah Code Ann. § 61-6-1 et seq., (the “Control Share Provisions”). Under the Control Share Provisions, an acquisition of the power to vote shares of an issuing public corporation which allows for the exercise of voting power within certain ranges causes those shares to lose their voting rights. Specifically, an acquiring person who engages in a control share acquisition of an issuing public corporation, such as the Company, may not exercise voting rights on any “control shares” unless such voting rights are restored by a majority of all votes entitled to be cast by the disinterested shareholders of the issuing public corporation. Under the Control Share Provisions, “control shares” mean shares acquired by a person that, when added to all other shares of the issuing public corporation owned by that person or in respect of which that person may exercise or direct the exercise of voting power, would otherwise entitle that person to exercise or direct the exercise of voting power of the issuing public corporation in the election of directors within any of the following ranges: (a) one-fifth or more but less than one-third; (b) one-third or more but less than a majority; or (c) a majority or more. Any shares below the one-fifth threshold are expressly not “control shares” and may continue to be voted by the holder of such shares.</w:t>
      </w:r>
    </w:p>
    <w:p>
      <w:pPr>
        <w:spacing w:after="0" w:line="178"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The acquiring person may require the corporation to hold a special shareholder’s meeting to consider whether voting rights should be granted to the control shares. To require a special meeting, the acquiring person must: (a) file an acquiring person statement with certain required information with the corporation, including that the acquiring person statement is given pursuant to the Control Share Provisions; and (b) agree to pay the special meeting expenses. After receiving such request, the Control Share Provisions state that the directors shall call a special meeting of shareholders within a certain time as set forth in the Control Share Provisions, for the purpose of considering the voting rights to be accorded the shares acquired or to be acquired in the control share acquisition. The Control Share Provisions further provide that if no such request is made, the voting rights to be accorded the shares acquired in the control shares acquisition shall be presented to the next special or annual meeting of shareholders.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Under the Control Share Provisions, “interested shares” are not eligible to vote on a proposal to consider the restoration of such shares’ voting rights. “Interested shares” are defined in the Control Share Provisions as the shares as to which any of the following persons may exercise or direct the exercise of the voting power of the corporation, on or after the applicable record date, in the election of directors:</w:t>
      </w:r>
    </w:p>
    <w:p>
      <w:pPr>
        <w:spacing w:after="0" w:line="87" w:lineRule="exact"/>
        <w:rPr>
          <w:sz w:val="20"/>
          <w:szCs w:val="20"/>
          <w:color w:val="auto"/>
        </w:rPr>
      </w:pPr>
    </w:p>
    <w:p>
      <w:pPr>
        <w:ind w:left="1920" w:hanging="440"/>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acquiring person or member of a group with respect to a control share acquisition;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officer of the issuing public corporation;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employee of the issuing public corporation who is also a director of the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 of Shareholders</w:t>
      </w:r>
    </w:p>
    <w:p>
      <w:pPr>
        <w:spacing w:after="0" w:line="12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bylaws provide that any action which may be taken at a meeting of the shareholders may be taken without a meeting and without prior notice if one or more consents in writing, setting forth the action so taken, shall be signed by the holders of outstanding shares having not less than the minimum number of votes that would be necessary to authorize or take such action at a meeting at which all shareholders entitled to vote with respect to the subject matter thereof were present and voted. Special meetings of the shareholders may be called by holders of at least 10% of all the votes entitled to be cast on any issue proposed to be considered at the proposed special meeting or by the Chairman of the Board, the President or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and registrar for our common stock is Broadridge.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This prospectus covers the sale by the selling shareholder from time to time of up to 150,000 shares of common stock.</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table shows for the selling shareholder:</w:t>
      </w:r>
    </w:p>
    <w:p>
      <w:pPr>
        <w:spacing w:after="0" w:line="131" w:lineRule="exact"/>
        <w:rPr>
          <w:sz w:val="20"/>
          <w:szCs w:val="20"/>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him or her,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common stock covered by this prospectus, and</w:t>
      </w:r>
    </w:p>
    <w:p>
      <w:pPr>
        <w:spacing w:after="0" w:line="130" w:lineRule="exact"/>
        <w:rPr>
          <w:rFonts w:ascii="Arial" w:cs="Arial" w:eastAsia="Arial" w:hAnsi="Arial"/>
          <w:sz w:val="18"/>
          <w:szCs w:val="18"/>
          <w:color w:val="auto"/>
        </w:rPr>
      </w:pPr>
    </w:p>
    <w:p>
      <w:pPr>
        <w:ind w:left="1920" w:hanging="440"/>
        <w:spacing w:after="0" w:line="342" w:lineRule="auto"/>
        <w:tabs>
          <w:tab w:leader="none" w:pos="1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of common stock to be retained after this offering, if any, assuming the selling shareholder sell the maximum number of shares (and percentage of outstanding shares of common stock owned after this offering, if more than 1%).</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selling shareholder is not required, and may choose not, to sell any of its shares of common stock.</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3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Common</w:t>
            </w: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to Be Sold</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Offering</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in Offering</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Offering(2)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Doran M. Oster (1)</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Doran M. Oster owns approximately owns approximately 1.6% of the Company prior to the Offering. Mr. Oster is not a registered broker dealer or the affiliate of a registered broker dealer.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all shares of common stock offered hereby are sold.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firstLine="1484"/>
        <w:spacing w:after="0" w:line="312" w:lineRule="auto"/>
        <w:rPr>
          <w:sz w:val="20"/>
          <w:szCs w:val="20"/>
          <w:color w:val="auto"/>
        </w:rPr>
      </w:pPr>
      <w:r>
        <w:rPr>
          <w:rFonts w:ascii="Arial" w:cs="Arial" w:eastAsia="Arial" w:hAnsi="Arial"/>
          <w:sz w:val="16"/>
          <w:szCs w:val="16"/>
          <w:color w:val="auto"/>
        </w:rPr>
        <w:t>As used in this prospectus, “selling shareholder” includes any donees, pledgees, transferees or other successors in interest who will hold the selling shareholder’s shares after the date of this prospectus. We are paying the costs, expenses and fees of registering the common stock, but the selling shareholder will pay any underwriting or brokerage commissions and similar selling expenses relating to the sale of the shares of common stock.</w:t>
      </w:r>
    </w:p>
    <w:p>
      <w:pPr>
        <w:spacing w:after="0" w:line="147"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The selling shareholder may sell, from time to time, any or all of its shares of our common stock on the NASDAQ Capital Market or such other applicable stock exchange, market or trading facility on which our shares are then traded or in private transactions. A selling shareholder may sell his or her shares at prevailing market prices or privately negotiated prices.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selling shareholder may sell some or all of its common stock through:</w:t>
      </w:r>
    </w:p>
    <w:p>
      <w:pPr>
        <w:spacing w:after="0" w:line="131" w:lineRule="exact"/>
        <w:rPr>
          <w:sz w:val="20"/>
          <w:szCs w:val="20"/>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brokers’ transactions which may include long or short sales;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involving cross or block trades or otherwise;</w:t>
      </w:r>
    </w:p>
    <w:p>
      <w:pPr>
        <w:spacing w:after="0" w:line="130" w:lineRule="exact"/>
        <w:rPr>
          <w:rFonts w:ascii="Arial" w:cs="Arial" w:eastAsia="Arial" w:hAnsi="Arial"/>
          <w:sz w:val="18"/>
          <w:szCs w:val="18"/>
          <w:color w:val="auto"/>
        </w:rPr>
      </w:pPr>
    </w:p>
    <w:p>
      <w:pPr>
        <w:ind w:left="1920" w:right="580" w:hanging="440"/>
        <w:spacing w:after="0" w:line="277"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brokers, dealers or underwriters as principal and resale by those purchasers for their own accounts under this prospectus;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makers or into an existing market for our common stock;</w:t>
      </w:r>
    </w:p>
    <w:p>
      <w:pPr>
        <w:spacing w:after="0" w:line="130" w:lineRule="exact"/>
        <w:rPr>
          <w:rFonts w:ascii="Arial" w:cs="Arial" w:eastAsia="Arial" w:hAnsi="Arial"/>
          <w:sz w:val="18"/>
          <w:szCs w:val="18"/>
          <w:color w:val="auto"/>
        </w:rPr>
      </w:pPr>
    </w:p>
    <w:p>
      <w:pPr>
        <w:ind w:left="1920" w:right="440" w:hanging="440"/>
        <w:spacing w:after="0" w:line="277"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ways not involving market makers or established trading markets, including direct sales to purchasers or sales effected through agents;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the selling options described in this prospectus, or by any other legally available means.</w:t>
      </w:r>
    </w:p>
    <w:p>
      <w:pPr>
        <w:spacing w:after="0" w:line="225" w:lineRule="exact"/>
        <w:rPr>
          <w:sz w:val="20"/>
          <w:szCs w:val="20"/>
          <w:color w:val="auto"/>
        </w:rPr>
      </w:pPr>
    </w:p>
    <w:p>
      <w:pPr>
        <w:jc w:val="both"/>
        <w:ind w:right="40" w:firstLine="1484"/>
        <w:spacing w:after="0" w:line="286" w:lineRule="auto"/>
        <w:rPr>
          <w:sz w:val="20"/>
          <w:szCs w:val="20"/>
          <w:color w:val="auto"/>
        </w:rPr>
      </w:pPr>
      <w:r>
        <w:rPr>
          <w:rFonts w:ascii="Arial" w:cs="Arial" w:eastAsia="Arial" w:hAnsi="Arial"/>
          <w:sz w:val="17"/>
          <w:szCs w:val="17"/>
          <w:color w:val="auto"/>
        </w:rPr>
        <w:t>The selling shareholder may enter into hedging transactions with broker-dealers who may engage in short sales of our common stock in the course of hedging the positions they assume. The selling shareholder also may enter into option or other transactions with broker-dealers that require the delivery of the common stock by those broker-dealers. Thereafter, the shares may be resold under this prospectus.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We will pay the costs and expenses of the registration and offering of the common stock offered hereby. We will not pay any underwriting fees, discounts and selling commissions with respect to a selling shareholder’s sale of its common stock, which will be paid by such selling shareholder. 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3" w:lineRule="exact"/>
        <w:rPr>
          <w:sz w:val="20"/>
          <w:szCs w:val="20"/>
          <w:color w:val="auto"/>
        </w:rPr>
      </w:pPr>
    </w:p>
    <w:p>
      <w:pPr>
        <w:ind w:right="140" w:firstLine="1484"/>
        <w:spacing w:after="0" w:line="279" w:lineRule="auto"/>
        <w:rPr>
          <w:sz w:val="20"/>
          <w:szCs w:val="20"/>
          <w:color w:val="auto"/>
        </w:rPr>
      </w:pPr>
      <w:r>
        <w:rPr>
          <w:rFonts w:ascii="Arial" w:cs="Arial" w:eastAsia="Arial" w:hAnsi="Arial"/>
          <w:sz w:val="17"/>
          <w:szCs w:val="17"/>
          <w:color w:val="auto"/>
        </w:rPr>
        <w:t>The selling shareholder and any broker-dealers involved in the sale or resale of our common stock may qualify as “underwriters” within the meaning of Section 2(a)(11) of the Securities Act. In addition, the broker-dealers’ commissions, discounts or concessions may qualify as underwriters’ compensation under the Securities Act. If any selling shareholder or any broker-dealer qualifies as an “underwriter,” they will be subject to the prospectus delivery requirements of Rule 153 of the Securities Act, which may include delivery through the facilities of the NASD.</w:t>
      </w:r>
    </w:p>
    <w:p>
      <w:pPr>
        <w:spacing w:after="0" w:line="171" w:lineRule="exact"/>
        <w:rPr>
          <w:sz w:val="20"/>
          <w:szCs w:val="20"/>
          <w:color w:val="auto"/>
        </w:rPr>
      </w:pPr>
    </w:p>
    <w:p>
      <w:pPr>
        <w:jc w:val="both"/>
        <w:ind w:right="100" w:firstLine="1484"/>
        <w:spacing w:after="0" w:line="264" w:lineRule="auto"/>
        <w:rPr>
          <w:sz w:val="20"/>
          <w:szCs w:val="20"/>
          <w:color w:val="auto"/>
        </w:rPr>
      </w:pPr>
      <w:r>
        <w:rPr>
          <w:rFonts w:ascii="Arial" w:cs="Arial" w:eastAsia="Arial" w:hAnsi="Arial"/>
          <w:sz w:val="18"/>
          <w:szCs w:val="18"/>
          <w:color w:val="auto"/>
        </w:rPr>
        <w:t>In conjunction with sales to or through brokers, dealers or agents, the selling shareholder may agree to indemnify them against liabilities arising under the Securities Act. We know of no existing arrangements between the selling shareholder, any other shareholder, broker, dealer, underwriter or agent relating to the sale or distribution of our common stock.</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addition to selling its shares of common stock under this prospectus, the selling shareholder may:</w:t>
      </w:r>
    </w:p>
    <w:p>
      <w:pPr>
        <w:spacing w:after="0" w:line="131" w:lineRule="exact"/>
        <w:rPr>
          <w:sz w:val="20"/>
          <w:szCs w:val="20"/>
          <w:color w:val="auto"/>
        </w:rPr>
      </w:pPr>
    </w:p>
    <w:p>
      <w:pPr>
        <w:ind w:left="1920" w:right="40" w:hanging="440"/>
        <w:spacing w:after="0" w:line="277"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its common stock in other ways not involving market makers or established trading markets, including by gift, distribution, or other transfer;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some cases, sell its common stock under Rule 144 of the Securities Act, if the transaction meets the requirements of Rule 144.</w:t>
      </w:r>
    </w:p>
    <w:p>
      <w:pPr>
        <w:spacing w:after="0" w:line="248" w:lineRule="exact"/>
        <w:rPr>
          <w:sz w:val="20"/>
          <w:szCs w:val="20"/>
          <w:color w:val="auto"/>
        </w:rPr>
      </w:pPr>
    </w:p>
    <w:p>
      <w:pPr>
        <w:ind w:right="100" w:firstLine="1484"/>
        <w:spacing w:after="0" w:line="291" w:lineRule="auto"/>
        <w:rPr>
          <w:sz w:val="20"/>
          <w:szCs w:val="20"/>
          <w:color w:val="auto"/>
        </w:rPr>
      </w:pPr>
      <w:r>
        <w:rPr>
          <w:rFonts w:ascii="Arial" w:cs="Arial" w:eastAsia="Arial" w:hAnsi="Arial"/>
          <w:sz w:val="16"/>
          <w:szCs w:val="16"/>
          <w:color w:val="auto"/>
        </w:rPr>
        <w:t>We have advised the selling shareholder that during the time each is engaged in a distribution of the shares covered by this prospectus, it is required to comply with Regulation M promulgated under the Exchange Act. With certain exceptions, Regulation M precludes the selling shareholder, any affiliated purchasers, and any broker-dealer or other person who participates in such distribution from bidding for or purchasing, or attempting to induce any person to bid for or purchase, any shares which are the subject of the distribution until the entire distribution is complete. Regulation M also prohibits any bids or purchases made in order to stabilize the price of our shares in connection with the distribution of our shares. We have further advised selling shareholder who may be “affiliated purchasers” of ours that they must coordinate their sales under this prospectus with each other and us for purposes of Regulation M. All of the foregoing may affect the marketability of the shares offered in this prospectus.</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will amend or supplement this prospectus as required by the Securities 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1484"/>
        <w:spacing w:after="0" w:line="277" w:lineRule="auto"/>
        <w:rPr>
          <w:sz w:val="20"/>
          <w:szCs w:val="20"/>
          <w:color w:val="auto"/>
        </w:rPr>
      </w:pPr>
      <w:r>
        <w:rPr>
          <w:rFonts w:ascii="Arial" w:cs="Arial" w:eastAsia="Arial" w:hAnsi="Arial"/>
          <w:sz w:val="18"/>
          <w:szCs w:val="18"/>
          <w:color w:val="auto"/>
        </w:rPr>
        <w:t>The validity of the equity and debt securities registered in this offering will be passed upon by the law firm of Seyfarth Shaw LLP, Houston, Texas. Legal counsel to any underwriters may pass upon legal matters for such underwriters.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1484"/>
        <w:spacing w:after="0" w:line="312" w:lineRule="auto"/>
        <w:rPr>
          <w:sz w:val="20"/>
          <w:szCs w:val="20"/>
          <w:color w:val="auto"/>
        </w:rPr>
      </w:pPr>
      <w:r>
        <w:rPr>
          <w:rFonts w:ascii="Arial" w:cs="Arial" w:eastAsia="Arial" w:hAnsi="Arial"/>
          <w:sz w:val="16"/>
          <w:szCs w:val="16"/>
          <w:color w:val="auto"/>
        </w:rPr>
        <w:t>The consolidated financial statements incorporated in this prospectus by reference to the annual report on Form 10-K for the year ended December 31, 2013 have been audited by McGladrey LLP, an independent registered public accounting firm, as stated in their report incorporated by reference herein, and have been so incorporated in reliance upon such report and upon the authority of such firm as experts in accounting and auditing.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40" w:firstLine="1484"/>
        <w:spacing w:after="0" w:line="277" w:lineRule="auto"/>
        <w:rPr>
          <w:sz w:val="20"/>
          <w:szCs w:val="20"/>
          <w:color w:val="auto"/>
        </w:rPr>
      </w:pPr>
      <w:r>
        <w:rPr>
          <w:rFonts w:ascii="Arial" w:cs="Arial" w:eastAsia="Arial" w:hAnsi="Arial"/>
          <w:sz w:val="18"/>
          <w:szCs w:val="18"/>
          <w:color w:val="auto"/>
        </w:rPr>
        <w:t>This prospectus is part of a Registration Statement on Form S-3 that we filed with the Commission. Certain information in the Registration Statement has been omitted from this prospectus in accordance with the rules of the Commission.</w:t>
      </w:r>
    </w:p>
    <w:p>
      <w:pPr>
        <w:spacing w:after="0" w:line="170" w:lineRule="exact"/>
        <w:rPr>
          <w:sz w:val="20"/>
          <w:szCs w:val="20"/>
          <w:color w:val="auto"/>
        </w:rPr>
      </w:pPr>
    </w:p>
    <w:p>
      <w:pPr>
        <w:ind w:right="140" w:firstLine="1484"/>
        <w:spacing w:after="0" w:line="289" w:lineRule="auto"/>
        <w:rPr>
          <w:sz w:val="20"/>
          <w:szCs w:val="20"/>
          <w:color w:val="auto"/>
        </w:rPr>
      </w:pPr>
      <w:r>
        <w:rPr>
          <w:rFonts w:ascii="Arial" w:cs="Arial" w:eastAsia="Arial" w:hAnsi="Arial"/>
          <w:sz w:val="16"/>
          <w:szCs w:val="16"/>
          <w:color w:val="auto"/>
        </w:rPr>
        <w:t xml:space="preserve">The Company files annual, quarterly and current reports, proxy statements and other documents with the Commission under the Securities Act of 1934. Our file number is 001-33660. The public may read and copy any materials that we file with the Commission at the Commission’s Public Reference Room at Headquarters Office, 100 F Street, NE, Washington, DC 20549. The public may obtain information on the operation of the Public Reference Room by calling the Commission at 1-800-SEC-0330. Also, the Commission maintains an Internet website that contains reports, proxy and information statements, and other information regarding issuers, including us, that file electronically with the Commission. The public can obtain any documents that we file electronically with the Commission at </w:t>
      </w:r>
      <w:r>
        <w:rPr>
          <w:rFonts w:ascii="Arial" w:cs="Arial" w:eastAsia="Arial" w:hAnsi="Arial"/>
          <w:sz w:val="16"/>
          <w:szCs w:val="16"/>
          <w:i w:val="1"/>
          <w:iCs w:val="1"/>
          <w:color w:val="auto"/>
        </w:rPr>
        <w:t>http://www.sec.gov</w:t>
      </w:r>
      <w:r>
        <w:rPr>
          <w:rFonts w:ascii="Arial" w:cs="Arial" w:eastAsia="Arial" w:hAnsi="Arial"/>
          <w:sz w:val="16"/>
          <w:szCs w:val="16"/>
          <w:color w:val="auto"/>
        </w:rPr>
        <w:t>. In addition, the Company maintains a website (</w:t>
      </w:r>
      <w:r>
        <w:rPr>
          <w:rFonts w:ascii="Arial" w:cs="Arial" w:eastAsia="Arial" w:hAnsi="Arial"/>
          <w:sz w:val="16"/>
          <w:szCs w:val="16"/>
          <w:i w:val="1"/>
          <w:iCs w:val="1"/>
          <w:color w:val="auto"/>
        </w:rPr>
        <w:t>www.clearone.com</w:t>
      </w:r>
      <w:r>
        <w:rPr>
          <w:rFonts w:ascii="Arial" w:cs="Arial" w:eastAsia="Arial" w:hAnsi="Arial"/>
          <w:sz w:val="16"/>
          <w:szCs w:val="16"/>
          <w:color w:val="auto"/>
        </w:rPr>
        <w:t>) on which we also make available, free of charge, all of the Company’s above mentioned filings with the Commission, including Forms 3, 4 and 5 filed with respect to our equity securities under Section 16(a) of the Securities Act of 1934. These filings will be available as soon as reasonably practicable after we electronically file such material with, or furnish it to, the Commission. However, the information on the Company’s website is not part of this prospectus.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color w:val="auto"/>
        </w:rPr>
        <w:t>The Commission allows us to “incorporate by reference” into this prospectus the information we provide in other documents filed by us with the Commission.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Commission, modifies and replaces this information. We incorporate by reference the following documents that we have filed with the Commission (except for those items furnished pursuant to Item 2.02 or Item 7.01 of Form 8-K unless otherwise stated therein):</w:t>
      </w:r>
    </w:p>
    <w:p>
      <w:pPr>
        <w:spacing w:after="0" w:line="99" w:lineRule="exact"/>
        <w:rPr>
          <w:sz w:val="20"/>
          <w:szCs w:val="20"/>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 filed on March 20, 2014.</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period ended March 31, 2014, filed on May 14, 2014.</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Current Reports on Form 8-K filed by us with the SEC since December 31, 2013:</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Current Report on Form 8-K filed on January 13,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Current Report on Form 8-K filed on March 3,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Current Report on Form 8-K filed on March 10,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Current Report on Form 8-K filed on April 7, 2014; and</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Current Report on Form 8-K/A filed on May 2, 2014.</w:t>
      </w:r>
    </w:p>
    <w:p>
      <w:pPr>
        <w:spacing w:after="0" w:line="130" w:lineRule="exact"/>
        <w:rPr>
          <w:rFonts w:ascii="Arial" w:cs="Arial" w:eastAsia="Arial" w:hAnsi="Arial"/>
          <w:sz w:val="18"/>
          <w:szCs w:val="18"/>
          <w:color w:val="auto"/>
        </w:rPr>
      </w:pPr>
    </w:p>
    <w:p>
      <w:pPr>
        <w:ind w:left="1920" w:hanging="440"/>
        <w:spacing w:after="0" w:line="264"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as originally filed with the Commission on August 10, 2007, and any amendment or report that may be filed from time to time for the purpose of updating, changing or modifying the description of our common stock.</w:t>
      </w:r>
    </w:p>
    <w:p>
      <w:pPr>
        <w:spacing w:after="0" w:line="181"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color w:val="auto"/>
        </w:rPr>
        <w:t>In addition, all documents filed by us with the Commission under Sections 13(a), 13(c), 14 or 15(d) of the Exchange Act (other than those furnished pursuant to Item 2.02 or Item 7.01 of Form 8-K, unless otherwise stated therein) after the date of the initial registration statement and prior to the effectiveness of the registration statement, as well as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Item 2.02, Results of Operations and Financial Condition, or Item 7.01, Regulation FD Disclosure, of Form 8-K is not deemed to be “filed” for the purpose of Section 18 of the Exchange Act, and we are not subject to the liabilities of Section 18 with respect to information submitted under Item 2.02 or Item 7.01 of Form 8-K. We are not incorporating by reference any information submitted under Item 2.02 or Item 7.01 of Form 8-K into any filing under the Securities Act or the Exchange Act or into this prospectus, unless otherwise indicated on such Form 8-K.</w:t>
      </w:r>
    </w:p>
    <w:p>
      <w:pPr>
        <w:spacing w:after="0" w:line="187" w:lineRule="exact"/>
        <w:rPr>
          <w:sz w:val="20"/>
          <w:szCs w:val="20"/>
          <w:color w:val="auto"/>
        </w:rPr>
      </w:pPr>
    </w:p>
    <w:p>
      <w:pPr>
        <w:ind w:right="240" w:firstLine="1484"/>
        <w:spacing w:after="0" w:line="264" w:lineRule="auto"/>
        <w:rPr>
          <w:sz w:val="20"/>
          <w:szCs w:val="20"/>
          <w:color w:val="auto"/>
        </w:rPr>
      </w:pPr>
      <w:r>
        <w:rPr>
          <w:rFonts w:ascii="Arial" w:cs="Arial" w:eastAsia="Arial" w:hAnsi="Arial"/>
          <w:sz w:val="18"/>
          <w:szCs w:val="18"/>
          <w:color w:val="auto"/>
        </w:rPr>
        <w:t>You may obtain copies of this prospectus or any of the incorporated documents (excluding exhibits, unless the exhibits are specifically incorporated) at no charge to you by writing Corporate Secretary, ClearOne, Inc., 5225 Wiley Post Way, Suite 500, Salt Lake City, Utah 84116, or calling (801) 975-7200.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CLEARONE,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5225 Wiley Post Way, Suite 500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(801) 975-7200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$75,000,000</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150,000 Shares of Common Stock</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Offered by a Selling Shareholder</w:t>
      </w:r>
    </w:p>
    <w:p>
      <w:pPr>
        <w:spacing w:after="0" w:line="211"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We may offer and sell, from time to time in one or more offerings, shares of our debt securities, common stock, securities warrants or subscription rights, or any combination thereof up to an aggregate amount of $75,000,000. We may sell these securities to or through underwriters and also to other purchasers or through agents. The names of any underwriters or agents will be stated in an accompanying prospectus supplement.</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shares of our securities, we will provide a supplement to this prospectus that contains specific information about the offering, including initial offering price to the public. The supplement may also add, update or change information contained in this prospectus. You should carefully read this prospectus, all prospectus supplements and all other documents incorporated by reference in this prospectus before you invest in our securities.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also registering 150,000 shares of our common stock, all of which are being offered by the shareholder listed under the heading “Selling Shareholder.” We will not receive any of the proceeds from the sales of common stock by the selling shareholder. The selling shareholder may sell its shares at prevailing market prices or privately negotiated prices.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“CLRO.” As of April 28, 2014, the closing sale price of our common stock as reported on NASDAQ was $10.15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42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risks. See the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of our filings with the Securities and Exchange Commission and the applicable prospectus supplement for certain factors you should consider before making an investment decision.</w:t>
      </w:r>
    </w:p>
    <w:p>
      <w:pPr>
        <w:spacing w:after="0" w:line="186"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prospectus may not be used to consummate sales of securities unless accompanied by a prospectus supplement.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19, 2014</w:t>
      </w:r>
    </w:p>
    <w:p>
      <w:pPr>
        <w:sectPr>
          <w:pgSz w:w="11900" w:h="16838" w:orient="portrait"/>
          <w:cols w:equalWidth="0" w:num="1">
            <w:col w:w="11400"/>
          </w:cols>
          <w:pgMar w:left="240" w:top="459"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76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2"/>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ABOUT THIS PROSPECTUS</w:t>
              </w:r>
            </w:hyperlink>
          </w:p>
        </w:tc>
        <w:tc>
          <w:tcPr>
            <w:tcW w:w="652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THE COMPANY</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480" w:type="dxa"/>
            <w:vAlign w:val="bottom"/>
            <w:gridSpan w:val="1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8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CAUTIONARY NOTE REGARDING FORWARD-LOOKING STATEMENTS</w:t>
              </w:r>
            </w:hyperlink>
          </w:p>
        </w:tc>
        <w:tc>
          <w:tcPr>
            <w:tcW w:w="296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DEBT SECURITIES</w:t>
              </w:r>
            </w:hyperlink>
          </w:p>
        </w:tc>
        <w:tc>
          <w:tcPr>
            <w:tcW w:w="572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DESCRIPTION OF CAPITAL STOCK</w:t>
              </w:r>
            </w:hyperlink>
          </w:p>
        </w:tc>
        <w:tc>
          <w:tcPr>
            <w:tcW w:w="588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5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DESCRIPTION OF SECURITIES WARRANTS</w:t>
              </w:r>
            </w:hyperlink>
          </w:p>
        </w:tc>
        <w:tc>
          <w:tcPr>
            <w:tcW w:w="520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4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SUBSCRIPTION RIGHTS</w:t>
              </w:r>
            </w:hyperlink>
          </w:p>
        </w:tc>
        <w:tc>
          <w:tcPr>
            <w:tcW w:w="5280" w:type="dxa"/>
            <w:vAlign w:val="bottom"/>
            <w:gridSpan w:val="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SHAREHOLDER</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PLAN OF DISTRIBUTION</w:t>
              </w:r>
            </w:hyperlink>
          </w:p>
        </w:tc>
        <w:tc>
          <w:tcPr>
            <w:tcW w:w="60" w:type="dxa"/>
            <w:vAlign w:val="bottom"/>
            <w:tcBorders>
              <w:top w:val="single" w:sz="8" w:color="0000EE"/>
            </w:tcBorders>
          </w:tcPr>
          <w:p>
            <w:pPr>
              <w:spacing w:after="0"/>
              <w:rPr>
                <w:sz w:val="17"/>
                <w:szCs w:val="17"/>
                <w:color w:val="auto"/>
              </w:rPr>
            </w:pPr>
          </w:p>
        </w:tc>
        <w:tc>
          <w:tcPr>
            <w:tcW w:w="664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30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82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INFORMATION INCORPORATED BY REFERENCE</w:t>
              </w:r>
            </w:hyperlink>
          </w:p>
        </w:tc>
        <w:tc>
          <w:tcPr>
            <w:tcW w:w="472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81" w:lineRule="auto"/>
        <w:rPr>
          <w:sz w:val="20"/>
          <w:szCs w:val="20"/>
          <w:color w:val="auto"/>
        </w:rPr>
      </w:pPr>
      <w:r>
        <w:rPr>
          <w:rFonts w:ascii="Arial" w:cs="Arial" w:eastAsia="Arial" w:hAnsi="Arial"/>
          <w:sz w:val="17"/>
          <w:szCs w:val="17"/>
          <w:b w:val="1"/>
          <w:bCs w:val="1"/>
          <w:color w:val="auto"/>
        </w:rPr>
        <w:t>You should rely only on information contained in this prospectus and any prospectus supplement and those documents incorporated by reference herein. We have not authorized anyone else to provide you with different information. Neither we nor the selling security holders are making an offer of these securities in any state where the offer is not permitted. You should not assume that the information in this prospectus or any prospectus supplement is accurate as of any date other than the date on the front cover of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1484"/>
        <w:spacing w:after="0" w:line="290" w:lineRule="auto"/>
        <w:rPr>
          <w:sz w:val="20"/>
          <w:szCs w:val="20"/>
          <w:color w:val="auto"/>
        </w:rPr>
      </w:pPr>
      <w:r>
        <w:rPr>
          <w:rFonts w:ascii="Arial" w:cs="Arial" w:eastAsia="Arial" w:hAnsi="Arial"/>
          <w:sz w:val="16"/>
          <w:szCs w:val="16"/>
          <w:color w:val="auto"/>
        </w:rPr>
        <w:t>This prospectus is part of a “shelf” registration statement that we filed with the Securities and Exchange Commission, which we refer to as the “SEC”. Under this registration statement, we may sell any combination of the securities described in this prospectus from time to time in one or more offerings with an aggregate offering price of up to $75,000,000, and the selling shareholder may sell from time to time up to 150,000 shares of our common stock. This prospectus provides you with a general description of the securities we may offer. This prospectus does not contain all the information set forth in the registration statement as permitted by the rules of the SEC. Each time we sell securities, we will provide a supplement to this prospectus that will contain specific information about the terms of that offering. That prospectus supplement may also add, update or change information contained in this prospectus. Before purchasing any securities, you should carefully read both this prospectus and any applicable prospectus supplement, together with the additional information described in this prospectus under the headings “Where You Can Find More Information” and “Information Incorporated by Reference.”</w:t>
      </w:r>
    </w:p>
    <w:p>
      <w:pPr>
        <w:spacing w:after="0" w:line="166" w:lineRule="exact"/>
        <w:rPr>
          <w:sz w:val="20"/>
          <w:szCs w:val="20"/>
          <w:color w:val="auto"/>
        </w:rPr>
      </w:pPr>
    </w:p>
    <w:p>
      <w:pPr>
        <w:ind w:right="480" w:firstLine="1484"/>
        <w:spacing w:after="0" w:line="297" w:lineRule="auto"/>
        <w:rPr>
          <w:sz w:val="20"/>
          <w:szCs w:val="20"/>
          <w:color w:val="auto"/>
        </w:rPr>
      </w:pPr>
      <w:r>
        <w:rPr>
          <w:rFonts w:ascii="Arial" w:cs="Arial" w:eastAsia="Arial" w:hAnsi="Arial"/>
          <w:sz w:val="16"/>
          <w:szCs w:val="16"/>
          <w:color w:val="auto"/>
        </w:rPr>
        <w:t>You should rely only on the information contained in this prospectus and in any applicable prospectus supplement, including any information incorporated by reference. We have not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158"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87"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When used in this prospectus or in any prospectus supplement, the terms “we,” “us,” “our,” “ClearOne” and “the Company” refer to ClearOne, Inc., a Utah corporation, and its subsidiaries (unless the context indicates another meaning).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i w:val="1"/>
          <w:iCs w:val="1"/>
          <w:color w:val="auto"/>
        </w:rPr>
        <w:t>This is only a summary and does not contain all the information that may be important to you. You should carefully read the more detailed information contained in this prospectus, together with the additional information described in this prospectus under the headings “Where You Can Find More Information” and “Information Incorporated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121"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offices in Austin, Texas, Corvallis, Oregon, Hong Kong, the United Kingdom and Israel.</w:t>
      </w:r>
    </w:p>
    <w:p>
      <w:pPr>
        <w:spacing w:after="0" w:line="170" w:lineRule="exact"/>
        <w:rPr>
          <w:sz w:val="20"/>
          <w:szCs w:val="20"/>
          <w:color w:val="auto"/>
        </w:rPr>
      </w:pPr>
    </w:p>
    <w:p>
      <w:pPr>
        <w:ind w:right="480" w:firstLine="1484"/>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currently participate in the following markets:</w:t>
      </w:r>
    </w:p>
    <w:p>
      <w:pPr>
        <w:spacing w:after="0" w:line="131" w:lineRule="exact"/>
        <w:rPr>
          <w:sz w:val="20"/>
          <w:szCs w:val="20"/>
          <w:color w:val="auto"/>
        </w:rPr>
      </w:pPr>
    </w:p>
    <w:p>
      <w:pPr>
        <w:ind w:left="2380" w:hanging="319"/>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 and collaboration;</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microphones;</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Multimedia streaming and control; and</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Our business goals are to:</w:t>
      </w:r>
    </w:p>
    <w:p>
      <w:pPr>
        <w:spacing w:after="0" w:line="131" w:lineRule="exact"/>
        <w:rPr>
          <w:sz w:val="20"/>
          <w:szCs w:val="20"/>
          <w:color w:val="auto"/>
        </w:rPr>
      </w:pPr>
    </w:p>
    <w:p>
      <w:pPr>
        <w:ind w:left="2380" w:hanging="319"/>
        <w:spacing w:after="0"/>
        <w:tabs>
          <w:tab w:leader="none" w:pos="2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 our leading global market share in professional audio conferencing products for large businesses and organizations;</w:t>
      </w:r>
    </w:p>
    <w:p>
      <w:pPr>
        <w:spacing w:after="0" w:line="153" w:lineRule="exact"/>
        <w:rPr>
          <w:rFonts w:ascii="Arial" w:cs="Arial" w:eastAsia="Arial" w:hAnsi="Arial"/>
          <w:sz w:val="16"/>
          <w:szCs w:val="16"/>
          <w:color w:val="auto"/>
        </w:rPr>
      </w:pPr>
    </w:p>
    <w:p>
      <w:pPr>
        <w:ind w:left="2380" w:right="200" w:hanging="319"/>
        <w:spacing w:after="0" w:line="277" w:lineRule="auto"/>
        <w:tabs>
          <w:tab w:leader="none" w:pos="2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we recently acquired to enter new growth markets;</w:t>
      </w:r>
    </w:p>
    <w:p>
      <w:pPr>
        <w:spacing w:after="0" w:line="75" w:lineRule="exact"/>
        <w:rPr>
          <w:rFonts w:ascii="Arial" w:cs="Arial" w:eastAsia="Arial" w:hAnsi="Arial"/>
          <w:sz w:val="18"/>
          <w:szCs w:val="18"/>
          <w:color w:val="auto"/>
        </w:rPr>
      </w:pPr>
    </w:p>
    <w:p>
      <w:pPr>
        <w:ind w:left="2380" w:hanging="319"/>
        <w:spacing w:after="0"/>
        <w:tabs>
          <w:tab w:leader="none" w:pos="2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Focus on the small and medium business (SMB) market with scaled, lower cost and less complex products and solutions;</w:t>
      </w:r>
    </w:p>
    <w:p>
      <w:pPr>
        <w:spacing w:after="0" w:line="153" w:lineRule="exact"/>
        <w:rPr>
          <w:rFonts w:ascii="Arial" w:cs="Arial" w:eastAsia="Arial" w:hAnsi="Arial"/>
          <w:sz w:val="16"/>
          <w:szCs w:val="16"/>
          <w:color w:val="auto"/>
        </w:rPr>
      </w:pPr>
    </w:p>
    <w:p>
      <w:pPr>
        <w:ind w:left="2380" w:right="260" w:hanging="319"/>
        <w:spacing w:after="0" w:line="277" w:lineRule="auto"/>
        <w:tabs>
          <w:tab w:leader="none" w:pos="2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Capitalize on the growing adoption of unified communications and introduce new products through emerging information technology channels;</w:t>
      </w:r>
    </w:p>
    <w:p>
      <w:pPr>
        <w:spacing w:after="0" w:line="75" w:lineRule="exact"/>
        <w:rPr>
          <w:rFonts w:ascii="Arial" w:cs="Arial" w:eastAsia="Arial" w:hAnsi="Arial"/>
          <w:sz w:val="18"/>
          <w:szCs w:val="18"/>
          <w:color w:val="auto"/>
        </w:rPr>
      </w:pPr>
    </w:p>
    <w:p>
      <w:pPr>
        <w:ind w:left="2380" w:hanging="319"/>
        <w:spacing w:after="0" w:line="277" w:lineRule="auto"/>
        <w:tabs>
          <w:tab w:leader="none" w:pos="2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75" w:lineRule="exact"/>
        <w:rPr>
          <w:rFonts w:ascii="Arial" w:cs="Arial" w:eastAsia="Arial" w:hAnsi="Arial"/>
          <w:sz w:val="18"/>
          <w:szCs w:val="18"/>
          <w:color w:val="auto"/>
        </w:rPr>
      </w:pPr>
    </w:p>
    <w:p>
      <w:pPr>
        <w:ind w:left="2380" w:hanging="319"/>
        <w:spacing w:after="0"/>
        <w:tabs>
          <w:tab w:leader="none" w:pos="2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31" w:lineRule="exact"/>
        <w:rPr>
          <w:sz w:val="20"/>
          <w:szCs w:val="20"/>
          <w:color w:val="auto"/>
        </w:rPr>
      </w:pPr>
    </w:p>
    <w:p>
      <w:pPr>
        <w:ind w:left="2380" w:hanging="319"/>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32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Company Offices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Our principle executive offices are located at 5225 Wiley Post Way, Suite 500, Salt Lake City, Utah 84116 and our telephone number is</w:t>
      </w:r>
    </w:p>
    <w:p>
      <w:pPr>
        <w:spacing w:after="0" w:line="46" w:lineRule="exact"/>
        <w:rPr>
          <w:sz w:val="20"/>
          <w:szCs w:val="20"/>
          <w:color w:val="auto"/>
        </w:rPr>
      </w:pPr>
    </w:p>
    <w:p>
      <w:pPr>
        <w:ind w:left="5660" w:right="1280" w:hanging="5652"/>
        <w:spacing w:after="0" w:line="433" w:lineRule="auto"/>
        <w:tabs>
          <w:tab w:leader="none" w:pos="4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975-7200. Our website address is </w:t>
      </w:r>
      <w:r>
        <w:rPr>
          <w:rFonts w:ascii="Arial" w:cs="Arial" w:eastAsia="Arial" w:hAnsi="Arial"/>
          <w:sz w:val="18"/>
          <w:szCs w:val="18"/>
          <w:i w:val="1"/>
          <w:iCs w:val="1"/>
          <w:color w:val="auto"/>
        </w:rPr>
        <w:t>www.clearone.com</w:t>
      </w:r>
      <w:r>
        <w:rPr>
          <w:rFonts w:ascii="Arial" w:cs="Arial" w:eastAsia="Arial" w:hAnsi="Arial"/>
          <w:sz w:val="18"/>
          <w:szCs w:val="18"/>
          <w:color w:val="auto"/>
        </w:rPr>
        <w:t>. Information contained on our website does not constitute part of this prospectus. 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An investment in our securities involves a high degree of risk. You should carefully consider the risk factors and all of the other information included in, or incorporated by reference into, this prospectus, including, without limitation, the risk factors included in Item 1A of our Form 10-K filed with the SEC on March 20, 2014 and other information contained or incorporated by reference in this prospectus, as updated by our subsequent filings under the Exchange Act, and the risk factors and other information contained in any applicable accompanying prospectus supplement before acquiring any such securities. The occurrence of these risks might cause you to lose all or a part of your investment in the offered securities. Please also refer to the section below entitled “Cautionary Note Regarding Forward-Looking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firstLine="1484"/>
        <w:spacing w:after="0" w:line="271"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Section 27A of the Securities Act and Section 21E of the Exchange Act, which concern our business. Such statements are not guarantees of future performance, and actual results could differ materially from those expressed or implied in such statements as a result of certain factors, including those set forth in “Risk Factors” in this prospectus and those discussed in the documents we have incorporated by reference, including, without limitation, the risk factors included in Item 1A of our Form 10-K filed on March 20, 2014. In some cases, you can identify forward looking statement by terms such as, “may,” “will,” “should,” “could,” would,” “expects,” “plans,” “anticipates,” “intends,” “believes,” “estimates,” “projects,” “predicts,” “potential” and similar expressions intended to identify forward-looking statements. All statements, other than statements of historical facts, included or incorporated by reference in this prospectus that address activities, events or developments we expect, believe, intend or anticipate will or may occur in the future.</w:t>
      </w:r>
    </w:p>
    <w:p>
      <w:pPr>
        <w:spacing w:after="0" w:line="179"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Actual results or events could differ materially from the forward-looking statements we make. Among the factors that could cause actual results to differ materially are the factors discussed under “Risk Factors” in our Form 10-K for the fiscal year ended December 31, 2013. We will also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We claim the protections afforded by the Private Securities Litigation Reform Act of 1995, as amended, for our forward-looking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1484"/>
        <w:spacing w:after="0" w:line="259" w:lineRule="auto"/>
        <w:rPr>
          <w:sz w:val="20"/>
          <w:szCs w:val="20"/>
          <w:color w:val="auto"/>
        </w:rPr>
      </w:pPr>
      <w:r>
        <w:rPr>
          <w:rFonts w:ascii="Arial" w:cs="Arial" w:eastAsia="Arial" w:hAnsi="Arial"/>
          <w:sz w:val="18"/>
          <w:szCs w:val="18"/>
          <w:color w:val="auto"/>
        </w:rPr>
        <w:t>Except as may be described in any prospectus supplement, we currently intend to use the net proceeds from the sale of the securities for general corporate purposes, including without limitation, reduction or refinancing of debt or other corporate obligations, exploration and production efforts and for working capital. Pending the application of the net proceeds, we intend to invest our net proceeds in short-term, investment-grade securities, interest-bearing securities or guaranteed obligations of the United States or its agencies.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1484"/>
        <w:spacing w:after="0" w:line="276" w:lineRule="auto"/>
        <w:rPr>
          <w:sz w:val="20"/>
          <w:szCs w:val="20"/>
          <w:color w:val="auto"/>
        </w:rPr>
      </w:pPr>
      <w:r>
        <w:rPr>
          <w:rFonts w:ascii="Arial" w:cs="Arial" w:eastAsia="Arial" w:hAnsi="Arial"/>
          <w:sz w:val="17"/>
          <w:szCs w:val="17"/>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73"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We may conduct a portion of our operations through subsidiaries. The rights of our company and our creditors, including holders of the debt securities, to participate in the assets of any subsidiary upon the latter’s liquidation or reorganization will be subject to the prior claims of the subsidiary’s creditors, except to the extent that we may our self be a creditor with recognized claims against such subsidiary.</w:t>
      </w:r>
    </w:p>
    <w:p>
      <w:pPr>
        <w:spacing w:after="0" w:line="181" w:lineRule="exact"/>
        <w:rPr>
          <w:sz w:val="20"/>
          <w:szCs w:val="20"/>
          <w:color w:val="auto"/>
        </w:rPr>
      </w:pPr>
    </w:p>
    <w:p>
      <w:pPr>
        <w:ind w:right="140" w:firstLine="1484"/>
        <w:spacing w:after="0" w:line="276" w:lineRule="auto"/>
        <w:rPr>
          <w:sz w:val="20"/>
          <w:szCs w:val="20"/>
          <w:color w:val="auto"/>
        </w:rPr>
      </w:pPr>
      <w:r>
        <w:rPr>
          <w:rFonts w:ascii="Arial" w:cs="Arial" w:eastAsia="Arial" w:hAnsi="Arial"/>
          <w:sz w:val="17"/>
          <w:szCs w:val="17"/>
          <w:color w:val="auto"/>
        </w:rPr>
        <w:t>The debt securities will be either our senior debt securities or our subordinated debt securities. The senior debt securities and the subordinated debt securities will be issued under separate indentures among us, and any domestic subsidiaries that become guarantors of the debt securities (and are added as co-registrants to the registration statement of which this prospectus supplement forms a part),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173"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Whenever we refer in this prospectus or in the prospectus supplement to particular article or sections or defined terms of the Indentures, those article or sections or defined terms are incorporated by reference herein or therein, as applicable. The Indentures will be subject to and governed by certain provisions of the Trust Indenture Act of 1939, and we refer you to the Indentures and the Trust Indenture Act for a statement of such provisions. Capitalized terms used in the summary have the meanings specified in the Indentures.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1484"/>
        <w:spacing w:after="0" w:line="297" w:lineRule="auto"/>
        <w:rPr>
          <w:sz w:val="20"/>
          <w:szCs w:val="20"/>
          <w:color w:val="auto"/>
        </w:rPr>
      </w:pPr>
      <w:r>
        <w:rPr>
          <w:rFonts w:ascii="Arial" w:cs="Arial" w:eastAsia="Arial" w:hAnsi="Arial"/>
          <w:sz w:val="16"/>
          <w:szCs w:val="16"/>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 The debt securities will be our unsecured obligations.</w:t>
      </w:r>
    </w:p>
    <w:p>
      <w:pPr>
        <w:spacing w:after="0" w:line="158" w:lineRule="exact"/>
        <w:rPr>
          <w:sz w:val="20"/>
          <w:szCs w:val="20"/>
          <w:color w:val="auto"/>
        </w:rPr>
      </w:pPr>
    </w:p>
    <w:p>
      <w:pPr>
        <w:jc w:val="both"/>
        <w:ind w:right="600" w:firstLine="1484"/>
        <w:spacing w:after="0" w:line="264" w:lineRule="auto"/>
        <w:rPr>
          <w:sz w:val="20"/>
          <w:szCs w:val="20"/>
          <w:color w:val="auto"/>
        </w:rPr>
      </w:pPr>
      <w:r>
        <w:rPr>
          <w:rFonts w:ascii="Arial" w:cs="Arial" w:eastAsia="Arial" w:hAnsi="Arial"/>
          <w:sz w:val="18"/>
          <w:szCs w:val="18"/>
          <w:color w:val="auto"/>
        </w:rPr>
        <w:t>The subordinated debt securities will be subordinated in right of payment to the prior payment in full of all of our Senior Debt (as defined) as described under “—Subordination of Subordinated Debt Securities” and in the prospectus supplement applicable to any subordinated debt securities.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the prospectus supplement so indicates, the debt securities will be convertible into our common stock.</w:t>
      </w:r>
    </w:p>
    <w:p>
      <w:pPr>
        <w:spacing w:after="0" w:line="225"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62" w:lineRule="exact"/>
        <w:rPr>
          <w:sz w:val="20"/>
          <w:szCs w:val="20"/>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the debt securities;</w:t>
      </w:r>
    </w:p>
    <w:p>
      <w:pPr>
        <w:spacing w:after="0" w:line="117" w:lineRule="exact"/>
        <w:rPr>
          <w:rFonts w:ascii="Arial" w:cs="Arial" w:eastAsia="Arial" w:hAnsi="Arial"/>
          <w:sz w:val="18"/>
          <w:szCs w:val="18"/>
          <w:color w:val="auto"/>
        </w:rPr>
      </w:pPr>
    </w:p>
    <w:p>
      <w:pPr>
        <w:ind w:left="460" w:right="86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the related subordination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places where payments on the debt securities will be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17" w:lineRule="exact"/>
        <w:rPr>
          <w:rFonts w:ascii="Arial" w:cs="Arial" w:eastAsia="Arial" w:hAnsi="Arial"/>
          <w:sz w:val="18"/>
          <w:szCs w:val="18"/>
          <w:color w:val="auto"/>
        </w:rPr>
      </w:pPr>
    </w:p>
    <w:p>
      <w:pPr>
        <w:ind w:left="460" w:right="460" w:firstLine="443"/>
        <w:spacing w:after="0" w:line="308" w:lineRule="auto"/>
        <w:tabs>
          <w:tab w:leader="none" w:pos="12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38" w:lineRule="exact"/>
        <w:rPr>
          <w:rFonts w:ascii="Arial" w:cs="Arial" w:eastAsia="Arial" w:hAnsi="Arial"/>
          <w:sz w:val="17"/>
          <w:szCs w:val="17"/>
          <w:color w:val="auto"/>
        </w:rPr>
      </w:pPr>
    </w:p>
    <w:p>
      <w:pPr>
        <w:ind w:left="1240" w:hanging="33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applicable to the debt securities;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w:t>
      </w:r>
    </w:p>
    <w:p>
      <w:pPr>
        <w:spacing w:after="0" w:line="225" w:lineRule="exact"/>
        <w:rPr>
          <w:sz w:val="20"/>
          <w:szCs w:val="20"/>
          <w:color w:val="auto"/>
        </w:rPr>
      </w:pPr>
    </w:p>
    <w:p>
      <w:pPr>
        <w:ind w:right="120" w:firstLine="1484"/>
        <w:spacing w:after="0" w:line="297" w:lineRule="auto"/>
        <w:rPr>
          <w:sz w:val="20"/>
          <w:szCs w:val="20"/>
          <w:color w:val="auto"/>
        </w:rPr>
      </w:pPr>
      <w:r>
        <w:rPr>
          <w:rFonts w:ascii="Arial" w:cs="Arial" w:eastAsia="Arial" w:hAnsi="Arial"/>
          <w:sz w:val="16"/>
          <w:szCs w:val="16"/>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121"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it may also be senior in right of payment to all of our Subordinated Debt. The prospectus supplement relating to any subordinated debt securities will summarize the subordination provisions of the Subordinated Indenture applicable to that series including:</w:t>
      </w:r>
    </w:p>
    <w:p>
      <w:pPr>
        <w:spacing w:after="0" w:line="77" w:lineRule="exact"/>
        <w:rPr>
          <w:sz w:val="20"/>
          <w:szCs w:val="20"/>
          <w:color w:val="auto"/>
        </w:rPr>
      </w:pPr>
    </w:p>
    <w:p>
      <w:pPr>
        <w:ind w:left="440" w:right="220" w:hanging="324"/>
        <w:spacing w:after="0" w:line="342"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w:t>
      </w:r>
    </w:p>
    <w:p>
      <w:pPr>
        <w:spacing w:after="0" w:line="29" w:lineRule="exact"/>
        <w:rPr>
          <w:rFonts w:ascii="Arial" w:cs="Arial" w:eastAsia="Arial" w:hAnsi="Arial"/>
          <w:sz w:val="16"/>
          <w:szCs w:val="16"/>
          <w:color w:val="auto"/>
        </w:rPr>
      </w:pPr>
    </w:p>
    <w:p>
      <w:pPr>
        <w:ind w:left="440" w:right="320" w:hanging="324"/>
        <w:spacing w:after="0" w:line="308"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51" w:lineRule="exact"/>
        <w:rPr>
          <w:rFonts w:ascii="Arial" w:cs="Arial" w:eastAsia="Arial" w:hAnsi="Arial"/>
          <w:sz w:val="17"/>
          <w:szCs w:val="17"/>
          <w:color w:val="auto"/>
        </w:rPr>
      </w:pPr>
    </w:p>
    <w:p>
      <w:pPr>
        <w:ind w:left="440" w:right="120" w:hanging="324"/>
        <w:spacing w:after="0" w:line="27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The prospectus supplement will also describe as of a recent date the approximate amount of Senior Debt to which the subordinated debt securities of that series will be subordinated.</w:t>
      </w:r>
    </w:p>
    <w:p>
      <w:pPr>
        <w:spacing w:after="0" w:line="170"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81"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w:t>
      </w:r>
    </w:p>
    <w:p>
      <w:pPr>
        <w:spacing w:after="0" w:line="170" w:lineRule="exact"/>
        <w:rPr>
          <w:sz w:val="20"/>
          <w:szCs w:val="20"/>
          <w:color w:val="auto"/>
        </w:rPr>
      </w:pPr>
    </w:p>
    <w:p>
      <w:pPr>
        <w:ind w:right="320" w:firstLine="1484"/>
        <w:spacing w:after="0" w:line="264" w:lineRule="auto"/>
        <w:rPr>
          <w:sz w:val="20"/>
          <w:szCs w:val="20"/>
          <w:color w:val="auto"/>
        </w:rPr>
      </w:pPr>
      <w:r>
        <w:rPr>
          <w:rFonts w:ascii="Arial" w:cs="Arial" w:eastAsia="Arial" w:hAnsi="Arial"/>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w:t>
      </w:r>
    </w:p>
    <w:p>
      <w:pPr>
        <w:spacing w:after="0" w:line="181" w:lineRule="exact"/>
        <w:rPr>
          <w:sz w:val="20"/>
          <w:szCs w:val="20"/>
          <w:color w:val="auto"/>
        </w:rPr>
      </w:pPr>
    </w:p>
    <w:p>
      <w:pPr>
        <w:ind w:right="40" w:firstLine="1484"/>
        <w:spacing w:after="0" w:line="270" w:lineRule="auto"/>
        <w:rPr>
          <w:sz w:val="20"/>
          <w:szCs w:val="20"/>
          <w:color w:val="auto"/>
        </w:rPr>
      </w:pPr>
      <w:r>
        <w:rPr>
          <w:rFonts w:ascii="Arial" w:cs="Arial" w:eastAsia="Arial" w:hAnsi="Arial"/>
          <w:sz w:val="17"/>
          <w:szCs w:val="17"/>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2" w:lineRule="exact"/>
        <w:rPr>
          <w:sz w:val="20"/>
          <w:szCs w:val="20"/>
          <w:color w:val="auto"/>
        </w:rPr>
      </w:pPr>
    </w:p>
    <w:p>
      <w:pPr>
        <w:ind w:right="160" w:firstLine="1484"/>
        <w:spacing w:after="0" w:line="276" w:lineRule="auto"/>
        <w:rPr>
          <w:sz w:val="20"/>
          <w:szCs w:val="20"/>
          <w:color w:val="auto"/>
        </w:rPr>
      </w:pPr>
      <w:r>
        <w:rPr>
          <w:rFonts w:ascii="Arial" w:cs="Arial" w:eastAsia="Arial" w:hAnsi="Arial"/>
          <w:sz w:val="17"/>
          <w:szCs w:val="17"/>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88" w:lineRule="exact"/>
        <w:rPr>
          <w:sz w:val="20"/>
          <w:szCs w:val="20"/>
          <w:color w:val="auto"/>
        </w:rPr>
      </w:pPr>
    </w:p>
    <w:p>
      <w:pPr>
        <w:ind w:right="100" w:firstLine="1484"/>
        <w:spacing w:after="0" w:line="264" w:lineRule="auto"/>
        <w:rPr>
          <w:sz w:val="20"/>
          <w:szCs w:val="20"/>
          <w:color w:val="auto"/>
        </w:rPr>
      </w:pPr>
      <w:r>
        <w:rPr>
          <w:rFonts w:ascii="Arial" w:cs="Arial" w:eastAsia="Arial" w:hAnsi="Arial"/>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73" w:lineRule="exact"/>
        <w:rPr>
          <w:sz w:val="20"/>
          <w:szCs w:val="20"/>
          <w:color w:val="auto"/>
        </w:rPr>
      </w:pPr>
    </w:p>
    <w:p>
      <w:pPr>
        <w:ind w:left="460" w:right="60" w:firstLine="443"/>
        <w:spacing w:after="0" w:line="308" w:lineRule="auto"/>
        <w:tabs>
          <w:tab w:leader="none" w:pos="11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38"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rules of the Depositary, we shall have elected to terminate the book-entry system through the Depositary;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circumstances exist, in addition to or in lieu of those described above, as may be described in the applicable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All debt securities issued in exchange for a Global Security or any portion thereof will be registered in such names as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11" w:lineRule="exact"/>
        <w:rPr>
          <w:sz w:val="20"/>
          <w:szCs w:val="20"/>
          <w:color w:val="auto"/>
        </w:rPr>
      </w:pPr>
    </w:p>
    <w:p>
      <w:pPr>
        <w:ind w:right="120" w:firstLine="1484"/>
        <w:spacing w:after="0" w:line="290" w:lineRule="auto"/>
        <w:rPr>
          <w:sz w:val="20"/>
          <w:szCs w:val="20"/>
          <w:color w:val="auto"/>
        </w:rPr>
      </w:pPr>
      <w:r>
        <w:rPr>
          <w:rFonts w:ascii="Arial" w:cs="Arial" w:eastAsia="Arial" w:hAnsi="Arial"/>
          <w:sz w:val="16"/>
          <w:szCs w:val="16"/>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66"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Trustees or the agents of ourself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w:t>
      </w:r>
    </w:p>
    <w:p>
      <w:pPr>
        <w:spacing w:after="0" w:line="181" w:lineRule="exact"/>
        <w:rPr>
          <w:sz w:val="20"/>
          <w:szCs w:val="20"/>
          <w:color w:val="auto"/>
        </w:rPr>
      </w:pPr>
    </w:p>
    <w:p>
      <w:pPr>
        <w:ind w:right="20" w:firstLine="1484"/>
        <w:spacing w:after="0" w:line="270" w:lineRule="auto"/>
        <w:rPr>
          <w:sz w:val="20"/>
          <w:szCs w:val="20"/>
          <w:color w:val="auto"/>
        </w:rPr>
      </w:pPr>
      <w:r>
        <w:rPr>
          <w:rFonts w:ascii="Arial" w:cs="Arial" w:eastAsia="Arial" w:hAnsi="Arial"/>
          <w:sz w:val="17"/>
          <w:szCs w:val="17"/>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78"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We may not consolidate with or merge into, or transfer, lease or otherwise dispose of all or substantially all of our assets to, any Person (a “successor Person”), and may not permit any Person to consolidate with or merge into us, unless:</w:t>
      </w:r>
    </w:p>
    <w:p>
      <w:pPr>
        <w:spacing w:after="0" w:line="62" w:lineRule="exact"/>
        <w:rPr>
          <w:sz w:val="20"/>
          <w:szCs w:val="20"/>
          <w:color w:val="auto"/>
        </w:rPr>
      </w:pPr>
    </w:p>
    <w:p>
      <w:pPr>
        <w:ind w:left="460" w:right="500" w:firstLine="443"/>
        <w:spacing w:after="0" w:line="259"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successor Person (if not us)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 and</w:t>
      </w:r>
    </w:p>
    <w:p>
      <w:pPr>
        <w:spacing w:after="0" w:line="62" w:lineRule="exact"/>
        <w:rPr>
          <w:rFonts w:ascii="Arial" w:cs="Arial" w:eastAsia="Arial" w:hAnsi="Arial"/>
          <w:sz w:val="18"/>
          <w:szCs w:val="18"/>
          <w:color w:val="auto"/>
        </w:rPr>
      </w:pPr>
    </w:p>
    <w:p>
      <w:pPr>
        <w:ind w:left="460" w:right="76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w:t>
      </w:r>
    </w:p>
    <w:p>
      <w:pPr>
        <w:spacing w:after="0" w:line="62" w:lineRule="exact"/>
        <w:rPr>
          <w:sz w:val="20"/>
          <w:szCs w:val="20"/>
          <w:color w:val="auto"/>
        </w:rPr>
      </w:pPr>
    </w:p>
    <w:p>
      <w:pPr>
        <w:ind w:left="460" w:right="40" w:firstLine="438"/>
        <w:spacing w:after="0" w:line="342" w:lineRule="auto"/>
        <w:rPr>
          <w:sz w:val="20"/>
          <w:szCs w:val="20"/>
          <w:color w:val="auto"/>
        </w:rPr>
      </w:pPr>
      <w:r>
        <w:rPr>
          <w:rFonts w:ascii="Arial" w:cs="Arial" w:eastAsia="Arial" w:hAnsi="Arial"/>
          <w:sz w:val="16"/>
          <w:szCs w:val="16"/>
          <w:color w:val="auto"/>
        </w:rPr>
        <w:t>The successor Person (if not us) will be substituted for us under the applicable Indenture with the same effect as if it had been an original party to such Indenture, and, except in the case of a lease, we will be relieved from any further obligations under such Indenture and the debt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Unless otherwise specified in the prospectus supplement, each of the following will constitute an Event of Default under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with respect to debt securities of any series:</w:t>
      </w:r>
    </w:p>
    <w:p>
      <w:pPr>
        <w:spacing w:after="0" w:line="103" w:lineRule="exact"/>
        <w:rPr>
          <w:sz w:val="20"/>
          <w:szCs w:val="20"/>
          <w:color w:val="auto"/>
        </w:rPr>
      </w:pPr>
    </w:p>
    <w:p>
      <w:pPr>
        <w:ind w:left="460" w:right="520" w:firstLine="443"/>
        <w:spacing w:after="0" w:line="277"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62" w:lineRule="exact"/>
        <w:rPr>
          <w:rFonts w:ascii="Arial" w:cs="Arial" w:eastAsia="Arial" w:hAnsi="Arial"/>
          <w:sz w:val="18"/>
          <w:szCs w:val="18"/>
          <w:color w:val="auto"/>
        </w:rPr>
      </w:pPr>
    </w:p>
    <w:p>
      <w:pPr>
        <w:ind w:left="460" w:right="940" w:firstLine="443"/>
        <w:spacing w:after="0" w:line="308" w:lineRule="auto"/>
        <w:tabs>
          <w:tab w:leader="none" w:pos="11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“—Consolidation, Merger and Sale of Assets”;</w:t>
      </w:r>
    </w:p>
    <w:p>
      <w:pPr>
        <w:spacing w:after="0" w:line="117" w:lineRule="exact"/>
        <w:rPr>
          <w:rFonts w:ascii="Arial" w:cs="Arial" w:eastAsia="Arial" w:hAnsi="Arial"/>
          <w:sz w:val="18"/>
          <w:szCs w:val="18"/>
          <w:color w:val="auto"/>
        </w:rPr>
      </w:pPr>
    </w:p>
    <w:p>
      <w:pPr>
        <w:ind w:left="460" w:right="260" w:firstLine="443"/>
        <w:spacing w:after="0" w:line="264"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225"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If an Event of Default (other than an Event of Default with respect to ClearOne, Inc.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ClearOne, Inc.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w:t>
      </w:r>
    </w:p>
    <w:p>
      <w:pPr>
        <w:spacing w:after="0" w:line="183" w:lineRule="exact"/>
        <w:rPr>
          <w:sz w:val="20"/>
          <w:szCs w:val="20"/>
          <w:color w:val="auto"/>
        </w:rPr>
      </w:pPr>
    </w:p>
    <w:p>
      <w:pPr>
        <w:ind w:right="20" w:firstLine="1484"/>
        <w:spacing w:after="0" w:line="312" w:lineRule="auto"/>
        <w:rPr>
          <w:sz w:val="20"/>
          <w:szCs w:val="20"/>
          <w:color w:val="auto"/>
        </w:rPr>
      </w:pPr>
      <w:r>
        <w:rPr>
          <w:rFonts w:ascii="Arial" w:cs="Arial" w:eastAsia="Arial" w:hAnsi="Arial"/>
          <w:sz w:val="16"/>
          <w:szCs w:val="16"/>
          <w:color w:val="auto"/>
        </w:rPr>
        <w:t>Unless otherwise specified in the prospectus supplement, 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147" w:lineRule="exact"/>
        <w:rPr>
          <w:sz w:val="20"/>
          <w:szCs w:val="20"/>
          <w:color w:val="auto"/>
        </w:rPr>
      </w:pPr>
    </w:p>
    <w:p>
      <w:pPr>
        <w:ind w:right="100" w:firstLine="1484"/>
        <w:spacing w:after="0" w:line="276" w:lineRule="auto"/>
        <w:rPr>
          <w:sz w:val="20"/>
          <w:szCs w:val="20"/>
          <w:color w:val="auto"/>
        </w:rPr>
      </w:pPr>
      <w:r>
        <w:rPr>
          <w:rFonts w:ascii="Arial" w:cs="Arial" w:eastAsia="Arial" w:hAnsi="Arial"/>
          <w:sz w:val="17"/>
          <w:szCs w:val="17"/>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93" w:lineRule="exact"/>
        <w:rPr>
          <w:sz w:val="20"/>
          <w:szCs w:val="20"/>
          <w:color w:val="auto"/>
        </w:rPr>
      </w:pPr>
    </w:p>
    <w:p>
      <w:pPr>
        <w:ind w:right="180" w:firstLine="1484"/>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62" w:lineRule="exact"/>
        <w:rPr>
          <w:sz w:val="20"/>
          <w:szCs w:val="20"/>
          <w:color w:val="auto"/>
        </w:rPr>
      </w:pPr>
    </w:p>
    <w:p>
      <w:pPr>
        <w:ind w:left="460" w:right="6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applicable Indenture written notice of a continuing Event of Default with respect to the debt securities of that series;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w:t>
      </w:r>
    </w:p>
    <w:p>
      <w:pPr>
        <w:spacing w:after="0" w:line="170"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w:t>
      </w:r>
    </w:p>
    <w:p>
      <w:pPr>
        <w:spacing w:after="0" w:line="181"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may modify or amend an Indenture without the consent of any holders of the Debt Securities in certain circumstances, including:</w:t>
      </w:r>
    </w:p>
    <w:p>
      <w:pPr>
        <w:spacing w:after="0" w:line="140" w:lineRule="exact"/>
        <w:rPr>
          <w:sz w:val="20"/>
          <w:szCs w:val="20"/>
          <w:color w:val="auto"/>
        </w:rPr>
      </w:pPr>
    </w:p>
    <w:p>
      <w:pPr>
        <w:ind w:left="460" w:right="140" w:firstLine="443"/>
        <w:spacing w:after="0" w:line="277"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and to provide for its assumption of our obligations to holders of debt securities;</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changes that would add any additional covenants of us for the benefit of the holders of Debt Securities or that do not adversely affect the rights under the Indenture of the Holders of Debt Securities in any material respect;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 or</w:t>
      </w:r>
    </w:p>
    <w:p>
      <w:pPr>
        <w:spacing w:after="0" w:line="117"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Debt.</w:t>
      </w:r>
    </w:p>
    <w:p>
      <w:pPr>
        <w:spacing w:after="0" w:line="170" w:lineRule="exact"/>
        <w:rPr>
          <w:sz w:val="20"/>
          <w:szCs w:val="20"/>
          <w:color w:val="auto"/>
        </w:rPr>
      </w:pPr>
    </w:p>
    <w:p>
      <w:pPr>
        <w:ind w:right="200" w:firstLine="1484"/>
        <w:spacing w:after="0" w:line="286" w:lineRule="auto"/>
        <w:rPr>
          <w:sz w:val="20"/>
          <w:szCs w:val="20"/>
          <w:color w:val="auto"/>
        </w:rPr>
      </w:pPr>
      <w:r>
        <w:rPr>
          <w:rFonts w:ascii="Arial" w:cs="Arial" w:eastAsia="Arial" w:hAnsi="Arial"/>
          <w:sz w:val="17"/>
          <w:szCs w:val="17"/>
          <w:color w:val="auto"/>
        </w:rPr>
        <w:t>Modifications and amendments of an Indenture may be made by us and the applicable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57" w:lineRule="exact"/>
        <w:rPr>
          <w:sz w:val="20"/>
          <w:szCs w:val="20"/>
          <w:color w:val="auto"/>
        </w:rPr>
      </w:pPr>
    </w:p>
    <w:p>
      <w:pPr>
        <w:ind w:left="5660" w:right="2140" w:hanging="4757"/>
        <w:spacing w:after="0" w:line="449" w:lineRule="auto"/>
        <w:tabs>
          <w:tab w:leader="none" w:pos="11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 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or any other debt security payable upon acceleration of the Maturity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due on or any conversion right with respect to any debt security;</w:t>
      </w:r>
    </w:p>
    <w:p>
      <w:pPr>
        <w:spacing w:after="0" w:line="128" w:lineRule="exact"/>
        <w:rPr>
          <w:rFonts w:ascii="Arial" w:cs="Arial" w:eastAsia="Arial" w:hAnsi="Arial"/>
          <w:sz w:val="17"/>
          <w:szCs w:val="17"/>
          <w:color w:val="auto"/>
        </w:rPr>
      </w:pPr>
    </w:p>
    <w:p>
      <w:pPr>
        <w:ind w:left="460" w:right="48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the subordination provisions in the case of subordinated debt securities, or modify any conversion provisions, in either case in a manner adverse to the Holders of the subordinated debt securities;</w:t>
      </w:r>
    </w:p>
    <w:p>
      <w:pPr>
        <w:spacing w:after="0" w:line="62" w:lineRule="exact"/>
        <w:rPr>
          <w:rFonts w:ascii="Arial" w:cs="Arial" w:eastAsia="Arial" w:hAnsi="Arial"/>
          <w:sz w:val="18"/>
          <w:szCs w:val="18"/>
          <w:color w:val="auto"/>
        </w:rPr>
      </w:pPr>
    </w:p>
    <w:p>
      <w:pPr>
        <w:ind w:left="460" w:right="78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62"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following the making of an offer to purchase Debt Securities from any Holder that has been made pursuant to a covenant in such Indenture, modify such covenant in a manner adverse to such Holder.</w:t>
      </w:r>
    </w:p>
    <w:p>
      <w:pPr>
        <w:spacing w:after="0" w:line="170" w:lineRule="exact"/>
        <w:rPr>
          <w:sz w:val="20"/>
          <w:szCs w:val="20"/>
          <w:color w:val="auto"/>
        </w:rPr>
      </w:pPr>
    </w:p>
    <w:p>
      <w:pPr>
        <w:ind w:right="20" w:firstLine="1484"/>
        <w:spacing w:after="0" w:line="302" w:lineRule="auto"/>
        <w:rPr>
          <w:sz w:val="20"/>
          <w:szCs w:val="20"/>
          <w:color w:val="auto"/>
        </w:rPr>
      </w:pPr>
      <w:r>
        <w:rPr>
          <w:rFonts w:ascii="Arial" w:cs="Arial" w:eastAsia="Arial" w:hAnsi="Arial"/>
          <w:sz w:val="16"/>
          <w:szCs w:val="16"/>
          <w:color w:val="auto"/>
        </w:rPr>
        <w:t>The Holders of not less than a majority in principal amount of the outstanding debt securities of any series may waive compliance by us with certain restrictive provisions of the applicable Indenture. The Holders of not less than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spacing w:after="0" w:line="154" w:lineRule="exact"/>
        <w:rPr>
          <w:sz w:val="20"/>
          <w:szCs w:val="20"/>
          <w:color w:val="auto"/>
        </w:rPr>
      </w:pPr>
    </w:p>
    <w:p>
      <w:pPr>
        <w:ind w:right="600" w:firstLine="1484"/>
        <w:spacing w:after="0" w:line="308" w:lineRule="auto"/>
        <w:rPr>
          <w:sz w:val="20"/>
          <w:szCs w:val="20"/>
          <w:color w:val="auto"/>
        </w:rPr>
      </w:pPr>
      <w:r>
        <w:rPr>
          <w:rFonts w:ascii="Arial" w:cs="Arial" w:eastAsia="Arial" w:hAnsi="Arial"/>
          <w:sz w:val="17"/>
          <w:szCs w:val="17"/>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38" w:lineRule="exact"/>
        <w:rPr>
          <w:sz w:val="20"/>
          <w:szCs w:val="20"/>
          <w:color w:val="auto"/>
        </w:rPr>
      </w:pPr>
    </w:p>
    <w:p>
      <w:pPr>
        <w:ind w:left="460" w:right="34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73"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or any of our other Affiliates, will not be deemed to be outstanding.</w:t>
      </w:r>
    </w:p>
    <w:p>
      <w:pPr>
        <w:spacing w:after="0" w:line="225" w:lineRule="exact"/>
        <w:rPr>
          <w:sz w:val="20"/>
          <w:szCs w:val="20"/>
          <w:color w:val="auto"/>
        </w:rPr>
      </w:pPr>
    </w:p>
    <w:p>
      <w:pPr>
        <w:ind w:right="60" w:firstLine="1484"/>
        <w:spacing w:after="0" w:line="291" w:lineRule="auto"/>
        <w:rPr>
          <w:sz w:val="20"/>
          <w:szCs w:val="20"/>
          <w:color w:val="auto"/>
        </w:rPr>
      </w:pPr>
      <w:r>
        <w:rPr>
          <w:rFonts w:ascii="Arial" w:cs="Arial" w:eastAsia="Arial" w:hAnsi="Arial"/>
          <w:sz w:val="16"/>
          <w:szCs w:val="16"/>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Each Indenture will be discharged and will cease to be of further effect as to all Outstanding debt securities of any series issued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 when:</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either:</w:t>
      </w:r>
    </w:p>
    <w:p>
      <w:pPr>
        <w:spacing w:after="0" w:line="117" w:lineRule="exact"/>
        <w:rPr>
          <w:sz w:val="20"/>
          <w:szCs w:val="20"/>
          <w:color w:val="auto"/>
        </w:rPr>
      </w:pPr>
    </w:p>
    <w:p>
      <w:pPr>
        <w:ind w:left="460" w:firstLine="443"/>
        <w:spacing w:after="0" w:line="264" w:lineRule="auto"/>
        <w:tabs>
          <w:tab w:leader="none" w:pos="11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73" w:lineRule="exact"/>
        <w:rPr>
          <w:rFonts w:ascii="Arial" w:cs="Arial" w:eastAsia="Arial" w:hAnsi="Arial"/>
          <w:sz w:val="18"/>
          <w:szCs w:val="18"/>
          <w:color w:val="auto"/>
        </w:rPr>
      </w:pPr>
    </w:p>
    <w:p>
      <w:pPr>
        <w:ind w:left="460" w:right="140" w:firstLine="443"/>
        <w:spacing w:after="0" w:line="25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80" w:lineRule="exact"/>
        <w:rPr>
          <w:sz w:val="20"/>
          <w:szCs w:val="20"/>
          <w:color w:val="auto"/>
        </w:rPr>
      </w:pPr>
    </w:p>
    <w:p>
      <w:pPr>
        <w:ind w:left="1160" w:hanging="25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paid or caused to be paid all other sums payable by us under the Indenture with respect to the debt securities of that series; and</w:t>
      </w:r>
    </w:p>
    <w:p>
      <w:pPr>
        <w:spacing w:after="0" w:line="140" w:lineRule="exact"/>
        <w:rPr>
          <w:rFonts w:ascii="Arial" w:cs="Arial" w:eastAsia="Arial" w:hAnsi="Arial"/>
          <w:sz w:val="16"/>
          <w:szCs w:val="16"/>
          <w:color w:val="auto"/>
        </w:rPr>
      </w:pPr>
    </w:p>
    <w:p>
      <w:pPr>
        <w:ind w:left="460" w:right="28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300" w:firstLine="1484"/>
        <w:spacing w:after="0" w:line="312" w:lineRule="auto"/>
        <w:rPr>
          <w:sz w:val="20"/>
          <w:szCs w:val="20"/>
          <w:color w:val="auto"/>
        </w:rPr>
      </w:pPr>
      <w:r>
        <w:rPr>
          <w:rFonts w:ascii="Arial" w:cs="Arial" w:eastAsia="Arial" w:hAnsi="Arial"/>
          <w:sz w:val="16"/>
          <w:szCs w:val="16"/>
          <w:color w:val="auto"/>
        </w:rPr>
        <w:t>If and to the extent indicated in the applicable prospectus supplement, we may elect, at our option at any time, to have our obligations discharged under provisions relating to defeasance and discharge of indebtedness, which we call “legal defeasance,” or relating to defeasance of certain restrictive covenants applied to the debt securities of any series, or to any specified part of a series, which we call “covenant defeasance”.</w:t>
      </w:r>
    </w:p>
    <w:p>
      <w:pPr>
        <w:spacing w:after="0" w:line="147"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Indentures provide that, upon our exercise of our option (if any) to have the legal defeasance provisions applied</w:t>
      </w:r>
      <w:r>
        <w:rPr>
          <w:rFonts w:ascii="Arial" w:cs="Arial" w:eastAsia="Arial" w:hAnsi="Arial"/>
          <w:sz w:val="16"/>
          <w:szCs w:val="16"/>
          <w:i w:val="1"/>
          <w:iCs w:val="1"/>
          <w:color w:val="auto"/>
        </w:rPr>
        <w:t xml:space="preserve"> </w:t>
      </w:r>
      <w:r>
        <w:rPr>
          <w:rFonts w:ascii="Arial" w:cs="Arial" w:eastAsia="Arial" w:hAnsi="Arial"/>
          <w:sz w:val="16"/>
          <w:szCs w:val="16"/>
          <w:color w:val="auto"/>
        </w:rPr>
        <w:t>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58" w:lineRule="exact"/>
        <w:rPr>
          <w:sz w:val="20"/>
          <w:szCs w:val="20"/>
          <w:color w:val="auto"/>
        </w:rPr>
      </w:pPr>
    </w:p>
    <w:p>
      <w:pPr>
        <w:ind w:left="460" w:firstLine="443"/>
        <w:spacing w:after="0" w:line="302" w:lineRule="auto"/>
        <w:tabs>
          <w:tab w:leader="none" w:pos="115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46" w:lineRule="exact"/>
        <w:rPr>
          <w:rFonts w:ascii="Arial" w:cs="Arial" w:eastAsia="Arial" w:hAnsi="Arial"/>
          <w:sz w:val="16"/>
          <w:szCs w:val="16"/>
          <w:color w:val="auto"/>
        </w:rPr>
      </w:pPr>
    </w:p>
    <w:p>
      <w:pPr>
        <w:ind w:left="460" w:right="160" w:firstLine="443"/>
        <w:spacing w:after="0" w:line="264"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(other than the applicable Indenture) to which we are a party or by which we are bound;</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pacing w:after="0" w:line="78"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i w:val="1"/>
          <w:iCs w:val="1"/>
          <w:color w:val="auto"/>
        </w:rPr>
        <w:t>Covenant Defeasance</w:t>
      </w:r>
      <w:r>
        <w:rPr>
          <w:rFonts w:ascii="Arial" w:cs="Arial" w:eastAsia="Arial" w:hAnsi="Arial"/>
          <w:sz w:val="16"/>
          <w:szCs w:val="16"/>
          <w:color w:val="auto"/>
        </w:rPr>
        <w:t>. The Indentures provide that, upon our exercise of our option (if any) to have the covenant defeasance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applied to any debt securities, 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Notices to Holders of debt securities will be given by mail to the addresses of such Holders as they may appear in the Security Register.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firstLine="1484"/>
        <w:spacing w:after="0" w:line="308" w:lineRule="auto"/>
        <w:rPr>
          <w:sz w:val="20"/>
          <w:szCs w:val="20"/>
          <w:color w:val="auto"/>
        </w:rPr>
      </w:pPr>
      <w:r>
        <w:rPr>
          <w:rFonts w:ascii="Arial" w:cs="Arial" w:eastAsia="Arial" w:hAnsi="Arial"/>
          <w:sz w:val="17"/>
          <w:szCs w:val="17"/>
          <w:color w:val="auto"/>
        </w:rPr>
        <w:t>We, the Trustees and any agent of us, or a Trustee, may treat the Person in whose name a debt security is registered as the absolute owner of the debt security (whether or not such debt security may be overdue) for the purpose of making payment and for all other purposes.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Indentures and the debt securities will be governed by, and construed in accordance with, the law of the State of New York.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We will enter into the Indentures with a Trustee that is qualified to act under the Trust Indenture Act of 1939, as amended, and with any other Trustees chosen by us and appointed in a supplemental indenture for a particular series of Debt Securities. We may maintain a banking relationship in the ordinary course of business with our Trustee and one or more of its affiliates.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4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Our Creditor</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Each Indenture contains certain limitations on the right of the Trustee, in the event that it becomes our creditor, to obtain payment of claims in certain cases, or to realize on certain property received in respect of any such claim as security or otherwise.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1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In addition to other certificates or opinions that may be specifically required by other provisions of an Indenture, every application by us for action by the Trustee must be accompanied by an Officers’ Certificate and an Opinion of Counsel stating that, in the opinion of the signers, all conditions precedent to such action have been complied with by 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1484"/>
        <w:spacing w:after="0" w:line="257" w:lineRule="auto"/>
        <w:rPr>
          <w:sz w:val="20"/>
          <w:szCs w:val="20"/>
          <w:color w:val="auto"/>
        </w:rPr>
      </w:pPr>
      <w:r>
        <w:rPr>
          <w:rFonts w:ascii="Arial" w:cs="Arial" w:eastAsia="Arial" w:hAnsi="Arial"/>
          <w:sz w:val="18"/>
          <w:szCs w:val="18"/>
          <w:color w:val="auto"/>
        </w:rPr>
        <w:t>We may offer common stock, $0.001 par value per share, under this prospectus. Our authorized capital stock currently consists of 50,000,000 shares of common stock. At April 29, 2014, 9,309,529 shares of common stock were issued and outstanding. The following summary of certain provisions of our capital stock does not purport to be complete and is subject to and is qualified in its entirety by our articles of incorporation and by-laws, which are incorporated in this prospectus by reference as exhibits to the registration statement of which this prospectus forms a part, and by the provisions of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80" w:firstLine="1484"/>
        <w:spacing w:after="0" w:line="257" w:lineRule="auto"/>
        <w:rPr>
          <w:sz w:val="20"/>
          <w:szCs w:val="20"/>
          <w:color w:val="auto"/>
        </w:rPr>
      </w:pPr>
      <w:r>
        <w:rPr>
          <w:rFonts w:ascii="Arial" w:cs="Arial" w:eastAsia="Arial" w:hAnsi="Arial"/>
          <w:sz w:val="18"/>
          <w:szCs w:val="18"/>
          <w:color w:val="auto"/>
        </w:rPr>
        <w:t>The Company has fifty million (50,000,000) shares of common stock, $0.001 par value per share, authorized by its Amended and Restated Articles of Incorporation. The holders of the common stock of the Company shall be entitled at all meetings of shareholders to one vote for each share of such stock held by them. Cumulative voting is expressly prohibited by the Amended and Restated Articles of Incorporation. With respect to any matter, a quorum shall be present at a meeting of shareholders if the holders of a majority of the shares entitled to vote on that matter are represented at the meeting in person or by proxy.</w:t>
      </w:r>
    </w:p>
    <w:p>
      <w:pPr>
        <w:spacing w:after="0" w:line="188"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future issuance of such shares would reduce the percentage ownership held by existing shareholders and might dilute the book value of their shares.</w:t>
      </w:r>
    </w:p>
    <w:p>
      <w:pPr>
        <w:spacing w:after="0" w:line="234" w:lineRule="exact"/>
        <w:rPr>
          <w:sz w:val="20"/>
          <w:szCs w:val="20"/>
          <w:color w:val="auto"/>
        </w:rPr>
      </w:pPr>
    </w:p>
    <w:p>
      <w:pPr>
        <w:ind w:right="340" w:firstLine="1484"/>
        <w:spacing w:after="0" w:line="34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60" w:firstLine="1484"/>
        <w:spacing w:after="0" w:line="270" w:lineRule="auto"/>
        <w:rPr>
          <w:sz w:val="20"/>
          <w:szCs w:val="20"/>
          <w:color w:val="auto"/>
        </w:rPr>
      </w:pPr>
      <w:r>
        <w:rPr>
          <w:rFonts w:ascii="Arial" w:cs="Arial" w:eastAsia="Arial" w:hAnsi="Arial"/>
          <w:sz w:val="17"/>
          <w:szCs w:val="17"/>
          <w:color w:val="auto"/>
        </w:rPr>
        <w:t>We are a Utah corporation are subject to the Utah Control Shares Acquisitions Act, Utah Code Ann. § 61-6-1 et seq., (the “Control Share Provisions”). Under the Control Share Provisions, an acquisition of the power to vote shares of an issuing public corporation which allows for the exercise of voting power within certain ranges causes those shares to lose their voting rights. Specifically, an acquiring person who engages in a control share acquisition of an issuing public corporation, such as the Company, may not exercise voting rights on any “control shares” unless such voting rights are restored by a majority of all votes entitled to be cast by the disinterested shareholders of the issuing public corporation. Under the Control Share Provisions, “control shares” mean shares acquired by a person that, when added to all other shares of the issuing public corporation owned by that person or in respect of which that person may exercise or direct the exercise of voting power, would otherwise entitle that person to exercise or direct the exercise of voting power of the issuing public corporation in the election of directors within any of the following ranges: (a) one-fifth or more but less than one-third; (b) one-third or more but less than a majority; or (c) a majority or more. Any shares below the one-fifth threshold are expressly not “control shares” and may continue to be voted by the holder of such shares.</w:t>
      </w:r>
    </w:p>
    <w:p>
      <w:pPr>
        <w:spacing w:after="0" w:line="178"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The acquiring person may require the corporation to hold a special shareholder’s meeting to consider whether voting rights should be granted to the control shares. To require a special meeting, the acquiring person must: (a) file an acquiring person statement with certain required information with the corporation, including that the acquiring person statement is given pursuant to the Control Share Provisions; and (b) agree to pay the special meeting expenses. After receiving such request, the Control Share Provisions state that the directors shall call a special meeting of shareholders within a certain time as set forth in the Control Share Provisions, for the purpose of considering the voting rights to be accorded the shares acquired or to be acquired in the control share acquisition. The Control Share Provisions further provide that if no such request is made, the voting rights to be accorded the shares acquired in the control shares acquisition shall be presented to the next special or annual meeting of shareholders.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Under the Control Share Provisions, “interested shares” are not eligible to vote on a proposal to consider the restoration of such shares’ voting rights. “Interested shares” are defined in the Control Share Provisions as the shares as to which any of the following persons may exercise or direct the exercise of the voting power of the corporation, on or after the applicable record date, in the election of directors:</w:t>
      </w:r>
    </w:p>
    <w:p>
      <w:pPr>
        <w:spacing w:after="0" w:line="87" w:lineRule="exact"/>
        <w:rPr>
          <w:sz w:val="20"/>
          <w:szCs w:val="20"/>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acquiring person or member of a group with respect to a control share acquisition;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officer of the issuing public corporation;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employee of the issuing public corporation who is also a director of the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 of Shareholders</w:t>
      </w:r>
    </w:p>
    <w:p>
      <w:pPr>
        <w:spacing w:after="0" w:line="12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bylaws provide that any action which may be taken at a meeting of the shareholders may be taken without a meeting and without prior notice if one or more consents in writing, setting forth the action so taken, shall be signed by the holders of outstanding shares having not less than the minimum number of votes that would be necessary to authorize or take such action at a meeting at which all shareholders entitled to vote with respect to the subject matter thereof were present and voted. Special meetings of the shareholders may be called by holders of at least 10% of all the votes entitled to be cast on any issue proposed to be considered at the proposed special meeting or by the Chairman of the Board, the President or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and registrar for our common stock is Broadridge.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WARRANTS</w:t>
      </w:r>
    </w:p>
    <w:p>
      <w:pPr>
        <w:spacing w:after="0" w:line="22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may issue warrants for the purchase of our common stock and. Warrants may be issued independently or together with debt securities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6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You should refer to the prospectus supplement relating to a particular issue of warrants for the terms of and information relating to the warrants, including, where applicable:</w:t>
      </w:r>
    </w:p>
    <w:p>
      <w:pPr>
        <w:spacing w:after="0" w:line="62" w:lineRule="exact"/>
        <w:rPr>
          <w:sz w:val="20"/>
          <w:szCs w:val="20"/>
          <w:color w:val="auto"/>
        </w:rPr>
      </w:pPr>
    </w:p>
    <w:p>
      <w:pPr>
        <w:ind w:left="460" w:right="240" w:firstLine="443"/>
        <w:spacing w:after="0" w:line="277"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exercise of the warrants and the price at which such number of shares of common stock may be purchased upon exercise of the warrants;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commences and the date on which such right expires (the “Expiration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the warrants outstanding as of the most recent practicable date;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Warrants will be offered and exercisable for United States dollars only. Warrants will be issued in registered form only. Each warrant will entitle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w:t>
      </w:r>
    </w:p>
    <w:p>
      <w:pPr>
        <w:spacing w:after="0" w:line="158"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relating to such rights.</w:t>
      </w:r>
    </w:p>
    <w:p>
      <w:pPr>
        <w:spacing w:after="0" w:line="170" w:lineRule="exact"/>
        <w:rPr>
          <w:sz w:val="20"/>
          <w:szCs w:val="20"/>
          <w:color w:val="auto"/>
        </w:rPr>
      </w:pPr>
    </w:p>
    <w:p>
      <w:pPr>
        <w:ind w:right="160" w:firstLine="1484"/>
        <w:spacing w:after="0" w:line="302" w:lineRule="auto"/>
        <w:rPr>
          <w:sz w:val="20"/>
          <w:szCs w:val="20"/>
          <w:color w:val="auto"/>
        </w:rPr>
      </w:pPr>
      <w:r>
        <w:rPr>
          <w:rFonts w:ascii="Arial" w:cs="Arial" w:eastAsia="Arial" w:hAnsi="Arial"/>
          <w:sz w:val="16"/>
          <w:szCs w:val="16"/>
          <w:color w:val="auto"/>
        </w:rPr>
        <w:t>We may issue subscription rights to purchase our equity or debt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54"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76" w:lineRule="exact"/>
        <w:rPr>
          <w:sz w:val="20"/>
          <w:szCs w:val="20"/>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exercise price payable for our equity or debt securities upon the exercise of the subscription rights;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our equity or debt securities that may be purchased per each subscription right;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440" w:right="420" w:hanging="324"/>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right to exercise the subscription rights shall commence, and the date on which the subscription rights shall expire;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and</w:t>
      </w:r>
    </w:p>
    <w:p>
      <w:pPr>
        <w:spacing w:after="0" w:line="130"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jc w:val="both"/>
        <w:ind w:right="120" w:firstLine="1484"/>
        <w:spacing w:after="0" w:line="264"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debt securities, warrants, subscription rights or any combination of such securities.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154" w:lineRule="exact"/>
        <w:rPr>
          <w:sz w:val="20"/>
          <w:szCs w:val="20"/>
          <w:color w:val="auto"/>
        </w:rPr>
      </w:pPr>
    </w:p>
    <w:p>
      <w:pPr>
        <w:ind w:left="440" w:hanging="324"/>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units and of any of the common stock, debt securities, warrants or subscription rights comprising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25" w:lineRule="exact"/>
        <w:rPr>
          <w:sz w:val="20"/>
          <w:szCs w:val="20"/>
          <w:color w:val="auto"/>
        </w:rPr>
      </w:pPr>
    </w:p>
    <w:p>
      <w:pPr>
        <w:ind w:right="100" w:firstLine="1484"/>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“Description of Securities Warrants,” and “Description of Subscription Rights” will apply to each unit and to any common stock, debt securities, warrants and subscription rights in each unit,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This prospectus covers the sale by the selling shareholder from time to time of up to 150,000 shares of common stock.</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table shows for the selling shareholder:</w:t>
      </w:r>
    </w:p>
    <w:p>
      <w:pPr>
        <w:spacing w:after="0" w:line="131" w:lineRule="exact"/>
        <w:rPr>
          <w:sz w:val="20"/>
          <w:szCs w:val="20"/>
          <w:color w:val="auto"/>
        </w:rPr>
      </w:pPr>
    </w:p>
    <w:p>
      <w:pPr>
        <w:ind w:left="1920" w:hanging="440"/>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him or her,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covered by this prospectus, and</w:t>
      </w:r>
    </w:p>
    <w:p>
      <w:pPr>
        <w:spacing w:after="0" w:line="130" w:lineRule="exact"/>
        <w:rPr>
          <w:rFonts w:ascii="Arial" w:cs="Arial" w:eastAsia="Arial" w:hAnsi="Arial"/>
          <w:sz w:val="18"/>
          <w:szCs w:val="18"/>
          <w:color w:val="auto"/>
        </w:rPr>
      </w:pPr>
    </w:p>
    <w:p>
      <w:pPr>
        <w:ind w:left="1920" w:right="100" w:hanging="440"/>
        <w:spacing w:after="0" w:line="342" w:lineRule="auto"/>
        <w:tabs>
          <w:tab w:leader="none" w:pos="1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number of shares of common stock to be retained after this offering, if any, assuming the selling shareholder sell the maximum number of shares (and percentage of outstanding shares of common stock owned after this offering, if more than 1%).</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selling shareholder is not required, and may choose not, to sell any of its shares of common stock.</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3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Common</w:t>
            </w: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to Be Sold</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Offering</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in Offering</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Offering(2)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Doran M. Oster (1)</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Doran M. Oster owns approximately owns approximately 1.6% of the Company prior to the Offering. Mr. Oster is not a registered broker dealer or the affiliate of a registered broker dealer.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all shares of common stock offered hereby are sold.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Offering</w:t>
      </w:r>
    </w:p>
    <w:p>
      <w:pPr>
        <w:spacing w:after="0" w:line="117"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We may sell the securities from time to time pursuant to underwritten public offerings, negotiated transactions, block trades or a combination of these methods, or through any other method permitted by applicable law. We may sell the securities in and outside the United States through underwriters, brokers or dealers, agents or directly to one or more purchasers, including our affiliates and shareholders. We may sell securities through a rights offering, forward contracts or similar arrangements. We may distribute the securities from time to time in one or more transactions:</w:t>
      </w:r>
    </w:p>
    <w:p>
      <w:pPr>
        <w:spacing w:after="0" w:line="77" w:lineRule="exact"/>
        <w:rPr>
          <w:sz w:val="20"/>
          <w:szCs w:val="20"/>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fixed price or prices, which may be changed;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prospectus supplement or supplements will describe the terms of the offering, including the following information:</w:t>
      </w:r>
    </w:p>
    <w:p>
      <w:pPr>
        <w:spacing w:after="0" w:line="131" w:lineRule="exact"/>
        <w:rPr>
          <w:sz w:val="20"/>
          <w:szCs w:val="20"/>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names of any underwriters, brokers, dealers or agents;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from us;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initial public offering price;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5" w:lineRule="exact"/>
        <w:rPr>
          <w:sz w:val="20"/>
          <w:szCs w:val="20"/>
          <w:color w:val="auto"/>
        </w:rPr>
      </w:pPr>
    </w:p>
    <w:p>
      <w:pPr>
        <w:ind w:right="200" w:firstLine="1484"/>
        <w:spacing w:after="0" w:line="264" w:lineRule="auto"/>
        <w:rPr>
          <w:sz w:val="20"/>
          <w:szCs w:val="20"/>
          <w:color w:val="auto"/>
        </w:rPr>
      </w:pPr>
      <w:r>
        <w:rPr>
          <w:rFonts w:ascii="Arial" w:cs="Arial" w:eastAsia="Arial" w:hAnsi="Arial"/>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underwriting syndicates represented by one or more managing underwriters or directly by one or more firms acting as underwriters. Unless we inform you otherwise in the prospectus supplement, the obligations of the underwriters to purchase the securities will be subject to conditions, and the underwriters will be obligated to purchase all the securities if they purchase any of them. The underwriters may change from time to time any initial public offering price and any discounts or concessions allowed or reallowed or paid to dealers.</w:t>
      </w:r>
    </w:p>
    <w:p>
      <w:pPr>
        <w:spacing w:after="0" w:line="187"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stabilizing transactions, over-allotment transactions, syndicate covering transactions and penalty bids in accordance with Regulation M under the Exchange Act of 1934, as amended.</w:t>
      </w:r>
    </w:p>
    <w:p>
      <w:pPr>
        <w:spacing w:after="0" w:line="87" w:lineRule="exact"/>
        <w:rPr>
          <w:sz w:val="20"/>
          <w:szCs w:val="20"/>
          <w:color w:val="auto"/>
        </w:rPr>
      </w:pPr>
    </w:p>
    <w:p>
      <w:pPr>
        <w:ind w:left="1920" w:right="320" w:hanging="440"/>
        <w:spacing w:after="0" w:line="277"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75" w:lineRule="exact"/>
        <w:rPr>
          <w:rFonts w:ascii="Arial" w:cs="Arial" w:eastAsia="Arial" w:hAnsi="Arial"/>
          <w:sz w:val="18"/>
          <w:szCs w:val="18"/>
          <w:color w:val="auto"/>
        </w:rPr>
      </w:pPr>
    </w:p>
    <w:p>
      <w:pPr>
        <w:ind w:left="1920" w:hanging="440"/>
        <w:spacing w:after="0" w:line="273" w:lineRule="auto"/>
        <w:tabs>
          <w:tab w:leader="none" w:pos="1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3" w:lineRule="exact"/>
        <w:rPr>
          <w:rFonts w:ascii="Arial" w:cs="Arial" w:eastAsia="Arial" w:hAnsi="Arial"/>
          <w:sz w:val="17"/>
          <w:szCs w:val="17"/>
          <w:color w:val="auto"/>
        </w:rPr>
      </w:pPr>
    </w:p>
    <w:p>
      <w:pPr>
        <w:ind w:left="1920" w:hanging="440"/>
        <w:spacing w:after="0" w:line="291" w:lineRule="auto"/>
        <w:tabs>
          <w:tab w:leader="none" w:pos="1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2" w:lineRule="exact"/>
        <w:rPr>
          <w:rFonts w:ascii="Arial" w:cs="Arial" w:eastAsia="Arial" w:hAnsi="Arial"/>
          <w:sz w:val="16"/>
          <w:szCs w:val="16"/>
          <w:color w:val="auto"/>
        </w:rPr>
      </w:pPr>
    </w:p>
    <w:p>
      <w:pPr>
        <w:ind w:left="1920" w:hanging="440"/>
        <w:spacing w:after="0" w:line="342" w:lineRule="auto"/>
        <w:tabs>
          <w:tab w:leader="none" w:pos="1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24"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offered securities or preventing or retarding a decline in the market price of the offered securities. As a result, the price of the offered securities may be higher than the price that might otherwise exist in the open market. These transactions may be effected on the American Stock Exchange or otherwise and, if commenced, may be discontinued at any time.</w:t>
      </w:r>
    </w:p>
    <w:p>
      <w:pPr>
        <w:spacing w:after="0" w:line="187" w:lineRule="exact"/>
        <w:rPr>
          <w:sz w:val="20"/>
          <w:szCs w:val="20"/>
          <w:color w:val="auto"/>
        </w:rPr>
      </w:pPr>
    </w:p>
    <w:p>
      <w:pPr>
        <w:ind w:right="220" w:firstLine="1484"/>
        <w:spacing w:after="0" w:line="259"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of 1933 with respect to any sale of those securities. We will include in the prospectus supplement the names of the dealers and the terms of the transaction.</w:t>
      </w:r>
    </w:p>
    <w:p>
      <w:pPr>
        <w:spacing w:after="0" w:line="187"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color w:val="auto"/>
        </w:rPr>
        <w:t>Pursuant to any standby underwriting agreement entered into in connection with a subscription rights offering to our shareholders, persons acting as standby underwriters may receive a commitment fee for all securities underlying the subscription rights that the underwriter commits to purchase on a standby basis. Additionally, prior to the expiration date with respect to any subscription rights, any standby underwriters in a subscription rights offering to our shareholders may offer such securities on a when-issued basis, including securities to be acquired through the purchase and exercise of subscription rights, at prices set from time to time by the standby underwriters. After the expiration date with respect to such subscription rights, the underwriters may offer securities of the type underlying the subscription rights, whether acquired pursuant to a standby underwriting agreement, the exercise of the subscription rights or the purchase of such securities in the market, to the public at a price or prices to be determined by the underwriters. The standby underwriters may thus realize profits or losses independent of the underwriting discounts or commissions paid by us. If we do not enter into a standby underwriting arrangement in connection with a subscription rights offering to our shareholders, we may elect to retain a dealer-manager to manage such a subscription rights offering for us. Any such dealer-manager may offer securities of the type underlying the subscription rights acquired or to be acquired pursuant to the purchase and exercise of subscription rights and may thus realize profits or losses independent of any dealer-manager fee paid by us.</w:t>
      </w:r>
    </w:p>
    <w:p>
      <w:pPr>
        <w:spacing w:after="0" w:line="173" w:lineRule="exact"/>
        <w:rPr>
          <w:sz w:val="20"/>
          <w:szCs w:val="20"/>
          <w:color w:val="auto"/>
        </w:rPr>
      </w:pPr>
    </w:p>
    <w:p>
      <w:pPr>
        <w:ind w:right="300" w:firstLine="1484"/>
        <w:spacing w:after="0" w:line="286" w:lineRule="auto"/>
        <w:rPr>
          <w:sz w:val="20"/>
          <w:szCs w:val="20"/>
          <w:color w:val="auto"/>
        </w:rPr>
      </w:pPr>
      <w:r>
        <w:rPr>
          <w:rFonts w:ascii="Arial" w:cs="Arial" w:eastAsia="Arial" w:hAnsi="Arial"/>
          <w:sz w:val="17"/>
          <w:szCs w:val="17"/>
          <w:color w:val="auto"/>
        </w:rPr>
        <w:t>We may also sell the securities through agents we designate from time to time. In the prospectus supplement, we will name any agent involved in the offer or sale of the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Underwriters, brokers, dealers or agents, could make sales in privately negotiated transactions and/or any other method permitted by law, including sales deemed to be an “at the market” offering as defined in Rule 415 promulgated under the Securities Act, which includes sales made directly on or through the New York Stock Exchange, the existing trading market for our common stock, or sales made to or through a market maker other than on an exchange.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may sell the securities directly. In that event, no underwriters, brokers, dealers or agents would be involved.</w:t>
      </w:r>
    </w:p>
    <w:p>
      <w:pPr>
        <w:spacing w:after="0" w:line="225" w:lineRule="exact"/>
        <w:rPr>
          <w:sz w:val="20"/>
          <w:szCs w:val="20"/>
          <w:color w:val="auto"/>
        </w:rPr>
      </w:pPr>
    </w:p>
    <w:p>
      <w:pPr>
        <w:ind w:right="160" w:firstLine="1484"/>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of 1933 with respect to any sale of those securities. We will describe the terms of any such sales in the prospectus supplement.</w:t>
      </w:r>
    </w:p>
    <w:p>
      <w:pPr>
        <w:spacing w:after="0" w:line="147" w:lineRule="exact"/>
        <w:rPr>
          <w:sz w:val="20"/>
          <w:szCs w:val="20"/>
          <w:color w:val="auto"/>
        </w:rPr>
      </w:pPr>
    </w:p>
    <w:p>
      <w:pPr>
        <w:ind w:right="220" w:firstLine="1484"/>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87" w:lineRule="exact"/>
        <w:rPr>
          <w:sz w:val="20"/>
          <w:szCs w:val="20"/>
          <w:color w:val="auto"/>
        </w:rPr>
      </w:pPr>
    </w:p>
    <w:p>
      <w:pPr>
        <w:ind w:right="80" w:firstLine="1484"/>
        <w:spacing w:after="0" w:line="286" w:lineRule="auto"/>
        <w:rPr>
          <w:sz w:val="20"/>
          <w:szCs w:val="20"/>
          <w:color w:val="auto"/>
        </w:rPr>
      </w:pPr>
      <w:r>
        <w:rPr>
          <w:rFonts w:ascii="Arial" w:cs="Arial" w:eastAsia="Arial" w:hAnsi="Arial"/>
          <w:sz w:val="17"/>
          <w:szCs w:val="17"/>
          <w:color w:val="auto"/>
        </w:rPr>
        <w:t>We may have agreements with the agents, dealers and underwriters to indemnify them against civil liabilities, including liabilities under the Securities Act of 1933, or to contribute with respect to payments that the agents, dealers or underwriters may be required to make. Agents, dealers and underwriters may engage in transactions with us or perform services for us in the ordinary course of their businesses.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17" w:lineRule="exact"/>
        <w:rPr>
          <w:sz w:val="20"/>
          <w:szCs w:val="20"/>
          <w:color w:val="auto"/>
        </w:rPr>
      </w:pPr>
    </w:p>
    <w:p>
      <w:pPr>
        <w:jc w:val="both"/>
        <w:ind w:right="80" w:firstLine="1484"/>
        <w:spacing w:after="0" w:line="312" w:lineRule="auto"/>
        <w:rPr>
          <w:sz w:val="20"/>
          <w:szCs w:val="20"/>
          <w:color w:val="auto"/>
        </w:rPr>
      </w:pPr>
      <w:r>
        <w:rPr>
          <w:rFonts w:ascii="Arial" w:cs="Arial" w:eastAsia="Arial" w:hAnsi="Arial"/>
          <w:sz w:val="16"/>
          <w:szCs w:val="16"/>
          <w:color w:val="auto"/>
        </w:rPr>
        <w:t>As used in this prospectus, “selling shareholder” includes any donees, pledgees, transferees or other successors in interest who will hold the selling shareholder’s shares after the date of this prospectus. We are paying the costs, expenses and fees of registering the common stock, but the selling shareholder will pay any underwriting or brokerage commissions and similar selling expenses relating to the sale of the shares of common stock.</w:t>
      </w:r>
    </w:p>
    <w:p>
      <w:pPr>
        <w:spacing w:after="0" w:line="147"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The selling shareholder may sell, from time to time, any or all of its shares of our common stock on the NASDAQ Capital Market or such other applicable stock exchange, market or trading facility on which our shares are then traded or in private transactions. A selling shareholder may sell his or her shares at prevailing market prices or privately negotiated prices.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selling shareholder may sell some or all of its common stock through:</w:t>
      </w:r>
    </w:p>
    <w:p>
      <w:pPr>
        <w:spacing w:after="0" w:line="131" w:lineRule="exact"/>
        <w:rPr>
          <w:sz w:val="20"/>
          <w:szCs w:val="20"/>
          <w:color w:val="auto"/>
        </w:rPr>
      </w:pPr>
    </w:p>
    <w:p>
      <w:pPr>
        <w:ind w:left="1920" w:hanging="440"/>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ordinary brokers’ transactions which may include long or short sales;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transactions involving cross or block trades or otherwise;</w:t>
      </w:r>
    </w:p>
    <w:p>
      <w:pPr>
        <w:spacing w:after="0" w:line="130" w:lineRule="exact"/>
        <w:rPr>
          <w:rFonts w:ascii="Arial" w:cs="Arial" w:eastAsia="Arial" w:hAnsi="Arial"/>
          <w:sz w:val="18"/>
          <w:szCs w:val="18"/>
          <w:color w:val="auto"/>
        </w:rPr>
      </w:pPr>
    </w:p>
    <w:p>
      <w:pPr>
        <w:ind w:left="1920" w:right="640" w:hanging="440"/>
        <w:spacing w:after="0" w:line="277"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purchases by brokers, dealers or underwriters as principal and resale by those purchasers for their own accounts under this prospectus;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makers or into an existing market for our common stock;</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ways not involving market makers or established trading markets, including direct sales to purchasers or sales effected through agents;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combination of the selling options described in this prospectus, or by any other legally available means.</w:t>
      </w:r>
    </w:p>
    <w:p>
      <w:pPr>
        <w:spacing w:after="0" w:line="225" w:lineRule="exact"/>
        <w:rPr>
          <w:sz w:val="20"/>
          <w:szCs w:val="20"/>
          <w:color w:val="auto"/>
        </w:rPr>
      </w:pPr>
    </w:p>
    <w:p>
      <w:pPr>
        <w:jc w:val="both"/>
        <w:ind w:right="100" w:firstLine="1484"/>
        <w:spacing w:after="0" w:line="286" w:lineRule="auto"/>
        <w:rPr>
          <w:sz w:val="20"/>
          <w:szCs w:val="20"/>
          <w:color w:val="auto"/>
        </w:rPr>
      </w:pPr>
      <w:r>
        <w:rPr>
          <w:rFonts w:ascii="Arial" w:cs="Arial" w:eastAsia="Arial" w:hAnsi="Arial"/>
          <w:sz w:val="17"/>
          <w:szCs w:val="17"/>
          <w:color w:val="auto"/>
        </w:rPr>
        <w:t>The selling shareholder may enter into hedging transactions with broker-dealers who may engage in short sales of our common stock in the course of hedging the positions they assume. The selling shareholder also may enter into option or other transactions with broker-dealers that require the delivery of the common stock by those broker-dealers. Thereafter, the shares may be resold under this prospectus.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We will pay the costs and expenses of the registration and offering of the common stock offered hereby. We will not pay any underwriting fees, discounts and selling commissions with respect to a selling shareholder’s sale of its common stock, which will be paid by such selling shareholder. 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3" w:lineRule="exact"/>
        <w:rPr>
          <w:sz w:val="20"/>
          <w:szCs w:val="20"/>
          <w:color w:val="auto"/>
        </w:rPr>
      </w:pPr>
    </w:p>
    <w:p>
      <w:pPr>
        <w:ind w:right="140" w:firstLine="1484"/>
        <w:spacing w:after="0" w:line="279" w:lineRule="auto"/>
        <w:rPr>
          <w:sz w:val="20"/>
          <w:szCs w:val="20"/>
          <w:color w:val="auto"/>
        </w:rPr>
      </w:pPr>
      <w:r>
        <w:rPr>
          <w:rFonts w:ascii="Arial" w:cs="Arial" w:eastAsia="Arial" w:hAnsi="Arial"/>
          <w:sz w:val="17"/>
          <w:szCs w:val="17"/>
          <w:color w:val="auto"/>
        </w:rPr>
        <w:t>The selling shareholder and any broker-dealers involved in the sale or resale of our common stock may qualify as “underwriters” within the meaning of Section 2(a)(11) of the Securities Act. In addition, the broker-dealers’ commissions, discounts or concessions may qualify as underwriters’ compensation under the Securities Act. If any selling shareholder or any broker-dealer qualifies as an “underwriter,” they will be subject to the prospectus delivery requirements of Rule 153 of the Securities Act, which may include delivery through the facilities of the NASD.</w:t>
      </w:r>
    </w:p>
    <w:p>
      <w:pPr>
        <w:spacing w:after="0" w:line="171" w:lineRule="exact"/>
        <w:rPr>
          <w:sz w:val="20"/>
          <w:szCs w:val="20"/>
          <w:color w:val="auto"/>
        </w:rPr>
      </w:pPr>
    </w:p>
    <w:p>
      <w:pPr>
        <w:jc w:val="both"/>
        <w:ind w:right="100" w:firstLine="1484"/>
        <w:spacing w:after="0" w:line="264" w:lineRule="auto"/>
        <w:rPr>
          <w:sz w:val="20"/>
          <w:szCs w:val="20"/>
          <w:color w:val="auto"/>
        </w:rPr>
      </w:pPr>
      <w:r>
        <w:rPr>
          <w:rFonts w:ascii="Arial" w:cs="Arial" w:eastAsia="Arial" w:hAnsi="Arial"/>
          <w:sz w:val="18"/>
          <w:szCs w:val="18"/>
          <w:color w:val="auto"/>
        </w:rPr>
        <w:t>In conjunction with sales to or through brokers, dealers or agents, the selling shareholder may agree to indemnify them against liabilities arising under the Securities Act. We know of no existing arrangements between the selling shareholder, any other shareholder, broker, dealer, underwriter or agent relating to the sale or distribution of our common stock.</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addition to selling its shares of common stock under this prospectus, the selling shareholder may:</w:t>
      </w:r>
    </w:p>
    <w:p>
      <w:pPr>
        <w:spacing w:after="0" w:line="131" w:lineRule="exact"/>
        <w:rPr>
          <w:sz w:val="20"/>
          <w:szCs w:val="20"/>
          <w:color w:val="auto"/>
        </w:rPr>
      </w:pPr>
    </w:p>
    <w:p>
      <w:pPr>
        <w:ind w:left="1920" w:right="40" w:hanging="440"/>
        <w:spacing w:after="0" w:line="277"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its common stock in other ways not involving market makers or established trading markets, including by gift, distribution, or other transfer;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some cases, sell its common stock under Rule 144 of the Securities Act, if the transaction meets the requirements of Rule 144.</w:t>
      </w:r>
    </w:p>
    <w:p>
      <w:pPr>
        <w:spacing w:after="0" w:line="248" w:lineRule="exact"/>
        <w:rPr>
          <w:sz w:val="20"/>
          <w:szCs w:val="20"/>
          <w:color w:val="auto"/>
        </w:rPr>
      </w:pPr>
    </w:p>
    <w:p>
      <w:pPr>
        <w:ind w:right="100" w:firstLine="1484"/>
        <w:spacing w:after="0" w:line="291" w:lineRule="auto"/>
        <w:rPr>
          <w:sz w:val="20"/>
          <w:szCs w:val="20"/>
          <w:color w:val="auto"/>
        </w:rPr>
      </w:pPr>
      <w:r>
        <w:rPr>
          <w:rFonts w:ascii="Arial" w:cs="Arial" w:eastAsia="Arial" w:hAnsi="Arial"/>
          <w:sz w:val="16"/>
          <w:szCs w:val="16"/>
          <w:color w:val="auto"/>
        </w:rPr>
        <w:t>We have advised the selling shareholder that during the time each is engaged in a distribution of the shares covered by this prospectus, it is required to comply with Regulation M promulgated under the Exchange Act. With certain exceptions, Regulation M precludes the selling shareholder, any affiliated purchasers, and any broker-dealer or other person who participates in such distribution from bidding for or purchasing, or attempting to induce any person to bid for or purchase, any shares which are the subject of the distribution until the entire distribution is complete. Regulation M also prohibits any bids or purchases made in order to stabilize the price of our shares in connection with the distribution of our shares. We have further advised selling shareholder who may be “affiliated purchasers” of ours that they must coordinate their sales under this prospectus with each other and us for purposes of Regulation M. All of the foregoing may affect the marketability of the shares offered in this prospectus.</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will amend or supplement this prospectus as required by the Securities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1484"/>
        <w:spacing w:after="0" w:line="277" w:lineRule="auto"/>
        <w:rPr>
          <w:sz w:val="20"/>
          <w:szCs w:val="20"/>
          <w:color w:val="auto"/>
        </w:rPr>
      </w:pPr>
      <w:r>
        <w:rPr>
          <w:rFonts w:ascii="Arial" w:cs="Arial" w:eastAsia="Arial" w:hAnsi="Arial"/>
          <w:sz w:val="18"/>
          <w:szCs w:val="18"/>
          <w:color w:val="auto"/>
        </w:rPr>
        <w:t>The validity of the equity and debt securities registered in this offering will be passed upon by the law firm of Seyfarth Shaw LLP, Houston, Texas. Legal counsel to any underwriters may pass upon legal matters for such underwriters.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1484"/>
        <w:spacing w:after="0" w:line="312" w:lineRule="auto"/>
        <w:rPr>
          <w:sz w:val="20"/>
          <w:szCs w:val="20"/>
          <w:color w:val="auto"/>
        </w:rPr>
      </w:pPr>
      <w:r>
        <w:rPr>
          <w:rFonts w:ascii="Arial" w:cs="Arial" w:eastAsia="Arial" w:hAnsi="Arial"/>
          <w:sz w:val="16"/>
          <w:szCs w:val="16"/>
          <w:color w:val="auto"/>
        </w:rPr>
        <w:t>The consolidated financial statements incorporated in this prospectus by reference to the annual report on Form 10-K for the year ended December 31, 2013 have been audited by McGladrey LLP, an independent registered public accounting firm, as stated in their report incorporated by reference herein, and have been so incorporated in reliance upon such report and upon the authority of such firm as experts in accounting and auditing.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40" w:firstLine="1484"/>
        <w:spacing w:after="0" w:line="277" w:lineRule="auto"/>
        <w:rPr>
          <w:sz w:val="20"/>
          <w:szCs w:val="20"/>
          <w:color w:val="auto"/>
        </w:rPr>
      </w:pPr>
      <w:r>
        <w:rPr>
          <w:rFonts w:ascii="Arial" w:cs="Arial" w:eastAsia="Arial" w:hAnsi="Arial"/>
          <w:sz w:val="18"/>
          <w:szCs w:val="18"/>
          <w:color w:val="auto"/>
        </w:rPr>
        <w:t>This prospectus is part of a Registration Statement on Form S-3 that we filed with the Commission. Certain information in the Registration Statement has been omitted from this prospectus in accordance with the rules of the Commission.</w:t>
      </w:r>
    </w:p>
    <w:p>
      <w:pPr>
        <w:spacing w:after="0" w:line="170" w:lineRule="exact"/>
        <w:rPr>
          <w:sz w:val="20"/>
          <w:szCs w:val="20"/>
          <w:color w:val="auto"/>
        </w:rPr>
      </w:pPr>
    </w:p>
    <w:p>
      <w:pPr>
        <w:ind w:right="140" w:firstLine="1484"/>
        <w:spacing w:after="0" w:line="289" w:lineRule="auto"/>
        <w:rPr>
          <w:sz w:val="20"/>
          <w:szCs w:val="20"/>
          <w:color w:val="auto"/>
        </w:rPr>
      </w:pPr>
      <w:r>
        <w:rPr>
          <w:rFonts w:ascii="Arial" w:cs="Arial" w:eastAsia="Arial" w:hAnsi="Arial"/>
          <w:sz w:val="16"/>
          <w:szCs w:val="16"/>
          <w:color w:val="auto"/>
        </w:rPr>
        <w:t xml:space="preserve">The Company files annual, quarterly and current reports, proxy statements and other documents with the Commission under the Securities Act of 1934. Our file number is 001-33660. The public may read and copy any materials that we file with the Commission at the Commission’s Public Reference Room at Headquarters Office, 100 F Street, NE, Washington, DC 20549. The public may obtain information on the operation of the Public Reference Room by calling the Commission at 1-800-SEC-0330. Also, the Commission maintains an Internet website that contains reports, proxy and information statements, and other information regarding issuers, including us, that file electronically with the Commission. The public can obtain any documents that we file electronically with the Commission at </w:t>
      </w:r>
      <w:r>
        <w:rPr>
          <w:rFonts w:ascii="Arial" w:cs="Arial" w:eastAsia="Arial" w:hAnsi="Arial"/>
          <w:sz w:val="16"/>
          <w:szCs w:val="16"/>
          <w:i w:val="1"/>
          <w:iCs w:val="1"/>
          <w:color w:val="auto"/>
        </w:rPr>
        <w:t>http://www.sec.gov</w:t>
      </w:r>
      <w:r>
        <w:rPr>
          <w:rFonts w:ascii="Arial" w:cs="Arial" w:eastAsia="Arial" w:hAnsi="Arial"/>
          <w:sz w:val="16"/>
          <w:szCs w:val="16"/>
          <w:color w:val="auto"/>
        </w:rPr>
        <w:t>. In addition, the Company maintains a website (</w:t>
      </w:r>
      <w:r>
        <w:rPr>
          <w:rFonts w:ascii="Arial" w:cs="Arial" w:eastAsia="Arial" w:hAnsi="Arial"/>
          <w:sz w:val="16"/>
          <w:szCs w:val="16"/>
          <w:i w:val="1"/>
          <w:iCs w:val="1"/>
          <w:color w:val="auto"/>
        </w:rPr>
        <w:t>www.clearone.com</w:t>
      </w:r>
      <w:r>
        <w:rPr>
          <w:rFonts w:ascii="Arial" w:cs="Arial" w:eastAsia="Arial" w:hAnsi="Arial"/>
          <w:sz w:val="16"/>
          <w:szCs w:val="16"/>
          <w:color w:val="auto"/>
        </w:rPr>
        <w:t>) on which we also make available, free of charge, all of the Company’s above mentioned filings with the Commission, including Forms 3, 4 and 5 filed with respect to our equity securities under Section 16(a) of the Securities Act of 1934. These filings will be available as soon as reasonably practicable after we electronically file such material with, or furnish it to, the Commission. However, the information on the Company’s website is not part of this prospectus.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color w:val="auto"/>
        </w:rPr>
        <w:t>The Commission allows us to “incorporate by reference” into this prospectus the information we provide in other documents filed by us with the Commission.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Commission, modifies and replaces this information. We incorporate by reference the following documents that we have filed with the Commission (except for those items furnished pursuant to Item 2.02 or Item 7.01 of Form 8-K unless otherwise stated therein):</w:t>
      </w:r>
    </w:p>
    <w:p>
      <w:pPr>
        <w:spacing w:after="0" w:line="99" w:lineRule="exact"/>
        <w:rPr>
          <w:sz w:val="20"/>
          <w:szCs w:val="20"/>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 filed on March 20, 2014.</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Current Reports on Form 8-K filed by us with the SEC since December 31, 2013:</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Current Report on Form 8-K filed on January 13,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Current Report on Form 8-K filed on March 3,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Current Report on Form 8-K filed on March 10, 2014; and</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Current Report on Form 8-K filed on April 7, 2014.</w:t>
      </w:r>
    </w:p>
    <w:p>
      <w:pPr>
        <w:spacing w:after="0" w:line="130" w:lineRule="exact"/>
        <w:rPr>
          <w:rFonts w:ascii="Arial" w:cs="Arial" w:eastAsia="Arial" w:hAnsi="Arial"/>
          <w:sz w:val="18"/>
          <w:szCs w:val="18"/>
          <w:color w:val="auto"/>
        </w:rPr>
      </w:pPr>
    </w:p>
    <w:p>
      <w:pPr>
        <w:ind w:left="1920" w:hanging="440"/>
        <w:spacing w:after="0" w:line="264" w:lineRule="auto"/>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as originally filed with the Commission on August 10, 2007, and any amendment or report that may be filed from time to time for the purpose of updating, changing or modifying the description of our common stock.</w:t>
      </w:r>
    </w:p>
    <w:p>
      <w:pPr>
        <w:spacing w:after="0" w:line="181"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color w:val="auto"/>
        </w:rPr>
        <w:t>In addition, all documents filed by us with the Commission under Sections 13(a), 13(c), 14 or 15(d) of the Exchange Act (other than those furnished pursuant to Item 2.02 or Item 7.01 of Form 8-K, unless otherwise stated therein) after the date of the initial registration statement and prior to the effectiveness of the registration statement, as well as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Item 2.02, Results of Operations and Financial Condition, or Item 7.01, Regulation FD Disclosure, of Form 8-K is not deemed to be “filed” for the purpose of Section 18 of the Exchange Act, and we are not subject to the liabilities of Section 18 with respect to information submitted under Item 2.02 or Item 7.01 of Form 8-K. We are not incorporating by reference any information submitted under Item 2.02 or Item 7.01 of Form 8-K into any filing under the Securities Act or the Exchange Act or into this prospectus, unless otherwise indicated on such Form 8-K.</w:t>
      </w:r>
    </w:p>
    <w:p>
      <w:pPr>
        <w:spacing w:after="0" w:line="187" w:lineRule="exact"/>
        <w:rPr>
          <w:sz w:val="20"/>
          <w:szCs w:val="20"/>
          <w:color w:val="auto"/>
        </w:rPr>
      </w:pPr>
    </w:p>
    <w:p>
      <w:pPr>
        <w:ind w:right="240" w:firstLine="1484"/>
        <w:spacing w:after="0" w:line="264" w:lineRule="auto"/>
        <w:rPr>
          <w:sz w:val="20"/>
          <w:szCs w:val="20"/>
          <w:color w:val="auto"/>
        </w:rPr>
      </w:pPr>
      <w:r>
        <w:rPr>
          <w:rFonts w:ascii="Arial" w:cs="Arial" w:eastAsia="Arial" w:hAnsi="Arial"/>
          <w:sz w:val="18"/>
          <w:szCs w:val="18"/>
          <w:color w:val="auto"/>
        </w:rPr>
        <w:t>You may obtain copies of this prospectus or any of the incorporated documents (excluding exhibits, unless the exhibits are specifically incorporated) at no charge to you by writing Corporate Secretary, ClearOne, Inc., 5225 Wiley Post Way, Suite 500, Salt Lake City, Utah 84116, or calling (801) 975-7200.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 Shares of 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Offered by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21, 2014</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only rely on the information contained in this prospectus. We have not authorized anyone to provide you with information different from that contained in this prospectus. The selling shareholder is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80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2)"/>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80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2"/>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2019-12-06T02:51:52Z</dcterms:created>
  <dcterms:modified xsi:type="dcterms:W3CDTF">2019-12-06T02:51:52Z</dcterms:modified>
</cp:coreProperties>
</file>