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14, 2024 (August 14,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325755"/>
                    </a:xfrm>
                    <a:prstGeom prst="rect">
                      <a:avLst/>
                    </a:prstGeom>
                    <a:noFill/>
                  </pic:spPr>
                </pic:pic>
              </a:graphicData>
            </a:graphic>
          </wp:anchor>
        </w:drawing>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tcPr>
          <w:p>
            <w:pPr>
              <w:spacing w:after="0"/>
              <w:rPr>
                <w:sz w:val="18"/>
                <w:szCs w:val="18"/>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16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rPr>
              <w:t>Common Stock, $0.001</w:t>
            </w: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CLRO</w:t>
            </w:r>
          </w:p>
        </w:tc>
        <w:tc>
          <w:tcPr>
            <w:tcW w:w="78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00" w:lineRule="exact"/>
        <w:rPr>
          <w:sz w:val="24"/>
          <w:szCs w:val="24"/>
          <w:color w:val="auto"/>
        </w:rPr>
      </w:pPr>
    </w:p>
    <w:p>
      <w:pPr>
        <w:spacing w:after="0" w:line="227"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August 14, 2024 ClearOne, Inc. (the “Company”) issued a press release announcing its financial results for the three and six months ended June 30, 2024. The full text of the press release is attached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9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ClearOne, Inc. dated August 14, 2024.</w:t>
            </w:r>
          </w:p>
        </w:tc>
        <w:tc>
          <w:tcPr>
            <w:tcW w:w="5140" w:type="dxa"/>
            <w:vAlign w:val="bottom"/>
          </w:tcPr>
          <w:p>
            <w:pPr>
              <w:spacing w:after="0"/>
              <w:rPr>
                <w:sz w:val="14"/>
                <w:szCs w:val="14"/>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16"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211"/>
        </w:trPr>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 Reports Second Quarter 2024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Sequential and Year-over-Year OpEx Reductions Reflect Continued Benefits of Cost Optimization Initiatives-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 August 14, 2024 </w:t>
      </w:r>
      <w:r>
        <w:rPr>
          <w:rFonts w:ascii="Times New Roman" w:cs="Times New Roman" w:eastAsia="Times New Roman" w:hAnsi="Times New Roman"/>
          <w:sz w:val="18"/>
          <w:szCs w:val="18"/>
          <w:color w:val="auto"/>
        </w:rPr>
        <w:t>– ClearOne (NASDAQ: CLRO), a global provider of audio and visual communication solutions,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three-month period ended June 30, 2024.</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declined 58% sequentially and 39% year over year, primarily due to a significant decrease in revenues from the audio conferencing category, which includes our DSP mixer products. “We believe this revenue decline was primarily due to the cumulative impact of past production shortages,” said Derek Graham, CEO of ClearOne. “Historically, we have seen a lag of several months between the time that our professional conferencing products are specified for a project and the date when those products are purchased for installation. Since our product availability was constrained through a significant part of Q4 2023 as a result of delays in the transition of outsourced manufacturing from China to Singapore throughout 2023, we believe our revenue was impacted negatively by these market dynamics through much of Q2 2024. We have also faced sales headwinds from our products’ lack of Microsoft Teams certification, despite their longtime functional compatibility with this platform. Our work through early 2024 has focused on mitigating these impacts through maintaining consistent dialogues, product demonstrations, and feedback cycles with end users and channel partners, along with improving our visibility at key industry events. Our sales in Q2 2024 were also impacted by our transition to a new distributor in the Middle East. We anticipate, although there can be no assurance, that our new Middle East distributor will continue our previous history of sales growth in the region, but there was an impact to our sales in that region due to the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89" w:lineRule="exact"/>
        <w:rPr>
          <w:sz w:val="20"/>
          <w:szCs w:val="20"/>
          <w:color w:val="auto"/>
        </w:rPr>
      </w:pPr>
    </w:p>
    <w:p>
      <w:pPr>
        <w:ind w:left="540" w:right="280"/>
        <w:spacing w:after="0" w:line="257" w:lineRule="auto"/>
        <w:rPr>
          <w:sz w:val="20"/>
          <w:szCs w:val="20"/>
          <w:color w:val="auto"/>
        </w:rPr>
      </w:pPr>
      <w:r>
        <w:rPr>
          <w:rFonts w:ascii="Times New Roman" w:cs="Times New Roman" w:eastAsia="Times New Roman" w:hAnsi="Times New Roman"/>
          <w:sz w:val="18"/>
          <w:szCs w:val="18"/>
          <w:color w:val="auto"/>
        </w:rPr>
        <w:t>The Company showcased its full line of collaboration and conferencing solutions at Infocomm 2024 including seamless integration with popular collaboration solutions from other companies and a comprehensive portfolio of solutions for various applications and meeting room sizes. The Company captured 60% more sales leads due to in-person visitors during Infocomm USA 2024 compared to Infocomm USA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40"/>
        <w:spacing w:after="0" w:line="250" w:lineRule="auto"/>
        <w:rPr>
          <w:sz w:val="20"/>
          <w:szCs w:val="20"/>
          <w:color w:val="auto"/>
        </w:rPr>
      </w:pPr>
      <w:r>
        <w:rPr>
          <w:rFonts w:ascii="Times New Roman" w:cs="Times New Roman" w:eastAsia="Times New Roman" w:hAnsi="Times New Roman"/>
          <w:sz w:val="18"/>
          <w:szCs w:val="18"/>
          <w:color w:val="auto"/>
        </w:rPr>
        <w:t>The Company introduced the Versa Lite BMA 360D in Q2 2024. This innovative bundle combines ClearOne’s industry-leading BMA 360D Dante® enabled microphone array ceiling tile with the Versa® USB22D Dante® adapter, offering a perfect audio solution for any conferencing space with an easy connection to any computer or room device via USB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Company reduced operating expenses by 10.1% sequentially and 9.33%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Graham continued, “During the first half of 2024, our team has been diligently working to win back customers who have defected to competing brands. We believe, although there can be no assurance, those efforts will bear fruit soon. We continue to see strong interest in our innovative products as demonstrated by the 60% increase in visitors at our Infocomm USA booth even though overall Infocomm USA attendance was only up 3% this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60" w:hanging="437"/>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2024 revenue was $2.3 million, compared to $5.5 million in Q2 2023 and $3.6 million in Q1 2024. The 36.1% sequential decrease was driven by reduced demand across all product categories. We believe the flow of sales orders during Q2 2024 was reduced due to the cumulative impact of past product shortages. We believe the revenue decrease was mainly due to sustained inventory sourcing and order fulfillment challenges for the Company's core audio conferencing and beam forming microphone arrays as a result of delays in the transition of outsourced manufacturing from China to Singapore throughout 2023.</w:t>
      </w:r>
    </w:p>
    <w:p>
      <w:pPr>
        <w:spacing w:after="0" w:line="169" w:lineRule="exact"/>
        <w:rPr>
          <w:rFonts w:ascii="Times New Roman" w:cs="Times New Roman" w:eastAsia="Times New Roman" w:hAnsi="Times New Roman"/>
          <w:sz w:val="18"/>
          <w:szCs w:val="18"/>
          <w:color w:val="auto"/>
        </w:rPr>
      </w:pPr>
    </w:p>
    <w:p>
      <w:pPr>
        <w:jc w:val="both"/>
        <w:ind w:left="460" w:hanging="437"/>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profit/(loss) in Q2 2024 was $(0.02) million, compared to $1.8 million in Q2 2023 and $1.2 million in Q1 2024. GAAP gross profit margin was- 1% in Q2 2024, compared to 32% in Q1 2024 and 34% in Q2 2023. The large decrease in gross profit margin occurred due to increased inventory scrap costs, increasing the inventory reserve to write down the value for certain items, and an increase in purchase price variance from increasing vendor costs.</w:t>
      </w:r>
    </w:p>
    <w:p>
      <w:pPr>
        <w:spacing w:after="0" w:line="166"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Q2 2024 improved to $2.9 million, compared to $3.2 million in Q2 2023 and $3.2 million in Q1 2024. Non-GAAP operating expenses in Q2 2024 improved to $2.8 million compared to $3.1 million in Q1 2024 and $3.1 million in Q2 2023. The sequential and year-over-year decrease in non-GAAP operating expenses was mainly due to the continued benefits of the cost-cutting measures initiated in 2022.</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Q2 2024 was $(2.8) million, or $(0.12) per share, compared to a net loss of $(1.0) million, or $(0.04) per share, in Q2 2023 and a net loss of $(1.9) million, or $(0.08) per share, in Q1 2024. The year-over-year increase in net loss was primarily due to the aforementioned decrease in revenue and gross profit, partially offset by a decrease in operating expenses.</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Q2 2024 was $(2.7) million, or $(0.11) per share, compared to a Non-GAAP net loss of $(0.9) million, or $(0.04) per share, in Q2 2023 and a Non-GAAP net loss of $(1.8) million, or $(0.07) per share, in Q1 2024. The year-over-year increase in Non-GAAP net loss was driven by the aforementioned decrease in revenue and gross profit partially offset by a decrease in operating expenses.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000, except per share)</w:t>
            </w:r>
          </w:p>
        </w:tc>
        <w:tc>
          <w:tcPr>
            <w:tcW w:w="220" w:type="dxa"/>
            <w:vAlign w:val="bottom"/>
          </w:tcPr>
          <w:p>
            <w:pPr>
              <w:spacing w:after="0"/>
              <w:rPr>
                <w:sz w:val="20"/>
                <w:szCs w:val="20"/>
                <w:color w:val="auto"/>
              </w:rPr>
            </w:pPr>
          </w:p>
        </w:tc>
        <w:tc>
          <w:tcPr>
            <w:tcW w:w="426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422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1"/>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00" w:type="dxa"/>
            <w:vAlign w:val="bottom"/>
          </w:tcPr>
          <w:p>
            <w:pPr>
              <w:spacing w:after="0"/>
              <w:rPr>
                <w:sz w:val="17"/>
                <w:szCs w:val="17"/>
                <w:color w:val="auto"/>
              </w:rPr>
            </w:pPr>
          </w:p>
        </w:tc>
      </w:tr>
      <w:tr>
        <w:trPr>
          <w:trHeight w:val="238"/>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Favorable/(Adverse)</w:t>
            </w:r>
          </w:p>
        </w:tc>
        <w:tc>
          <w:tcPr>
            <w:tcW w:w="1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Favorable/(Adverse)</w:t>
            </w:r>
          </w:p>
        </w:tc>
      </w:tr>
      <w:tr>
        <w:trPr>
          <w:trHeight w:val="210"/>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184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5,483</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9,661</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1,848</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2,904</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3,203</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6,133</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6,707</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189"/>
        </w:trPr>
        <w:tc>
          <w:tcPr>
            <w:tcW w:w="2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6,413</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2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diluted loss per</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cash, cash equivalents and investments were $4.9 million, as compared with $22.2 million as of December 31, 2023.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Quarterly Report on Form 10-Q (the “10-Q”) filed by the Company for the same period with the Securities and Exchange Commission (the “SEC”) and all of the Company’s other public filings with the SEC (the “Public Filings”).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2023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3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cross license receivable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$326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0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$0.001, 50,000,000 shares authorized, 23,969,148 shares issued and outstanding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46,047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6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6,498</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2,503</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2,276</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(3,544)</w:t>
            </w:r>
          </w:p>
        </w:tc>
      </w:t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2,103</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(4,705)</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(1,824)</w:t>
            </w:r>
          </w:p>
        </w:tc>
      </w:tr>
      <w:tr>
        <w:trPr>
          <w:trHeight w:val="216"/>
        </w:trPr>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Borders>
              <w:bottom w:val="single" w:sz="8" w:color="CCEEFF"/>
            </w:tcBorders>
          </w:tcPr>
          <w:p>
            <w:pPr>
              <w:spacing w:after="0"/>
              <w:rPr>
                <w:sz w:val="22"/>
                <w:szCs w:val="22"/>
                <w:color w:val="auto"/>
              </w:rPr>
            </w:pPr>
          </w:p>
        </w:tc>
      </w:tr>
      <w:tr>
        <w:trPr>
          <w:trHeight w:val="196"/>
        </w:trPr>
        <w:tc>
          <w:tcPr>
            <w:tcW w:w="5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23,955,802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23,955,785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23,955,802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23,955,785</w:t>
            </w:r>
          </w:p>
        </w:tc>
      </w:t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UNAUDITED RECONCILIATION OF GAAP MEASURES TO NON-GAAP MEASURES</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operating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8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4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(2,924)</w:t>
            </w:r>
          </w:p>
        </w:tc>
        <w:tc>
          <w:tcPr>
            <w:tcW w:w="240" w:type="dxa"/>
            <w:vAlign w:val="bottom"/>
          </w:tcPr>
          <w:p>
            <w:pPr>
              <w:spacing w:after="0"/>
              <w:rPr>
                <w:sz w:val="17"/>
                <w:szCs w:val="17"/>
                <w:color w:val="auto"/>
              </w:rPr>
            </w:pPr>
          </w:p>
        </w:tc>
        <w:tc>
          <w:tcPr>
            <w:tcW w:w="28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17"/>
                <w:szCs w:val="17"/>
                <w:color w:val="auto"/>
              </w:rPr>
            </w:pPr>
          </w:p>
        </w:tc>
        <w:tc>
          <w:tcPr>
            <w:tcW w:w="20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(5,002)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(3,544)</w:t>
            </w:r>
          </w:p>
        </w:tc>
        <w:tc>
          <w:tcPr>
            <w:tcW w:w="60" w:type="dxa"/>
            <w:vAlign w:val="bottom"/>
            <w:gridSpan w:val="2"/>
          </w:tcPr>
          <w:p>
            <w:pPr>
              <w:spacing w:after="0"/>
              <w:rPr>
                <w:sz w:val="17"/>
                <w:szCs w:val="17"/>
                <w:color w:val="auto"/>
              </w:rPr>
            </w:pPr>
          </w:p>
        </w:tc>
      </w:tr>
      <w:tr>
        <w:trPr>
          <w:trHeight w:val="229"/>
        </w:trPr>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20"/>
                <w:szCs w:val="20"/>
                <w:color w:val="auto"/>
              </w:rPr>
            </w:pPr>
          </w:p>
        </w:tc>
      </w:tr>
      <w:tr>
        <w:trPr>
          <w:trHeight w:val="209"/>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w:t>
            </w:r>
          </w:p>
        </w:tc>
        <w:tc>
          <w:tcPr>
            <w:tcW w:w="40" w:type="dxa"/>
            <w:vAlign w:val="bottom"/>
          </w:tcPr>
          <w:p>
            <w:pPr>
              <w:spacing w:after="0"/>
              <w:rPr>
                <w:sz w:val="18"/>
                <w:szCs w:val="18"/>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-608330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-316865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00" w:space="720"/>
            <w:col w:w="572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(1,851)</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tcBorders>
              <w:bottom w:val="single" w:sz="8" w:color="CCEEFF"/>
            </w:tcBorders>
          </w:tcPr>
          <w:p>
            <w:pPr>
              <w:spacing w:after="0"/>
              <w:rPr>
                <w:sz w:val="22"/>
                <w:szCs w:val="22"/>
                <w:color w:val="auto"/>
              </w:rPr>
            </w:pPr>
          </w:p>
        </w:tc>
      </w:tr>
      <w:tr>
        <w:trPr>
          <w:trHeight w:val="197"/>
        </w:trPr>
        <w:tc>
          <w:tcPr>
            <w:tcW w:w="5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(4,718)</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computing GAAP diluted loss per share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23,955,802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23,955,785</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loss per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(4,493)</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Non-GAAP diluted loss per share</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23,955,802</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23,955,785</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loss per share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5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(4,718)</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2024-08-15T05:19:21Z</dcterms:created>
  <dcterms:modified xsi:type="dcterms:W3CDTF">2024-08-15T05:19:21Z</dcterms:modified>
</cp:coreProperties>
</file>