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8, 2015</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640"/>
              <w:spacing w:after="0"/>
              <w:rPr>
                <w:sz w:val="20"/>
                <w:szCs w:val="20"/>
                <w:color w:val="auto"/>
              </w:rPr>
            </w:pPr>
            <w:r>
              <w:rPr>
                <w:rFonts w:ascii="Arial" w:cs="Arial" w:eastAsia="Arial" w:hAnsi="Arial"/>
                <w:sz w:val="18"/>
                <w:szCs w:val="18"/>
                <w:b w:val="1"/>
                <w:bCs w:val="1"/>
                <w:color w:val="auto"/>
              </w:rPr>
              <w:t>Utah</w:t>
            </w:r>
          </w:p>
        </w:tc>
        <w:tc>
          <w:tcPr>
            <w:tcW w:w="388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001-33660</w:t>
            </w:r>
          </w:p>
        </w:tc>
        <w:tc>
          <w:tcPr>
            <w:tcW w:w="220" w:type="dxa"/>
            <w:vAlign w:val="bottom"/>
          </w:tcPr>
          <w:p>
            <w:pPr>
              <w:spacing w:after="0"/>
              <w:rPr>
                <w:sz w:val="20"/>
                <w:szCs w:val="20"/>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b w:val="1"/>
                <w:bCs w:val="1"/>
                <w:color w:val="auto"/>
              </w:rPr>
              <w:t>87-0398877</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w:t>
            </w: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of incorporation)</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(Commission 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18"/>
                <w:szCs w:val="18"/>
                <w:color w:val="auto"/>
              </w:rPr>
            </w:pPr>
          </w:p>
        </w:tc>
      </w:tr>
      <w:tr>
        <w:trPr>
          <w:trHeight w:val="234"/>
        </w:trPr>
        <w:tc>
          <w:tcPr>
            <w:tcW w:w="9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6"/>
          </w:tcPr>
          <w:p>
            <w:pPr>
              <w:ind w:left="298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right"/>
              <w:ind w:right="710"/>
              <w:spacing w:after="0"/>
              <w:rPr>
                <w:sz w:val="20"/>
                <w:szCs w:val="20"/>
                <w:color w:val="auto"/>
              </w:rPr>
            </w:pPr>
            <w:r>
              <w:rPr>
                <w:rFonts w:ascii="Arial" w:cs="Arial" w:eastAsia="Arial" w:hAnsi="Arial"/>
                <w:sz w:val="18"/>
                <w:szCs w:val="18"/>
                <w:color w:val="auto"/>
              </w:rPr>
              <w:t>(Zip Code)</w:t>
            </w:r>
          </w:p>
        </w:tc>
      </w:tr>
      <w:tr>
        <w:trPr>
          <w:trHeight w:val="635"/>
        </w:trPr>
        <w:tc>
          <w:tcPr>
            <w:tcW w:w="6400" w:type="dxa"/>
            <w:vAlign w:val="bottom"/>
            <w:gridSpan w:val="4"/>
          </w:tcPr>
          <w:p>
            <w:pPr>
              <w:jc w:val="center"/>
              <w:ind w:left="4950"/>
              <w:spacing w:after="0"/>
              <w:rPr>
                <w:sz w:val="20"/>
                <w:szCs w:val="20"/>
                <w:color w:val="auto"/>
              </w:rPr>
            </w:pPr>
            <w:r>
              <w:rPr>
                <w:rFonts w:ascii="Arial" w:cs="Arial" w:eastAsia="Arial" w:hAnsi="Arial"/>
                <w:sz w:val="18"/>
                <w:szCs w:val="18"/>
                <w:b w:val="1"/>
                <w:bCs w:val="1"/>
                <w:color w:val="auto"/>
                <w:w w:val="91"/>
              </w:rPr>
              <w:t>+1 (801) 975-7200</w:t>
            </w: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902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0"/>
                <w:szCs w:val="20"/>
                <w:color w:val="auto"/>
              </w:rPr>
            </w:pPr>
          </w:p>
        </w:tc>
      </w:tr>
      <w:tr>
        <w:trPr>
          <w:trHeight w:val="39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2740" w:type="dxa"/>
            <w:vAlign w:val="bottom"/>
            <w:gridSpan w:val="3"/>
          </w:tcPr>
          <w:p>
            <w:pPr>
              <w:spacing w:after="0"/>
              <w:rPr>
                <w:sz w:val="24"/>
                <w:szCs w:val="24"/>
                <w:color w:val="auto"/>
              </w:rPr>
            </w:pPr>
          </w:p>
        </w:tc>
        <w:tc>
          <w:tcPr>
            <w:tcW w:w="2400" w:type="dxa"/>
            <w:vAlign w:val="bottom"/>
          </w:tcPr>
          <w:p>
            <w:pPr>
              <w:spacing w:after="0"/>
              <w:rPr>
                <w:sz w:val="24"/>
                <w:szCs w:val="24"/>
                <w:color w:val="auto"/>
              </w:rPr>
            </w:pPr>
          </w:p>
        </w:tc>
      </w:tr>
      <w:tr>
        <w:trPr>
          <w:trHeight w:val="237"/>
        </w:trPr>
        <w:tc>
          <w:tcPr>
            <w:tcW w:w="902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9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 in Registrant's Certifying Accountant.</w:t>
      </w:r>
    </w:p>
    <w:p>
      <w:pPr>
        <w:spacing w:after="0" w:line="229" w:lineRule="exact"/>
        <w:rPr>
          <w:sz w:val="20"/>
          <w:szCs w:val="20"/>
          <w:color w:val="auto"/>
        </w:rPr>
      </w:pPr>
    </w:p>
    <w:p>
      <w:pPr>
        <w:ind w:firstLine="8"/>
        <w:spacing w:after="0" w:line="270" w:lineRule="auto"/>
        <w:tabs>
          <w:tab w:leader="none" w:pos="425" w:val="left"/>
        </w:tabs>
        <w:numPr>
          <w:ilvl w:val="0"/>
          <w:numId w:val="1"/>
        </w:numPr>
        <w:rPr>
          <w:rFonts w:ascii="Arial" w:cs="Arial" w:eastAsia="Arial" w:hAnsi="Arial"/>
          <w:sz w:val="17"/>
          <w:szCs w:val="17"/>
          <w:color w:val="auto"/>
        </w:rPr>
      </w:pPr>
      <w:r>
        <w:rPr>
          <w:rFonts w:ascii="Arial" w:cs="Arial" w:eastAsia="Arial" w:hAnsi="Arial"/>
          <w:sz w:val="17"/>
          <w:szCs w:val="17"/>
          <w:color w:val="auto"/>
        </w:rPr>
        <w:t>On October 8, 2015, ClearOne, Inc. (the “Company”) received notice from its registered public accounting firm, McGladrey LLP (“McGladrey”), that McGladrey resigned effective October 8, 2015. McGladrey's resignation was not due to any reason related to the Company's financial reporting or accounting operations, policies or practices. In its resignation letter, McGladrey stated it had concluded that its independence had been impaired because an associated entity of McGladrey has provided certain prohibited non-audit services under applicable Securities and Exchange Commission rules and related Public Company Accounting Oversight Board professional practice standards to an international subsidiary of the Company. The non-audit services at issue were tax representation services that were not material to the Company's financial results. Prior to such determination, the Company did not believe there were any issues relating to McGladrey’s independence, and the Company and McGladrey continue to believe that the services at issue did not compromise McGladrey’s integrity or objectivity with respect to its audit reports. The Company is not aware of any reason the financial statements in the Company’s Form 10-K for the year ended December 31, 2014 or the Form 10-Qs for the interim periods ended March 31, 2015 and June 30, 2015 will be impacted in any material way upon re-audit and re-review by new independent accountants.</w:t>
      </w:r>
    </w:p>
    <w:p>
      <w:pPr>
        <w:spacing w:after="0" w:line="178"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At this time, and before withdrawing its audit report for the year ended December 31, 2014, as discussed further under Item 4.02 below, none of McGladrey's audit reports for the years ended December 31, 2014, 2013 or 2012 contained an adverse opinion or a disclaimer of opinion, nor was any such report qualified or modified as to uncertainty, audit scope or accounting principles.</w:t>
      </w:r>
    </w:p>
    <w:p>
      <w:pPr>
        <w:spacing w:after="0" w:line="18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addition, at this time and during the years ended December 31, 2014, 2013 and 2012 and through October 8, 2015, there were (i) no disagreements between the Company and McGladrey on any matter of accounting principles or practices, financial statement disclosure or auditing scope or procedure which, if not resolved to McGladrey's satisfaction, would have caused McGladrey to make a reference to the subject matter of the disagreement in connection with its report for such years and subsequent interim periods, and (ii) no "reportable events" as defined in Item 304(a)(1)(v) of Regulation S-K for such years and subsequent interim periods through October 8, 2015, other than McGladrey's withdrawal of its audit report on the Company's financial statements for the year ended December 31, 2014 described herein solely as a result of its determination that it was not independent of the Company for such period and subsequent interim periods, which is discussed further under Item 4.02 below, and constitutes a reportable event under Item 304(a)(1)(v)(D) of Regulation S-K.</w:t>
      </w:r>
    </w:p>
    <w:p>
      <w:pPr>
        <w:spacing w:after="0" w:line="192"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Company has provided McGladrey with a copy of the disclosure set forth in this Item 4.01 of this Current Report on Form 8-K and requested that McGladrey furnish the Company with a letter addressed to the Securities and Exchange Commission (the “SEC”) stating whether or not it agrees with the statements made herein, each as required by SEC rules. A copy of McGladrey's letter, dated October 14, 2015 stating its agreement with the above statements is attached hereto as Exhibit 16.1. A copy of McGladrey's resignation letter, dated October 8, 2015 is attached hereto as Exhibit 99.1.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4.02. Non-Reliance on Previously Issued Financial Statements or a Related Audit Report or Completed Interim Review.</w:t>
      </w:r>
    </w:p>
    <w:p>
      <w:pPr>
        <w:spacing w:after="0" w:line="229" w:lineRule="exact"/>
        <w:rPr>
          <w:sz w:val="20"/>
          <w:szCs w:val="20"/>
          <w:color w:val="auto"/>
        </w:rPr>
      </w:pPr>
    </w:p>
    <w:p>
      <w:pPr>
        <w:ind w:right="20" w:firstLine="8"/>
        <w:spacing w:after="0" w:line="271" w:lineRule="auto"/>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disclosed above, in its resignation letter, McGladrey stated it had concluded that its independence had been impaired because an associated entity of McGladrey has provided certain prohibited non-audit services to an international subsidiary of the Company. It further stated that it had reached this conclusion despite its belief that the services of issue did not impact its integrity and objectivity. As a result of McGladrey’s conclusion that its independence had been impaired, within the resignation letter provided to the Company, McGladrey notified the Company that reliance should not, for this reason, be placed on (i) the Report of Independent Registered Public Accounting Firm dated March 30, 2015 relating to the Company's consolidated financial statements for the year ended December 31, 2014; and (ii) the completed interim reviews for the periods ended March 31, 2015 and June 30, 2015. Accordingly, McGladrey has withdrawn their audit reports on the Company’s financial statements for the year ended December 31, 2014 and has revoked their consent to incorporate the report in any and all registration statements.</w:t>
      </w:r>
    </w:p>
    <w:p>
      <w:pPr>
        <w:spacing w:after="0" w:line="17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McGladrey has not brought any other matters to the Company’s attention that would affect the Company’s financial statements or internal control over financial reporting.</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light of the requirements of the federal securities laws and regulations and because the purpose of the auditor independence rules is to provide investors with confidence that audits and reviews of public company financial statements are carried out objectively and impartially by independent accountants, the Company will engage new independent accountants and will have them re-audit and re-review, as appropriate, the referenced financial statements. Following such re-audit and re-review, the Company plans to file an amended 2014 Annual Report on Form 10-K/A, which the Company expects will include its new independent accountant’s audit report on the Company’s financial statements. The Company can give no assurance that</w:t>
      </w:r>
    </w:p>
    <w:p>
      <w:pPr>
        <w:sectPr>
          <w:pgSz w:w="11900" w:h="16838" w:orient="portrait"/>
          <w:cols w:equalWidth="0" w:num="1">
            <w:col w:w="11420"/>
          </w:cols>
          <w:pgMar w:left="240" w:top="580" w:right="239" w:bottom="1440" w:gutter="0" w:footer="0" w:header="0"/>
        </w:sectPr>
      </w:pPr>
    </w:p>
    <w:bookmarkStart w:id="2" w:name="page3"/>
    <w:bookmarkEnd w:id="2"/>
    <w:p>
      <w:pPr>
        <w:jc w:val="both"/>
        <w:ind w:right="100"/>
        <w:spacing w:after="0" w:line="286" w:lineRule="auto"/>
        <w:rPr>
          <w:sz w:val="20"/>
          <w:szCs w:val="20"/>
          <w:color w:val="auto"/>
        </w:rPr>
      </w:pPr>
      <w:r>
        <w:rPr>
          <w:rFonts w:ascii="Arial" w:cs="Arial" w:eastAsia="Arial" w:hAnsi="Arial"/>
          <w:sz w:val="17"/>
          <w:szCs w:val="17"/>
          <w:color w:val="auto"/>
        </w:rPr>
        <w:t>the new independent accountant will reach the same conclusions as McGladrey regarding the application of accounting standards, management estimates or other factors affecting the Company’s financial statements in connection with such accountant’s audit and review process, and that material adjustments to or restatements of the Company’s financial statements for such periods will not be required as a result.</w:t>
      </w:r>
    </w:p>
    <w:p>
      <w:pPr>
        <w:spacing w:after="0" w:line="166"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Company’s audit committee as well as senior management discussed the matters described in this Item 4.02 with representatives of McGladrey. The Company has also provided McGladrey with a copy of the disclosure set forth in this Item 4.02 of this Current Report on Form 8-K and requested that McGladrey furnish the Company with a letter addressed to the SEC stating whether or not it agrees with the statements made herein, each as required by SEC rules. A copy of McGladrey's letter, dated October 14, 2015 stating its agreement with the above statements is attached hereto as Exhibit 16.1.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This Form 8-K contains “forward-looking” statements within the meaning of the Private Securities Litigation Reform Act of 1995, Section 27A of the Securities Act of 1933 and Section 21E of the Securities Exchange Act of 1934. These forward-looking statements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7"/>
                <w:szCs w:val="17"/>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380" w:type="dxa"/>
            <w:vAlign w:val="bottom"/>
            <w:gridSpan w:val="2"/>
          </w:tcPr>
          <w:p>
            <w:pPr>
              <w:ind w:left="40"/>
              <w:spacing w:after="0"/>
              <w:rPr>
                <w:sz w:val="20"/>
                <w:szCs w:val="20"/>
                <w:color w:val="auto"/>
              </w:rPr>
            </w:pPr>
            <w:r>
              <w:rPr>
                <w:rFonts w:ascii="Arial" w:cs="Arial" w:eastAsia="Arial" w:hAnsi="Arial"/>
                <w:sz w:val="16"/>
                <w:szCs w:val="16"/>
                <w:color w:val="auto"/>
              </w:rPr>
              <w:t>Exhibit 16.1</w:t>
            </w:r>
          </w:p>
        </w:tc>
        <w:tc>
          <w:tcPr>
            <w:tcW w:w="10040" w:type="dxa"/>
            <w:vAlign w:val="bottom"/>
          </w:tcPr>
          <w:p>
            <w:pPr>
              <w:ind w:left="40"/>
              <w:spacing w:after="0"/>
              <w:rPr>
                <w:sz w:val="20"/>
                <w:szCs w:val="20"/>
                <w:color w:val="auto"/>
              </w:rPr>
            </w:pPr>
            <w:r>
              <w:rPr>
                <w:rFonts w:ascii="Arial" w:cs="Arial" w:eastAsia="Arial" w:hAnsi="Arial"/>
                <w:sz w:val="16"/>
                <w:szCs w:val="16"/>
                <w:color w:val="auto"/>
              </w:rPr>
              <w:t>Letter from McGladrey LLP, dated October 14, 2015, stating agreement with statements within this Form 8-K.</w:t>
            </w:r>
          </w:p>
        </w:tc>
      </w:tr>
      <w:tr>
        <w:trPr>
          <w:trHeight w:val="270"/>
        </w:trPr>
        <w:tc>
          <w:tcPr>
            <w:tcW w:w="1380" w:type="dxa"/>
            <w:vAlign w:val="bottom"/>
            <w:gridSpan w:val="2"/>
          </w:tcPr>
          <w:p>
            <w:pPr>
              <w:ind w:left="40"/>
              <w:spacing w:after="0"/>
              <w:rPr>
                <w:sz w:val="20"/>
                <w:szCs w:val="20"/>
                <w:color w:val="auto"/>
              </w:rPr>
            </w:pPr>
            <w:r>
              <w:rPr>
                <w:rFonts w:ascii="Arial" w:cs="Arial" w:eastAsia="Arial" w:hAnsi="Arial"/>
                <w:sz w:val="16"/>
                <w:szCs w:val="16"/>
                <w:color w:val="auto"/>
              </w:rPr>
              <w:t>Exhibit 99.1</w:t>
            </w:r>
          </w:p>
        </w:tc>
        <w:tc>
          <w:tcPr>
            <w:tcW w:w="10040" w:type="dxa"/>
            <w:vAlign w:val="bottom"/>
          </w:tcPr>
          <w:p>
            <w:pPr>
              <w:ind w:left="40"/>
              <w:spacing w:after="0"/>
              <w:rPr>
                <w:sz w:val="20"/>
                <w:szCs w:val="20"/>
                <w:color w:val="auto"/>
              </w:rPr>
            </w:pPr>
            <w:r>
              <w:rPr>
                <w:rFonts w:ascii="Arial" w:cs="Arial" w:eastAsia="Arial" w:hAnsi="Arial"/>
                <w:sz w:val="16"/>
                <w:szCs w:val="16"/>
                <w:color w:val="auto"/>
              </w:rPr>
              <w:t>Resignation letter from McGladrey LLP, dated October 8, 2015.</w:t>
            </w:r>
          </w:p>
        </w:tc>
      </w:tr>
      <w:tr>
        <w:trPr>
          <w:trHeight w:val="46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76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October 14,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[McGladrey LLP letterhead]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October 14,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read ClearOne, Inc.’s statements included in Item 4.01 of its Form 8-K filed on October 14, 2015 and agree with such statements concerning our firm. We also agree with the statements concerning our firm included in paragraphs 1, 2 and 4 of Item 4.02. We have no basis to agree or disagree with the statements in paragraph 3 of Item 4.02.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ectPr>
          <w:pgSz w:w="11900" w:h="16838" w:orient="portrait"/>
          <w:cols w:equalWidth="0" w:num="1">
            <w:col w:w="11140"/>
          </w:cols>
          <w:pgMar w:left="240" w:top="580"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[McGladrey LLP letterhead]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010001"/>
        </w:rPr>
        <w:t>October 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10001"/>
        </w:rPr>
        <w:t>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10001"/>
        </w:rPr>
        <w:t>ClearOne,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10001"/>
        </w:rPr>
        <w:t>5225 Wiley Post 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10001"/>
        </w:rPr>
        <w:t>Salt Lake City, UT 84116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010001"/>
        </w:rPr>
        <w:t>Attention: Scott Huntsman, Chairman of the Audit Committee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determined that an associated entity of McGladrey LLP has provided certain prohibited non-audit services to an international subsidiary of ClearOne, Inc. (the “Company"). As a result, in accordance with Rule 2-01 of Regulation S-X and the auditing and related professional practice standards of the Public Company Accounting Oversight Board (the “PCAOB”), McGladrey has determined that its independence has been impaired with respect to the Company. See 17 C.F.R. § 201.2-01(c)(4). McGladrey has reached this conclusion despite its belief that the services at issue did not impact its integrity and objectivity.</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McGladrey is hereby providing notice pursuant to Item 4.02(b) of Form 8-K that the Company should disclose that reliance should not be placed on (i) the Report of Independent Registered Public Accounting Firm dated March 30, 2015 relating to the Company’s consolidated financial statements for the year ended December 31, 2014, and (ii) the completed interim reviews for the periods ended March 31, 2015 and June 30, 2015. Accordingly, McGladrey hereby withdraws our audit report on the Company’s financial statements for the year ended December 31, 2014 and revokes our consents to incorporate this report by reference in any and all registration statements. We also hereby resign as the Company’s auditor.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sectPr>
      <w:pgSz w:w="11900" w:h="16838" w:orient="portrait"/>
      <w:cols w:equalWidth="0" w:num="1">
        <w:col w:w="11280"/>
      </w:cols>
      <w:pgMar w:left="24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2019-12-06T03:57:11Z</dcterms:created>
  <dcterms:modified xsi:type="dcterms:W3CDTF">2019-12-06T03:57:11Z</dcterms:modified>
</cp:coreProperties>
</file>