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No.12)</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ClearOne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18506U104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2013</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18506U104</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442,198</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442,198</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4.92%</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18506U104</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ClearOne Inc.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Investor Relations</w:t>
            </w:r>
          </w:p>
        </w:tc>
        <w:tc>
          <w:tcPr>
            <w:tcW w:w="5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5225</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Wiley Post Way</w:t>
            </w:r>
          </w:p>
        </w:tc>
        <w:tc>
          <w:tcPr>
            <w:tcW w:w="5640" w:type="dxa"/>
            <w:vAlign w:val="bottom"/>
          </w:tcPr>
          <w:p>
            <w:pPr>
              <w:spacing w:after="0"/>
              <w:rPr>
                <w:sz w:val="17"/>
                <w:szCs w:val="17"/>
                <w:color w:val="auto"/>
              </w:rPr>
            </w:pP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Salt Lake City, UT</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84116</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18506U104</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18506U104</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442,198</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4.92%</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442,198</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442,198</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   X</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18506U104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John E. Denneen, 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2019-12-06T02:34:18Z</dcterms:created>
  <dcterms:modified xsi:type="dcterms:W3CDTF">2019-12-06T02:34:18Z</dcterms:modified>
</cp:coreProperties>
</file>