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6, 2008</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ind w:left="370"/>
              <w:spacing w:after="0"/>
              <w:rPr>
                <w:sz w:val="20"/>
                <w:szCs w:val="20"/>
                <w:color w:val="auto"/>
              </w:rPr>
            </w:pPr>
            <w:r>
              <w:rPr>
                <w:rFonts w:ascii="Arial" w:cs="Arial" w:eastAsia="Arial" w:hAnsi="Arial"/>
                <w:sz w:val="18"/>
                <w:szCs w:val="18"/>
                <w:b w:val="1"/>
                <w:bCs w:val="1"/>
                <w:color w:val="auto"/>
                <w:w w:val="94"/>
              </w:rPr>
              <w:t>Utah</w:t>
            </w:r>
          </w:p>
        </w:tc>
        <w:tc>
          <w:tcPr>
            <w:tcW w:w="4220" w:type="dxa"/>
            <w:vAlign w:val="bottom"/>
            <w:gridSpan w:val="3"/>
          </w:tcPr>
          <w:p>
            <w:pPr>
              <w:jc w:val="right"/>
              <w:ind w:right="1270"/>
              <w:spacing w:after="0"/>
              <w:rPr>
                <w:sz w:val="20"/>
                <w:szCs w:val="20"/>
                <w:color w:val="auto"/>
              </w:rPr>
            </w:pPr>
            <w:r>
              <w:rPr>
                <w:rFonts w:ascii="Arial" w:cs="Arial" w:eastAsia="Arial" w:hAnsi="Arial"/>
                <w:sz w:val="18"/>
                <w:szCs w:val="18"/>
                <w:b w:val="1"/>
                <w:bCs w:val="1"/>
                <w:color w:val="auto"/>
              </w:rPr>
              <w:t>000-17219</w:t>
            </w:r>
          </w:p>
        </w:tc>
        <w:tc>
          <w:tcPr>
            <w:tcW w:w="3760" w:type="dxa"/>
            <w:vAlign w:val="bottom"/>
            <w:gridSpan w:val="2"/>
          </w:tcPr>
          <w:p>
            <w:pPr>
              <w:jc w:val="right"/>
              <w:ind w:right="1230"/>
              <w:spacing w:after="0"/>
              <w:rPr>
                <w:sz w:val="20"/>
                <w:szCs w:val="20"/>
                <w:color w:val="auto"/>
              </w:rPr>
            </w:pPr>
            <w:r>
              <w:rPr>
                <w:rFonts w:ascii="Arial" w:cs="Arial" w:eastAsia="Arial" w:hAnsi="Arial"/>
                <w:sz w:val="18"/>
                <w:szCs w:val="18"/>
                <w:b w:val="1"/>
                <w:bCs w:val="1"/>
                <w:color w:val="auto"/>
              </w:rPr>
              <w:t>87-0398877</w:t>
            </w:r>
          </w:p>
        </w:tc>
      </w:tr>
      <w:tr>
        <w:trPr>
          <w:trHeight w:val="202"/>
        </w:trPr>
        <w:tc>
          <w:tcPr>
            <w:tcW w:w="3440" w:type="dxa"/>
            <w:vAlign w:val="bottom"/>
            <w:tcBorders>
              <w:top w:val="single" w:sz="8" w:color="auto"/>
            </w:tcBorders>
          </w:tcPr>
          <w:p>
            <w:pPr>
              <w:jc w:val="center"/>
              <w:ind w:left="390"/>
              <w:spacing w:after="0" w:line="201" w:lineRule="exact"/>
              <w:rPr>
                <w:sz w:val="20"/>
                <w:szCs w:val="20"/>
                <w:color w:val="auto"/>
              </w:rPr>
            </w:pPr>
            <w:r>
              <w:rPr>
                <w:rFonts w:ascii="Arial" w:cs="Arial" w:eastAsia="Arial" w:hAnsi="Arial"/>
                <w:sz w:val="18"/>
                <w:szCs w:val="18"/>
                <w:color w:val="auto"/>
                <w:w w:val="90"/>
              </w:rPr>
              <w:t>(State or Other</w:t>
            </w:r>
          </w:p>
        </w:tc>
        <w:tc>
          <w:tcPr>
            <w:tcW w:w="4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60" w:type="dxa"/>
            <w:vAlign w:val="bottom"/>
          </w:tcPr>
          <w:p>
            <w:pPr>
              <w:spacing w:after="0"/>
              <w:rPr>
                <w:sz w:val="17"/>
                <w:szCs w:val="17"/>
                <w:color w:val="auto"/>
              </w:rPr>
            </w:pPr>
          </w:p>
        </w:tc>
        <w:tc>
          <w:tcPr>
            <w:tcW w:w="3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40" w:type="dxa"/>
            <w:vAlign w:val="bottom"/>
          </w:tcPr>
          <w:p>
            <w:pPr>
              <w:jc w:val="center"/>
              <w:ind w:left="390"/>
              <w:spacing w:after="0"/>
              <w:rPr>
                <w:sz w:val="20"/>
                <w:szCs w:val="20"/>
                <w:color w:val="auto"/>
              </w:rPr>
            </w:pPr>
            <w:r>
              <w:rPr>
                <w:rFonts w:ascii="Arial" w:cs="Arial" w:eastAsia="Arial" w:hAnsi="Arial"/>
                <w:sz w:val="18"/>
                <w:szCs w:val="18"/>
                <w:color w:val="auto"/>
                <w:w w:val="93"/>
              </w:rPr>
              <w:t>Jurisdiction of Incorporation)</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684"/>
        </w:trPr>
        <w:tc>
          <w:tcPr>
            <w:tcW w:w="3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5225 Wiley Post Way, Suite 500</w:t>
            </w:r>
          </w:p>
        </w:tc>
        <w:tc>
          <w:tcPr>
            <w:tcW w:w="2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41"/>
        </w:trPr>
        <w:tc>
          <w:tcPr>
            <w:tcW w:w="34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4"/>
              </w:rPr>
              <w:t>Salt Lake City, Utah 84116</w:t>
            </w:r>
          </w:p>
        </w:tc>
        <w:tc>
          <w:tcPr>
            <w:tcW w:w="2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r>
      <w:tr>
        <w:trPr>
          <w:trHeight w:val="230"/>
        </w:trPr>
        <w:tc>
          <w:tcPr>
            <w:tcW w:w="3440" w:type="dxa"/>
            <w:vAlign w:val="bottom"/>
          </w:tcPr>
          <w:p>
            <w:pPr>
              <w:spacing w:after="0"/>
              <w:rPr>
                <w:sz w:val="20"/>
                <w:szCs w:val="20"/>
                <w:color w:val="auto"/>
              </w:rPr>
            </w:pPr>
          </w:p>
        </w:tc>
        <w:tc>
          <w:tcPr>
            <w:tcW w:w="4220" w:type="dxa"/>
            <w:vAlign w:val="bottom"/>
            <w:gridSpan w:val="3"/>
          </w:tcPr>
          <w:p>
            <w:pPr>
              <w:jc w:val="center"/>
              <w:ind w:left="230"/>
              <w:spacing w:after="0"/>
              <w:rPr>
                <w:sz w:val="20"/>
                <w:szCs w:val="20"/>
                <w:color w:val="auto"/>
              </w:rPr>
            </w:pPr>
            <w:r>
              <w:rPr>
                <w:rFonts w:ascii="Arial" w:cs="Arial" w:eastAsia="Arial" w:hAnsi="Arial"/>
                <w:sz w:val="18"/>
                <w:szCs w:val="18"/>
                <w:color w:val="auto"/>
                <w:w w:val="92"/>
              </w:rPr>
              <w:t>(Address of principal executive offices) (Zip Code)</w:t>
            </w:r>
          </w:p>
        </w:tc>
        <w:tc>
          <w:tcPr>
            <w:tcW w:w="260" w:type="dxa"/>
            <w:vAlign w:val="bottom"/>
          </w:tcPr>
          <w:p>
            <w:pPr>
              <w:spacing w:after="0"/>
              <w:rPr>
                <w:sz w:val="20"/>
                <w:szCs w:val="20"/>
                <w:color w:val="auto"/>
              </w:rPr>
            </w:pPr>
          </w:p>
        </w:tc>
        <w:tc>
          <w:tcPr>
            <w:tcW w:w="3500" w:type="dxa"/>
            <w:vAlign w:val="bottom"/>
          </w:tcPr>
          <w:p>
            <w:pPr>
              <w:spacing w:after="0"/>
              <w:rPr>
                <w:sz w:val="20"/>
                <w:szCs w:val="20"/>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(801) 975-7200</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14a- 12 under the Exchange Act (17 CFR 240.14a- 12)</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655320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tabs>
          <w:tab w:leader="none" w:pos="22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 jury trial was held in federal court in Utah in connection with our lawsuit (the “Intellectual Property Case”) against Biamp Systems Corporation (“Biamp”); WideBand Solutions, Inc. (“WideBand”); three of WideBand’s principals – Dr. Jun Yang, who was a former ClearOne employee, Andrew Chiang, who was previously affiliated with an entity that sold certain assets to ClearOne, and Lonny Bowers; and Versatile DSP, Inc. (collectively, the “Defendants”). Our complaint brought claims against different combinations of the Defendants for, among other things, misappropriation of trade secrets, breach of contract, breach of the covenant of good faith and fair dealing, and breach of fiduciary duty, primarily in relation to the theft of certain algorithms and computer code. At trial, and throughout the Intellectual Property Case, ClearOne was represented by the Utah law firm of Magleby &amp; Greenwood, P.C.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November 7, we announced that the jury returned a verdict in the Intellectual Property Case in favor of ClearOne and against all of the</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Defendants. Accordingly, the jury awarded us approximately $3.5 million in compensatory damages and $7.0 million in punitive damages. Among other things, the jury found that all of the Defendants willfully and maliciously misappropriated our trade secrets. Based on that finding, the court may also award ClearOne exemplary damages and reasonable attorneys’ fees. The court left in place the previously-entered preliminary injunction, pending our application for entry of a permanent injunction against the Defendants.</w:t>
      </w:r>
    </w:p>
    <w:p>
      <w:pPr>
        <w:spacing w:after="0" w:line="2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While we intend to vigorously pursue collection of the damage awards, collectability of the judgments cannot be guaranteed. Furthermore, the jury’s verdict and damage awards are subject to appeal by one or more of the Defendants.</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November 7, 2008, we issued a press release announcing the jury verdict and the damage awards. A copy of the press release is attached as an exhibit to this report.</w:t>
      </w:r>
    </w:p>
    <w:p>
      <w:pPr>
        <w:spacing w:after="0" w:line="193"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 Acquired.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(c)</w:t>
            </w:r>
          </w:p>
        </w:tc>
        <w:tc>
          <w:tcPr>
            <w:tcW w:w="1520" w:type="dxa"/>
            <w:vAlign w:val="bottom"/>
          </w:tcPr>
          <w:p>
            <w:pPr>
              <w:ind w:left="120"/>
              <w:spacing w:after="0"/>
              <w:rPr>
                <w:sz w:val="20"/>
                <w:szCs w:val="20"/>
                <w:color w:val="auto"/>
              </w:rPr>
            </w:pPr>
            <w:r>
              <w:rPr>
                <w:rFonts w:ascii="Arial" w:cs="Arial" w:eastAsia="Arial" w:hAnsi="Arial"/>
                <w:sz w:val="18"/>
                <w:szCs w:val="18"/>
                <w:i w:val="1"/>
                <w:iCs w:val="1"/>
                <w:color w:val="auto"/>
              </w:rPr>
              <w:t>Exhibits.</w:t>
            </w:r>
          </w:p>
        </w:tc>
        <w:tc>
          <w:tcPr>
            <w:tcW w:w="6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66"/>
        </w:trPr>
        <w:tc>
          <w:tcPr>
            <w:tcW w:w="580" w:type="dxa"/>
            <w:vAlign w:val="bottom"/>
          </w:tcPr>
          <w:p>
            <w:pPr>
              <w:spacing w:after="0"/>
              <w:rPr>
                <w:sz w:val="24"/>
                <w:szCs w:val="24"/>
                <w:color w:val="auto"/>
              </w:rPr>
            </w:pPr>
          </w:p>
        </w:tc>
        <w:tc>
          <w:tcPr>
            <w:tcW w:w="15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6"/>
              </w:rPr>
              <w:t>Exhibit No.</w:t>
            </w:r>
          </w:p>
        </w:tc>
        <w:tc>
          <w:tcPr>
            <w:tcW w:w="6860" w:type="dxa"/>
            <w:vAlign w:val="bottom"/>
            <w:tcBorders>
              <w:bottom w:val="single" w:sz="8" w:color="auto"/>
            </w:tcBorders>
          </w:tcPr>
          <w:p>
            <w:pPr>
              <w:jc w:val="right"/>
              <w:ind w:right="2450"/>
              <w:spacing w:after="0"/>
              <w:rPr>
                <w:sz w:val="20"/>
                <w:szCs w:val="20"/>
                <w:color w:val="auto"/>
              </w:rPr>
            </w:pPr>
            <w:r>
              <w:rPr>
                <w:rFonts w:ascii="Arial" w:cs="Arial" w:eastAsia="Arial" w:hAnsi="Arial"/>
                <w:sz w:val="18"/>
                <w:szCs w:val="18"/>
                <w:color w:val="auto"/>
              </w:rPr>
              <w:t>Title of Document</w:t>
            </w:r>
          </w:p>
        </w:tc>
        <w:tc>
          <w:tcPr>
            <w:tcW w:w="19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3"/>
              </w:rPr>
              <w:t>Location</w:t>
            </w: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99.1</w:t>
            </w:r>
          </w:p>
        </w:tc>
        <w:tc>
          <w:tcPr>
            <w:tcW w:w="6860" w:type="dxa"/>
            <w:vAlign w:val="bottom"/>
          </w:tcPr>
          <w:p>
            <w:pPr>
              <w:jc w:val="right"/>
              <w:ind w:right="590"/>
              <w:spacing w:after="0"/>
              <w:rPr>
                <w:sz w:val="20"/>
                <w:szCs w:val="20"/>
                <w:color w:val="auto"/>
              </w:rPr>
            </w:pPr>
            <w:r>
              <w:rPr>
                <w:rFonts w:ascii="Arial" w:cs="Arial" w:eastAsia="Arial" w:hAnsi="Arial"/>
                <w:sz w:val="18"/>
                <w:szCs w:val="18"/>
                <w:color w:val="auto"/>
                <w:w w:val="92"/>
              </w:rPr>
              <w:t>Press Release issued by ClearOne Communications, Inc. dated November 7, 2008.</w:t>
            </w:r>
          </w:p>
        </w:tc>
        <w:tc>
          <w:tcPr>
            <w:tcW w:w="1900" w:type="dxa"/>
            <w:vAlign w:val="bottom"/>
          </w:tcPr>
          <w:p>
            <w:pPr>
              <w:jc w:val="center"/>
              <w:ind w:left="150"/>
              <w:spacing w:after="0"/>
              <w:rPr>
                <w:sz w:val="20"/>
                <w:szCs w:val="20"/>
                <w:color w:val="auto"/>
              </w:rPr>
            </w:pPr>
            <w:r>
              <w:rPr>
                <w:rFonts w:ascii="Arial" w:cs="Arial" w:eastAsia="Arial" w:hAnsi="Arial"/>
                <w:sz w:val="18"/>
                <w:szCs w:val="18"/>
                <w:color w:val="auto"/>
                <w:w w:val="95"/>
              </w:rPr>
              <w:t>This Filing</w:t>
            </w:r>
          </w:p>
        </w:tc>
        <w:tc>
          <w:tcPr>
            <w:tcW w:w="560" w:type="dxa"/>
            <w:vAlign w:val="bottom"/>
          </w:tcPr>
          <w:p>
            <w:pPr>
              <w:spacing w:after="0"/>
              <w:rPr>
                <w:sz w:val="20"/>
                <w:szCs w:val="20"/>
                <w:color w:val="auto"/>
              </w:rPr>
            </w:pPr>
          </w:p>
        </w:tc>
      </w:tr>
      <w:tr>
        <w:trPr>
          <w:trHeight w:val="593"/>
        </w:trPr>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60" w:type="dxa"/>
            <w:vAlign w:val="bottom"/>
          </w:tcPr>
          <w:p>
            <w:pPr>
              <w:jc w:val="right"/>
              <w:ind w:right="3110"/>
              <w:spacing w:after="0"/>
              <w:rPr>
                <w:sz w:val="20"/>
                <w:szCs w:val="20"/>
                <w:color w:val="auto"/>
              </w:rPr>
            </w:pPr>
            <w:r>
              <w:rPr>
                <w:rFonts w:ascii="Arial" w:cs="Arial" w:eastAsia="Arial" w:hAnsi="Arial"/>
                <w:sz w:val="18"/>
                <w:szCs w:val="18"/>
                <w:color w:val="auto"/>
              </w:rPr>
              <w:t>2</w:t>
            </w: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686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Date: November 7, 2008</w:t>
      </w:r>
      <w:r>
        <w:rPr>
          <w:sz w:val="20"/>
          <w:szCs w:val="20"/>
          <w:color w:val="auto"/>
        </w:rPr>
        <w:tab/>
      </w: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4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14605</wp:posOffset>
            </wp:positionV>
            <wp:extent cx="38588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5889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President and CEO</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1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ectPr>
          <w:pgSz w:w="11900" w:h="16838" w:orient="portrait"/>
          <w:cols w:equalWidth="0" w:num="1">
            <w:col w:w="11420"/>
          </w:cols>
          <w:pgMar w:left="240" w:top="828" w:right="2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ClearOne Communications, Inc.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(801) 303-3555</w:t>
      </w:r>
    </w:p>
    <w:p>
      <w:pPr>
        <w:spacing w:after="0" w:line="200" w:lineRule="exact"/>
        <w:rPr>
          <w:sz w:val="20"/>
          <w:szCs w:val="20"/>
          <w:color w:val="auto"/>
        </w:rPr>
      </w:pPr>
    </w:p>
    <w:p>
      <w:pPr>
        <w:sectPr>
          <w:pgSz w:w="11900" w:h="16838" w:orient="portrait"/>
          <w:cols w:equalWidth="0" w:num="2">
            <w:col w:w="620" w:space="660"/>
            <w:col w:w="10140"/>
          </w:cols>
          <w:pgMar w:left="240" w:top="828" w:right="239" w:bottom="1440" w:gutter="0" w:footer="0" w:header="0"/>
          <w:type w:val="continuous"/>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AWARDED MULTIMILLION-DOLLAR DAMAGES BY JURY IN FEDERAL TRADE SECRET MISAPPROPRIATION CASE</w:t>
      </w:r>
    </w:p>
    <w:p>
      <w:pPr>
        <w:spacing w:after="0" w:line="25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Salt Lake City, UT –November 7, 2008 – </w:t>
      </w:r>
      <w:r>
        <w:rPr>
          <w:rFonts w:ascii="Arial" w:cs="Arial" w:eastAsia="Arial" w:hAnsi="Arial"/>
          <w:sz w:val="18"/>
          <w:szCs w:val="18"/>
          <w:color w:val="auto"/>
        </w:rPr>
        <w:t>ClearOne Communications, Inc. (NASDAQ: CLRO) announced today that a jury awarded it multimillion-dollar</w:t>
      </w:r>
      <w:r>
        <w:rPr>
          <w:rFonts w:ascii="Arial" w:cs="Arial" w:eastAsia="Arial" w:hAnsi="Arial"/>
          <w:sz w:val="18"/>
          <w:szCs w:val="18"/>
          <w:b w:val="1"/>
          <w:bCs w:val="1"/>
          <w:color w:val="auto"/>
        </w:rPr>
        <w:t xml:space="preserve"> </w:t>
      </w:r>
      <w:r>
        <w:rPr>
          <w:rFonts w:ascii="Arial" w:cs="Arial" w:eastAsia="Arial" w:hAnsi="Arial"/>
          <w:sz w:val="18"/>
          <w:szCs w:val="18"/>
          <w:color w:val="auto"/>
        </w:rPr>
        <w:t>damages in a federal trade secret case.</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jury trial was held in federal court in Utah in connection with the lawsuit (the “Intellectual Property Case”) initiated by ClearOne against Biamp Systems Corporation (“Biamp”); WideBand Solutions, Inc. (“WideBand”); three of WideBand’s principals – Dr. Jun Yang, who was a former ClearOne employee, Andrew Chiang, who was previously affiliated with an entity that sold certain assets to ClearOne, and Lonny Bowers; and Versatile DSP, Inc. (collectively, the “Defendants”). ClearOne’s complaint brought claims against different combinations of the Defendants for, among other things, misappropriation of trade secrets, breach of contract, breach of the covenant of good faith and fair dealing, and breach of fiduciary duty, primarily in relation to the theft of certain algorithms and computer code. At trial, and throughout the Intellectual Property Case, ClearOne was represented by the Utah law firm of Magleby &amp; Greenwood, P.C.</w:t>
      </w:r>
    </w:p>
    <w:p>
      <w:pPr>
        <w:spacing w:after="0" w:line="2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November 5, 2008, the jury returned a verdict in the Intellectual Property Case in favor of ClearOne and against all of the Defendants. Accordingly, the jury awarded ClearOne approximately $3.5 million in compensatory damages and $7.0 million in punitive damages. Among other things, the jury found that all of the Defendants willfully and maliciously misappropriated ClearOne’s trade secrets. Based on that finding, the court may also award ClearOne exemplary damages and reasonable attorneys’ fees. The court left in place the previously-entered preliminary injunction, pending ClearOne’s application for entry of a permanent injunction against the Defendants.</w:t>
      </w:r>
    </w:p>
    <w:p>
      <w:pPr>
        <w:spacing w:after="0" w:line="200" w:lineRule="exact"/>
        <w:rPr>
          <w:sz w:val="20"/>
          <w:szCs w:val="20"/>
          <w:color w:val="auto"/>
        </w:rPr>
      </w:pPr>
    </w:p>
    <w:p>
      <w:pPr>
        <w:spacing w:after="0" w:line="2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While ClearOne intends to vigorously pursue collection of the damage awards, collectability of the judgments cannot be guaranteed. Furthermore, the jury’s verdict and damage awards are subject to appeal by one or more of the Defendants.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sectPr>
      <w:pgSz w:w="11900" w:h="16838" w:orient="portrait"/>
      <w:cols w:equalWidth="0" w:num="1">
        <w:col w:w="11420"/>
      </w:cols>
      <w:pgMar w:left="240" w:top="82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2019-12-13T18:05:29Z</dcterms:created>
  <dcterms:modified xsi:type="dcterms:W3CDTF">2019-12-13T18:05:29Z</dcterms:modified>
</cp:coreProperties>
</file>