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8" w:lineRule="exact"/>
        <w:rPr>
          <w:sz w:val="24"/>
          <w:szCs w:val="24"/>
          <w:color w:val="auto"/>
        </w:rPr>
      </w:pPr>
    </w:p>
    <w:p>
      <w:pPr>
        <w:ind w:left="3880" w:right="3880" w:hanging="3872"/>
        <w:spacing w:after="0" w:line="598" w:lineRule="auto"/>
        <w:tabs>
          <w:tab w:leader="none" w:pos="583"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December 31, 2008</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000-17219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CLEARONE COMMUNICATIONS,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2300" w:type="dxa"/>
        <w:tblCellMar>
          <w:top w:w="0" w:type="dxa"/>
          <w:left w:w="0" w:type="dxa"/>
          <w:bottom w:w="0" w:type="dxa"/>
          <w:right w:w="0" w:type="dxa"/>
        </w:tblCellMar>
      </w:tblPr>
      <w:tr>
        <w:trPr>
          <w:trHeight w:val="241"/>
        </w:trPr>
        <w:tc>
          <w:tcPr>
            <w:tcW w:w="4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Utah</w:t>
            </w:r>
          </w:p>
        </w:tc>
        <w:tc>
          <w:tcPr>
            <w:tcW w:w="2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38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300" w:type="dxa"/>
            <w:vAlign w:val="bottom"/>
          </w:tcPr>
          <w:p>
            <w:pPr>
              <w:spacing w:after="0"/>
              <w:rPr>
                <w:sz w:val="17"/>
                <w:szCs w:val="17"/>
                <w:color w:val="auto"/>
              </w:rPr>
            </w:pPr>
          </w:p>
        </w:tc>
        <w:tc>
          <w:tcPr>
            <w:tcW w:w="268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1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incorporation or organization)</w:t>
            </w:r>
          </w:p>
        </w:tc>
        <w:tc>
          <w:tcPr>
            <w:tcW w:w="2680" w:type="dxa"/>
            <w:vAlign w:val="bottom"/>
            <w:gridSpan w:val="3"/>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416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0"/>
              </w:rPr>
              <w:t>5225 Wiley Post Way, Suite 500</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8"/>
        </w:trPr>
        <w:tc>
          <w:tcPr>
            <w:tcW w:w="416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3"/>
              </w:rPr>
              <w:t>Salt Lake City, Utah</w:t>
            </w:r>
          </w:p>
        </w:tc>
        <w:tc>
          <w:tcPr>
            <w:tcW w:w="26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84116</w:t>
            </w:r>
          </w:p>
        </w:tc>
      </w:tr>
      <w:tr>
        <w:trPr>
          <w:trHeight w:val="230"/>
        </w:trPr>
        <w:tc>
          <w:tcPr>
            <w:tcW w:w="4160" w:type="dxa"/>
            <w:vAlign w:val="bottom"/>
            <w:tcBorders>
              <w:top w:val="single" w:sz="8" w:color="auto"/>
            </w:tcBorders>
            <w:gridSpan w:val="2"/>
          </w:tcPr>
          <w:p>
            <w:pPr>
              <w:jc w:val="center"/>
              <w:ind w:left="690"/>
              <w:spacing w:after="0"/>
              <w:rPr>
                <w:sz w:val="20"/>
                <w:szCs w:val="20"/>
                <w:color w:val="auto"/>
              </w:rPr>
            </w:pPr>
            <w:r>
              <w:rPr>
                <w:rFonts w:ascii="Arial" w:cs="Arial" w:eastAsia="Arial" w:hAnsi="Arial"/>
                <w:sz w:val="18"/>
                <w:szCs w:val="18"/>
                <w:color w:val="auto"/>
                <w:w w:val="92"/>
              </w:rPr>
              <w:t>(Address of principal executive offices)</w:t>
            </w:r>
          </w:p>
        </w:tc>
        <w:tc>
          <w:tcPr>
            <w:tcW w:w="7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(801) 975-7200</w:t>
      </w:r>
    </w:p>
    <w:p>
      <w:pPr>
        <w:spacing w:after="0" w:line="256" w:lineRule="exact"/>
        <w:rPr>
          <w:sz w:val="24"/>
          <w:szCs w:val="24"/>
          <w:color w:val="auto"/>
        </w:rPr>
      </w:pPr>
    </w:p>
    <w:p>
      <w:pPr>
        <w:jc w:val="both"/>
        <w:ind w:right="100"/>
        <w:spacing w:after="0" w:line="25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right"/>
        <w:spacing w:after="0" w:line="207" w:lineRule="exact"/>
        <w:tabs>
          <w:tab w:leader="none" w:pos="4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jc w:val="both"/>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ectPr>
          <w:pgSz w:w="11900" w:h="16838" w:orient="portrait"/>
          <w:cols w:equalWidth="0" w:num="1">
            <w:col w:w="11420"/>
          </w:cols>
          <w:pgMar w:left="240" w:top="1040" w:right="239" w:bottom="1440" w:gutter="0" w:footer="0" w:header="0"/>
        </w:sectPr>
      </w:pPr>
    </w:p>
    <w:p>
      <w:pPr>
        <w:spacing w:after="0" w:line="141" w:lineRule="exact"/>
        <w:rPr>
          <w:sz w:val="24"/>
          <w:szCs w:val="24"/>
          <w:color w:val="auto"/>
        </w:rPr>
      </w:pPr>
    </w:p>
    <w:p>
      <w:pPr>
        <w:ind w:left="11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000" w:space="720"/>
            <w:col w:w="5700"/>
          </w:cols>
          <w:pgMar w:left="240" w:top="1040" w:right="239" w:bottom="1440" w:gutter="0" w:footer="0" w:header="0"/>
          <w:type w:val="continuous"/>
        </w:sectPr>
      </w:pPr>
    </w:p>
    <w:p>
      <w:pPr>
        <w:spacing w:after="0" w:line="108"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Non-accelerated filer x</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5000" w:space="720"/>
            <w:col w:w="5700"/>
          </w:cols>
          <w:pgMar w:left="240" w:top="1040"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(Do not check if smaller reporting company)</w:t>
      </w:r>
    </w:p>
    <w:p>
      <w:pPr>
        <w:sectPr>
          <w:pgSz w:w="11900" w:h="16838" w:orient="portrait"/>
          <w:cols w:equalWidth="0" w:num="1">
            <w:col w:w="11420"/>
          </w:cols>
          <w:pgMar w:left="240" w:top="1040" w:right="239" w:bottom="1440" w:gutter="0" w:footer="0" w:header="0"/>
          <w:type w:val="continuous"/>
        </w:sectPr>
      </w:pPr>
    </w:p>
    <w:p>
      <w:pPr>
        <w:spacing w:after="0" w:line="20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No x</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600" w:type="dxa"/>
            <w:vAlign w:val="bottom"/>
          </w:tcPr>
          <w:p>
            <w:pPr>
              <w:ind w:left="2300"/>
              <w:spacing w:after="0"/>
              <w:rPr>
                <w:sz w:val="20"/>
                <w:szCs w:val="20"/>
                <w:color w:val="auto"/>
              </w:rPr>
            </w:pPr>
            <w:r>
              <w:rPr>
                <w:rFonts w:ascii="Arial" w:cs="Arial" w:eastAsia="Arial" w:hAnsi="Arial"/>
                <w:sz w:val="18"/>
                <w:szCs w:val="18"/>
                <w:b w:val="1"/>
                <w:bCs w:val="1"/>
                <w:color w:val="auto"/>
              </w:rPr>
              <w:t>Common Stock</w:t>
            </w:r>
          </w:p>
        </w:tc>
        <w:tc>
          <w:tcPr>
            <w:tcW w:w="6820" w:type="dxa"/>
            <w:vAlign w:val="bottom"/>
          </w:tcPr>
          <w:p>
            <w:pPr>
              <w:ind w:left="1100"/>
              <w:spacing w:after="0"/>
              <w:rPr>
                <w:sz w:val="20"/>
                <w:szCs w:val="20"/>
                <w:color w:val="auto"/>
              </w:rPr>
            </w:pPr>
            <w:r>
              <w:rPr>
                <w:rFonts w:ascii="Arial" w:cs="Arial" w:eastAsia="Arial" w:hAnsi="Arial"/>
                <w:sz w:val="18"/>
                <w:szCs w:val="18"/>
                <w:b w:val="1"/>
                <w:bCs w:val="1"/>
                <w:color w:val="auto"/>
              </w:rPr>
              <w:t>8,928,060</w:t>
            </w:r>
          </w:p>
        </w:tc>
      </w:tr>
      <w:tr>
        <w:trPr>
          <w:trHeight w:val="216"/>
        </w:trPr>
        <w:tc>
          <w:tcPr>
            <w:tcW w:w="4600" w:type="dxa"/>
            <w:vAlign w:val="bottom"/>
          </w:tcPr>
          <w:p>
            <w:pPr>
              <w:ind w:left="2300"/>
              <w:spacing w:after="0"/>
              <w:rPr>
                <w:sz w:val="20"/>
                <w:szCs w:val="20"/>
                <w:color w:val="auto"/>
              </w:rPr>
            </w:pPr>
            <w:r>
              <w:rPr>
                <w:rFonts w:ascii="Arial" w:cs="Arial" w:eastAsia="Arial" w:hAnsi="Arial"/>
                <w:sz w:val="18"/>
                <w:szCs w:val="18"/>
                <w:color w:val="auto"/>
              </w:rPr>
              <w:t>Title of Class</w:t>
            </w:r>
          </w:p>
        </w:tc>
        <w:tc>
          <w:tcPr>
            <w:tcW w:w="6820" w:type="dxa"/>
            <w:vAlign w:val="bottom"/>
          </w:tcPr>
          <w:p>
            <w:pPr>
              <w:ind w:left="1100"/>
              <w:spacing w:after="0"/>
              <w:rPr>
                <w:sz w:val="20"/>
                <w:szCs w:val="20"/>
                <w:color w:val="auto"/>
              </w:rPr>
            </w:pPr>
            <w:r>
              <w:rPr>
                <w:rFonts w:ascii="Arial" w:cs="Arial" w:eastAsia="Arial" w:hAnsi="Arial"/>
                <w:sz w:val="18"/>
                <w:szCs w:val="18"/>
                <w:color w:val="auto"/>
              </w:rPr>
              <w:t>Number of Shares</w:t>
            </w:r>
          </w:p>
        </w:tc>
      </w:tr>
      <w:tr>
        <w:trPr>
          <w:trHeight w:val="230"/>
        </w:trPr>
        <w:tc>
          <w:tcPr>
            <w:tcW w:w="4600" w:type="dxa"/>
            <w:vAlign w:val="bottom"/>
          </w:tcPr>
          <w:p>
            <w:pPr>
              <w:spacing w:after="0"/>
              <w:rPr>
                <w:sz w:val="20"/>
                <w:szCs w:val="20"/>
                <w:color w:val="auto"/>
              </w:rPr>
            </w:pPr>
          </w:p>
        </w:tc>
        <w:tc>
          <w:tcPr>
            <w:tcW w:w="6820" w:type="dxa"/>
            <w:vAlign w:val="bottom"/>
          </w:tcPr>
          <w:p>
            <w:pPr>
              <w:ind w:left="1100"/>
              <w:spacing w:after="0"/>
              <w:rPr>
                <w:sz w:val="20"/>
                <w:szCs w:val="20"/>
                <w:color w:val="auto"/>
              </w:rPr>
            </w:pPr>
            <w:r>
              <w:rPr>
                <w:rFonts w:ascii="Arial" w:cs="Arial" w:eastAsia="Arial" w:hAnsi="Arial"/>
                <w:sz w:val="18"/>
                <w:szCs w:val="18"/>
                <w:color w:val="auto"/>
              </w:rPr>
              <w:t>Outstanding at February 5, 2009</w:t>
            </w:r>
          </w:p>
        </w:tc>
      </w:tr>
      <w:tr>
        <w:trPr>
          <w:trHeight w:val="361"/>
        </w:trPr>
        <w:tc>
          <w:tcPr>
            <w:tcW w:w="4600" w:type="dxa"/>
            <w:vAlign w:val="bottom"/>
          </w:tcPr>
          <w:p>
            <w:pPr>
              <w:spacing w:after="0"/>
              <w:rPr>
                <w:sz w:val="24"/>
                <w:szCs w:val="24"/>
                <w:color w:val="auto"/>
              </w:rPr>
            </w:pPr>
          </w:p>
        </w:tc>
        <w:tc>
          <w:tcPr>
            <w:tcW w:w="6820" w:type="dxa"/>
            <w:vAlign w:val="bottom"/>
          </w:tcPr>
          <w:p>
            <w:pPr>
              <w:spacing w:after="0"/>
              <w:rPr>
                <w:sz w:val="24"/>
                <w:szCs w:val="24"/>
                <w:color w:val="auto"/>
              </w:rPr>
            </w:pPr>
          </w:p>
        </w:tc>
      </w:tr>
      <w:tr>
        <w:trPr>
          <w:trHeight w:val="71"/>
        </w:trPr>
        <w:tc>
          <w:tcPr>
            <w:tcW w:w="4600" w:type="dxa"/>
            <w:vAlign w:val="bottom"/>
            <w:shd w:val="clear" w:color="auto" w:fill="808080"/>
          </w:tcPr>
          <w:p>
            <w:pPr>
              <w:spacing w:after="0"/>
              <w:rPr>
                <w:sz w:val="6"/>
                <w:szCs w:val="6"/>
                <w:color w:val="auto"/>
              </w:rPr>
            </w:pPr>
          </w:p>
        </w:tc>
        <w:tc>
          <w:tcPr>
            <w:tcW w:w="6820" w:type="dxa"/>
            <w:vAlign w:val="bottom"/>
            <w:shd w:val="clear" w:color="auto" w:fill="808080"/>
          </w:tcPr>
          <w:p>
            <w:pPr>
              <w:spacing w:after="0"/>
              <w:rPr>
                <w:sz w:val="6"/>
                <w:szCs w:val="6"/>
                <w:color w:val="auto"/>
              </w:rPr>
            </w:pPr>
          </w:p>
        </w:tc>
      </w:tr>
      <w:tr>
        <w:trPr>
          <w:trHeight w:val="996"/>
        </w:trPr>
        <w:tc>
          <w:tcPr>
            <w:tcW w:w="4600" w:type="dxa"/>
            <w:vAlign w:val="bottom"/>
            <w:tcBorders>
              <w:bottom w:val="single" w:sz="8" w:color="808080"/>
            </w:tcBorders>
          </w:tcPr>
          <w:p>
            <w:pPr>
              <w:spacing w:after="0"/>
              <w:rPr>
                <w:sz w:val="24"/>
                <w:szCs w:val="24"/>
                <w:color w:val="auto"/>
              </w:rPr>
            </w:pPr>
          </w:p>
        </w:tc>
        <w:tc>
          <w:tcPr>
            <w:tcW w:w="68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TO FORM 10-Q</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2008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14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Page Number</w:t>
            </w:r>
          </w:p>
        </w:tc>
      </w:tr>
      <w:tr>
        <w:trPr>
          <w:trHeight w:val="459"/>
        </w:trPr>
        <w:tc>
          <w:tcPr>
            <w:tcW w:w="1000" w:type="dxa"/>
            <w:vAlign w:val="bottom"/>
          </w:tcPr>
          <w:p>
            <w:pPr>
              <w:spacing w:after="0"/>
              <w:rPr>
                <w:sz w:val="24"/>
                <w:szCs w:val="24"/>
                <w:color w:val="auto"/>
              </w:rPr>
            </w:pPr>
          </w:p>
        </w:tc>
        <w:tc>
          <w:tcPr>
            <w:tcW w:w="9020" w:type="dxa"/>
            <w:vAlign w:val="bottom"/>
          </w:tcPr>
          <w:p>
            <w:pPr>
              <w:ind w:left="3140"/>
              <w:spacing w:after="0"/>
              <w:rPr>
                <w:sz w:val="20"/>
                <w:szCs w:val="20"/>
                <w:color w:val="auto"/>
              </w:rPr>
            </w:pPr>
            <w:r>
              <w:rPr>
                <w:rFonts w:ascii="Arial" w:cs="Arial" w:eastAsia="Arial" w:hAnsi="Arial"/>
                <w:sz w:val="18"/>
                <w:szCs w:val="18"/>
                <w:b w:val="1"/>
                <w:bCs w:val="1"/>
                <w:color w:val="auto"/>
              </w:rPr>
              <w:t>PART I – FINANCIAL INFORMATION</w:t>
            </w:r>
          </w:p>
        </w:tc>
        <w:tc>
          <w:tcPr>
            <w:tcW w:w="1400" w:type="dxa"/>
            <w:vAlign w:val="bottom"/>
          </w:tcPr>
          <w:p>
            <w:pPr>
              <w:spacing w:after="0"/>
              <w:rPr>
                <w:sz w:val="24"/>
                <w:szCs w:val="24"/>
                <w:color w:val="auto"/>
              </w:rPr>
            </w:pPr>
          </w:p>
        </w:tc>
      </w:tr>
      <w:tr>
        <w:trPr>
          <w:trHeight w:val="459"/>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Consolidated Financial Statements:</w:t>
            </w:r>
          </w:p>
        </w:tc>
        <w:tc>
          <w:tcPr>
            <w:tcW w:w="1400" w:type="dxa"/>
            <w:vAlign w:val="bottom"/>
            <w:shd w:val="clear" w:color="auto" w:fill="CCEEFF"/>
          </w:tcPr>
          <w:p>
            <w:pPr>
              <w:spacing w:after="0"/>
              <w:rPr>
                <w:sz w:val="24"/>
                <w:szCs w:val="24"/>
                <w:color w:val="auto"/>
              </w:rPr>
            </w:pPr>
          </w:p>
        </w:tc>
      </w:tr>
      <w:tr>
        <w:trPr>
          <w:trHeight w:val="459"/>
        </w:trPr>
        <w:tc>
          <w:tcPr>
            <w:tcW w:w="1000" w:type="dxa"/>
            <w:vAlign w:val="bottom"/>
          </w:tcPr>
          <w:p>
            <w:pPr>
              <w:spacing w:after="0"/>
              <w:rPr>
                <w:sz w:val="24"/>
                <w:szCs w:val="24"/>
                <w:color w:val="auto"/>
              </w:rPr>
            </w:pPr>
          </w:p>
        </w:tc>
        <w:tc>
          <w:tcPr>
            <w:tcW w:w="9020" w:type="dxa"/>
            <w:vAlign w:val="bottom"/>
          </w:tcPr>
          <w:p>
            <w:pPr>
              <w:ind w:left="260"/>
              <w:spacing w:after="0"/>
              <w:rPr>
                <w:sz w:val="20"/>
                <w:szCs w:val="20"/>
                <w:color w:val="auto"/>
              </w:rPr>
            </w:pPr>
            <w:r>
              <w:rPr>
                <w:rFonts w:ascii="Arial" w:cs="Arial" w:eastAsia="Arial" w:hAnsi="Arial"/>
                <w:sz w:val="18"/>
                <w:szCs w:val="18"/>
                <w:color w:val="auto"/>
              </w:rPr>
              <w:t>Consolidated Balance Sheets as of December 31, 2008 and June 30, 2008</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445"/>
        </w:trPr>
        <w:tc>
          <w:tcPr>
            <w:tcW w:w="1000" w:type="dxa"/>
            <w:vAlign w:val="bottom"/>
            <w:shd w:val="clear" w:color="auto" w:fill="CCEEFF"/>
          </w:tcPr>
          <w:p>
            <w:pPr>
              <w:spacing w:after="0"/>
              <w:rPr>
                <w:sz w:val="24"/>
                <w:szCs w:val="24"/>
                <w:color w:val="auto"/>
              </w:rPr>
            </w:pP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Consolidated Statements of Operations for the three months ended December 31, 2008 and 2007 and the six months</w:t>
            </w:r>
          </w:p>
        </w:tc>
        <w:tc>
          <w:tcPr>
            <w:tcW w:w="1400" w:type="dxa"/>
            <w:vAlign w:val="bottom"/>
            <w:shd w:val="clear" w:color="auto" w:fill="CCEEFF"/>
          </w:tcPr>
          <w:p>
            <w:pPr>
              <w:spacing w:after="0"/>
              <w:rPr>
                <w:sz w:val="24"/>
                <w:szCs w:val="24"/>
                <w:color w:val="auto"/>
              </w:rPr>
            </w:pPr>
          </w:p>
        </w:tc>
      </w:tr>
      <w:tr>
        <w:trPr>
          <w:trHeight w:val="230"/>
        </w:trPr>
        <w:tc>
          <w:tcPr>
            <w:tcW w:w="1000" w:type="dxa"/>
            <w:vAlign w:val="bottom"/>
            <w:shd w:val="clear" w:color="auto" w:fill="CCEEFF"/>
          </w:tcPr>
          <w:p>
            <w:pPr>
              <w:spacing w:after="0"/>
              <w:rPr>
                <w:sz w:val="20"/>
                <w:szCs w:val="20"/>
                <w:color w:val="auto"/>
              </w:rPr>
            </w:pP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ended December 31, 2008 and 2007</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459"/>
        </w:trPr>
        <w:tc>
          <w:tcPr>
            <w:tcW w:w="1000" w:type="dxa"/>
            <w:vAlign w:val="bottom"/>
          </w:tcPr>
          <w:p>
            <w:pPr>
              <w:spacing w:after="0"/>
              <w:rPr>
                <w:sz w:val="24"/>
                <w:szCs w:val="24"/>
                <w:color w:val="auto"/>
              </w:rPr>
            </w:pPr>
          </w:p>
        </w:tc>
        <w:tc>
          <w:tcPr>
            <w:tcW w:w="9020" w:type="dxa"/>
            <w:vAlign w:val="bottom"/>
          </w:tcPr>
          <w:p>
            <w:pPr>
              <w:ind w:left="260"/>
              <w:spacing w:after="0"/>
              <w:rPr>
                <w:sz w:val="20"/>
                <w:szCs w:val="20"/>
                <w:color w:val="auto"/>
              </w:rPr>
            </w:pPr>
            <w:r>
              <w:rPr>
                <w:rFonts w:ascii="Arial" w:cs="Arial" w:eastAsia="Arial" w:hAnsi="Arial"/>
                <w:sz w:val="18"/>
                <w:szCs w:val="18"/>
                <w:color w:val="auto"/>
              </w:rPr>
              <w:t>Consolidated Statements of Cash Flows for the six months ended December 31, 2008 and 2007</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459"/>
        </w:trPr>
        <w:tc>
          <w:tcPr>
            <w:tcW w:w="1000" w:type="dxa"/>
            <w:vAlign w:val="bottom"/>
            <w:shd w:val="clear" w:color="auto" w:fill="CCEEFF"/>
          </w:tcPr>
          <w:p>
            <w:pPr>
              <w:spacing w:after="0"/>
              <w:rPr>
                <w:sz w:val="24"/>
                <w:szCs w:val="24"/>
                <w:color w:val="auto"/>
              </w:rPr>
            </w:pP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Notes to Condensed Consolidated Financial Statements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020" w:type="dxa"/>
            <w:vAlign w:val="bottom"/>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459"/>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020" w:type="dxa"/>
            <w:vAlign w:val="bottom"/>
          </w:tcPr>
          <w:p>
            <w:pPr>
              <w:ind w:left="260"/>
              <w:spacing w:after="0"/>
              <w:rPr>
                <w:sz w:val="20"/>
                <w:szCs w:val="20"/>
                <w:color w:val="auto"/>
              </w:rPr>
            </w:pPr>
            <w:r>
              <w:rPr>
                <w:rFonts w:ascii="Arial" w:cs="Arial" w:eastAsia="Arial" w:hAnsi="Arial"/>
                <w:sz w:val="18"/>
                <w:szCs w:val="18"/>
                <w:color w:val="auto"/>
              </w:rPr>
              <w:t>Controls and Procedures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459"/>
        </w:trPr>
        <w:tc>
          <w:tcPr>
            <w:tcW w:w="1000" w:type="dxa"/>
            <w:vAlign w:val="bottom"/>
            <w:shd w:val="clear" w:color="auto" w:fill="CCEEFF"/>
          </w:tcPr>
          <w:p>
            <w:pPr>
              <w:spacing w:after="0"/>
              <w:rPr>
                <w:sz w:val="24"/>
                <w:szCs w:val="24"/>
                <w:color w:val="auto"/>
              </w:rPr>
            </w:pPr>
          </w:p>
        </w:tc>
        <w:tc>
          <w:tcPr>
            <w:tcW w:w="9020" w:type="dxa"/>
            <w:vAlign w:val="bottom"/>
            <w:shd w:val="clear" w:color="auto" w:fill="CCEEFF"/>
          </w:tcPr>
          <w:p>
            <w:pPr>
              <w:ind w:left="3280"/>
              <w:spacing w:after="0"/>
              <w:rPr>
                <w:sz w:val="20"/>
                <w:szCs w:val="20"/>
                <w:color w:val="auto"/>
              </w:rPr>
            </w:pPr>
            <w:r>
              <w:rPr>
                <w:rFonts w:ascii="Arial" w:cs="Arial" w:eastAsia="Arial" w:hAnsi="Arial"/>
                <w:sz w:val="18"/>
                <w:szCs w:val="18"/>
                <w:b w:val="1"/>
                <w:bCs w:val="1"/>
                <w:color w:val="auto"/>
              </w:rPr>
              <w:t>PART II – OTHER INFORMATION</w:t>
            </w:r>
          </w:p>
        </w:tc>
        <w:tc>
          <w:tcPr>
            <w:tcW w:w="1400" w:type="dxa"/>
            <w:vAlign w:val="bottom"/>
            <w:shd w:val="clear" w:color="auto" w:fill="CCEEFF"/>
          </w:tcPr>
          <w:p>
            <w:pPr>
              <w:spacing w:after="0"/>
              <w:rPr>
                <w:sz w:val="24"/>
                <w:szCs w:val="24"/>
                <w:color w:val="auto"/>
              </w:rPr>
            </w:pP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020" w:type="dxa"/>
            <w:vAlign w:val="bottom"/>
          </w:tcPr>
          <w:p>
            <w:pPr>
              <w:ind w:left="260"/>
              <w:spacing w:after="0"/>
              <w:rPr>
                <w:sz w:val="20"/>
                <w:szCs w:val="20"/>
                <w:color w:val="auto"/>
              </w:rPr>
            </w:pPr>
            <w:r>
              <w:rPr>
                <w:rFonts w:ascii="Arial" w:cs="Arial" w:eastAsia="Arial" w:hAnsi="Arial"/>
                <w:sz w:val="18"/>
                <w:szCs w:val="18"/>
                <w:color w:val="auto"/>
              </w:rPr>
              <w:t>Legal Proceedings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459"/>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Risk Factors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020" w:type="dxa"/>
            <w:vAlign w:val="bottom"/>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459"/>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Defaults Upon Senior Securities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020" w:type="dxa"/>
            <w:vAlign w:val="bottom"/>
          </w:tcPr>
          <w:p>
            <w:pPr>
              <w:ind w:left="260"/>
              <w:spacing w:after="0"/>
              <w:rPr>
                <w:sz w:val="20"/>
                <w:szCs w:val="20"/>
                <w:color w:val="auto"/>
              </w:rPr>
            </w:pPr>
            <w:r>
              <w:rPr>
                <w:rFonts w:ascii="Arial" w:cs="Arial" w:eastAsia="Arial" w:hAnsi="Arial"/>
                <w:sz w:val="18"/>
                <w:szCs w:val="18"/>
                <w:color w:val="auto"/>
              </w:rPr>
              <w:t>Submission of Matters to a Vote of Security Holders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459"/>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Information</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9020" w:type="dxa"/>
            <w:vAlign w:val="bottom"/>
          </w:tcPr>
          <w:p>
            <w:pPr>
              <w:ind w:left="260"/>
              <w:spacing w:after="0"/>
              <w:rPr>
                <w:sz w:val="20"/>
                <w:szCs w:val="20"/>
                <w:color w:val="auto"/>
              </w:rPr>
            </w:pPr>
            <w:r>
              <w:rPr>
                <w:rFonts w:ascii="Arial" w:cs="Arial" w:eastAsia="Arial" w:hAnsi="Arial"/>
                <w:sz w:val="18"/>
                <w:szCs w:val="18"/>
                <w:color w:val="auto"/>
              </w:rPr>
              <w:t>Exhibits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459"/>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Signatures</w:t>
            </w:r>
          </w:p>
        </w:tc>
        <w:tc>
          <w:tcPr>
            <w:tcW w:w="9020" w:type="dxa"/>
            <w:vAlign w:val="bottom"/>
            <w:shd w:val="clear" w:color="auto" w:fill="CCEEFF"/>
          </w:tcPr>
          <w:p>
            <w:pPr>
              <w:spacing w:after="0"/>
              <w:rPr>
                <w:sz w:val="24"/>
                <w:szCs w:val="24"/>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w:t>
            </w:r>
          </w:p>
        </w:tc>
      </w:tr>
      <w:tr>
        <w:trPr>
          <w:trHeight w:val="902"/>
        </w:trPr>
        <w:tc>
          <w:tcPr>
            <w:tcW w:w="1000" w:type="dxa"/>
            <w:vAlign w:val="bottom"/>
            <w:tcBorders>
              <w:bottom w:val="single" w:sz="8" w:color="808080"/>
            </w:tcBorders>
          </w:tcPr>
          <w:p>
            <w:pPr>
              <w:spacing w:after="0"/>
              <w:rPr>
                <w:sz w:val="24"/>
                <w:szCs w:val="24"/>
                <w:color w:val="auto"/>
              </w:rPr>
            </w:pPr>
          </w:p>
        </w:tc>
        <w:tc>
          <w:tcPr>
            <w:tcW w:w="90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PART I – FINANCIAL INFORMATION</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80" w:type="dxa"/>
            <w:vAlign w:val="bottom"/>
          </w:tcPr>
          <w:p>
            <w:pPr>
              <w:spacing w:after="0"/>
              <w:rPr>
                <w:sz w:val="24"/>
                <w:szCs w:val="24"/>
                <w:color w:val="auto"/>
              </w:rPr>
            </w:pPr>
          </w:p>
        </w:tc>
        <w:tc>
          <w:tcPr>
            <w:tcW w:w="7140" w:type="dxa"/>
            <w:vAlign w:val="bottom"/>
          </w:tcPr>
          <w:p>
            <w:pPr>
              <w:jc w:val="center"/>
              <w:ind w:left="110"/>
              <w:spacing w:after="0"/>
              <w:rPr>
                <w:sz w:val="20"/>
                <w:szCs w:val="20"/>
                <w:color w:val="auto"/>
              </w:rPr>
            </w:pPr>
            <w:r>
              <w:rPr>
                <w:rFonts w:ascii="Arial" w:cs="Arial" w:eastAsia="Arial" w:hAnsi="Arial"/>
                <w:sz w:val="18"/>
                <w:szCs w:val="18"/>
                <w:b w:val="1"/>
                <w:bCs w:val="1"/>
                <w:color w:val="auto"/>
              </w:rPr>
              <w:t>CLEARONE COMMUNICATIONS, INC. AND SUBSIDIARIES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7140" w:type="dxa"/>
            <w:vAlign w:val="bottom"/>
          </w:tcPr>
          <w:p>
            <w:pPr>
              <w:jc w:val="center"/>
              <w:ind w:left="110"/>
              <w:spacing w:after="0"/>
              <w:rPr>
                <w:sz w:val="20"/>
                <w:szCs w:val="20"/>
                <w:color w:val="auto"/>
              </w:rPr>
            </w:pPr>
            <w:r>
              <w:rPr>
                <w:rFonts w:ascii="Arial" w:cs="Arial" w:eastAsia="Arial" w:hAnsi="Arial"/>
                <w:sz w:val="18"/>
                <w:szCs w:val="18"/>
                <w:b w:val="1"/>
                <w:bCs w:val="1"/>
                <w:color w:val="auto"/>
                <w:w w:val="88"/>
              </w:rPr>
              <w:t>(in thousands of dollars)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(audited)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December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8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2008</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7140" w:type="dxa"/>
            <w:vAlign w:val="bottom"/>
          </w:tcPr>
          <w:p>
            <w:pPr>
              <w:jc w:val="center"/>
              <w:ind w:left="110"/>
              <w:spacing w:after="0" w:line="201" w:lineRule="exact"/>
              <w:rPr>
                <w:sz w:val="20"/>
                <w:szCs w:val="20"/>
                <w:color w:val="auto"/>
              </w:rPr>
            </w:pPr>
            <w:r>
              <w:rPr>
                <w:rFonts w:ascii="Arial" w:cs="Arial" w:eastAsia="Arial" w:hAnsi="Arial"/>
                <w:sz w:val="18"/>
                <w:szCs w:val="18"/>
                <w:b w:val="1"/>
                <w:bCs w:val="1"/>
                <w:color w:val="auto"/>
                <w:w w:val="91"/>
              </w:rPr>
              <w:t>ASSETS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86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 for doubtful accounts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tcPr>
          <w:p>
            <w:pPr>
              <w:ind w:left="220"/>
              <w:spacing w:after="0"/>
              <w:rPr>
                <w:sz w:val="20"/>
                <w:szCs w:val="20"/>
                <w:color w:val="auto"/>
              </w:rPr>
            </w:pPr>
            <w:r>
              <w:rPr>
                <w:rFonts w:ascii="Arial" w:cs="Arial" w:eastAsia="Arial" w:hAnsi="Arial"/>
                <w:sz w:val="18"/>
                <w:szCs w:val="18"/>
                <w:color w:val="auto"/>
              </w:rPr>
              <w:t>of $64 and $87, respectively</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7,238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Deposit, bond for preliminary injunction</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Note receivable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Income tax receivable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28,885</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11,168</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2,554</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Note Receiveable - long-term</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asset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Total assets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40,254</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44,300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tcPr>
          <w:p>
            <w:pPr>
              <w:jc w:val="center"/>
              <w:ind w:left="11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Accrued taxes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product revenue</w:t>
            </w:r>
          </w:p>
        </w:tc>
        <w:tc>
          <w:tcPr>
            <w:tcW w:w="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10,406</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12,160</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Common stock, par value $0.001, 50,000,000 shares authorized,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8,891,756 and 10,228,902 shares issued and outstanding, respectively</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44,618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(11,794)</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32,140</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40,254</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44,300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7140" w:type="dxa"/>
            <w:vAlign w:val="bottom"/>
            <w:shd w:val="clear" w:color="auto" w:fill="CCEEFF"/>
          </w:tcPr>
          <w:p>
            <w:pPr>
              <w:ind w:left="1620"/>
              <w:spacing w:after="0"/>
              <w:rPr>
                <w:sz w:val="20"/>
                <w:szCs w:val="20"/>
                <w:color w:val="auto"/>
              </w:rPr>
            </w:pPr>
            <w:r>
              <w:rPr>
                <w:rFonts w:ascii="Arial" w:cs="Arial" w:eastAsia="Arial" w:hAnsi="Arial"/>
                <w:sz w:val="18"/>
                <w:szCs w:val="18"/>
                <w:color w:val="auto"/>
                <w:w w:val="93"/>
              </w:rPr>
              <w:t>See accompanying notes to condensed consolidated financial statements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1"/>
        </w:trPr>
        <w:tc>
          <w:tcPr>
            <w:tcW w:w="8020" w:type="dxa"/>
            <w:vAlign w:val="bottom"/>
            <w:gridSpan w:val="2"/>
          </w:tcPr>
          <w:p>
            <w:pPr>
              <w:jc w:val="right"/>
              <w:ind w:right="217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80" w:type="dxa"/>
            <w:vAlign w:val="bottom"/>
            <w:tcBorders>
              <w:bottom w:val="single" w:sz="8" w:color="808080"/>
            </w:tcBorders>
          </w:tcPr>
          <w:p>
            <w:pPr>
              <w:spacing w:after="0"/>
              <w:rPr>
                <w:sz w:val="10"/>
                <w:szCs w:val="10"/>
                <w:color w:val="auto"/>
              </w:rPr>
            </w:pPr>
          </w:p>
        </w:tc>
        <w:tc>
          <w:tcPr>
            <w:tcW w:w="7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7440" w:type="dxa"/>
            <w:vAlign w:val="bottom"/>
            <w:gridSpan w:val="9"/>
          </w:tcPr>
          <w:p>
            <w:pPr>
              <w:jc w:val="center"/>
              <w:ind w:left="2050"/>
              <w:spacing w:after="0"/>
              <w:rPr>
                <w:sz w:val="20"/>
                <w:szCs w:val="20"/>
                <w:color w:val="auto"/>
              </w:rPr>
            </w:pPr>
            <w:r>
              <w:rPr>
                <w:rFonts w:ascii="Arial" w:cs="Arial" w:eastAsia="Arial" w:hAnsi="Arial"/>
                <w:sz w:val="18"/>
                <w:szCs w:val="18"/>
                <w:b w:val="1"/>
                <w:bCs w:val="1"/>
                <w:color w:val="auto"/>
              </w:rPr>
              <w:t>CLEARONE COMMUNICATIONS, INC. AND SUBSIDIARIES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440" w:type="dxa"/>
            <w:vAlign w:val="bottom"/>
            <w:gridSpan w:val="9"/>
          </w:tcPr>
          <w:p>
            <w:pPr>
              <w:jc w:val="center"/>
              <w:ind w:left="205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440" w:type="dxa"/>
            <w:vAlign w:val="bottom"/>
            <w:gridSpan w:val="9"/>
          </w:tcPr>
          <w:p>
            <w:pPr>
              <w:jc w:val="center"/>
              <w:ind w:left="2030"/>
              <w:spacing w:after="0"/>
              <w:rPr>
                <w:sz w:val="20"/>
                <w:szCs w:val="20"/>
                <w:color w:val="auto"/>
              </w:rPr>
            </w:pPr>
            <w:r>
              <w:rPr>
                <w:rFonts w:ascii="Arial" w:cs="Arial" w:eastAsia="Arial" w:hAnsi="Arial"/>
                <w:sz w:val="18"/>
                <w:szCs w:val="18"/>
                <w:b w:val="1"/>
                <w:bCs w:val="1"/>
                <w:color w:val="auto"/>
                <w:w w:val="88"/>
              </w:rPr>
              <w:t>(in thousands of dollars, except per share amounts)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120" w:type="dxa"/>
            <w:vAlign w:val="bottom"/>
            <w:gridSpan w:val="6"/>
            <w:vMerge w:val="restart"/>
          </w:tcPr>
          <w:p>
            <w:pPr>
              <w:jc w:val="right"/>
              <w:ind w:right="400"/>
              <w:spacing w:after="0"/>
              <w:rPr>
                <w:sz w:val="20"/>
                <w:szCs w:val="20"/>
                <w:color w:val="auto"/>
              </w:rPr>
            </w:pPr>
            <w:r>
              <w:rPr>
                <w:rFonts w:ascii="Arial" w:cs="Arial" w:eastAsia="Arial" w:hAnsi="Arial"/>
                <w:sz w:val="18"/>
                <w:szCs w:val="18"/>
                <w:b w:val="1"/>
                <w:bCs w:val="1"/>
                <w:color w:val="auto"/>
                <w:w w:val="95"/>
              </w:rPr>
              <w:t>Three Months Ended</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6"/>
            <w:vMerge w:val="restart"/>
          </w:tcPr>
          <w:p>
            <w:pPr>
              <w:jc w:val="right"/>
              <w:ind w:right="440"/>
              <w:spacing w:after="0"/>
              <w:rPr>
                <w:sz w:val="20"/>
                <w:szCs w:val="20"/>
                <w:color w:val="auto"/>
              </w:rPr>
            </w:pPr>
            <w:r>
              <w:rPr>
                <w:rFonts w:ascii="Arial" w:cs="Arial" w:eastAsia="Arial" w:hAnsi="Arial"/>
                <w:sz w:val="18"/>
                <w:szCs w:val="18"/>
                <w:b w:val="1"/>
                <w:bCs w:val="1"/>
                <w:color w:val="auto"/>
                <w:w w:val="98"/>
              </w:rPr>
              <w:t>Six Months Ended</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6"/>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6"/>
            <w:vMerge w:val="continue"/>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December 31,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10,787</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20,229</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20,229</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vMerge w:val="continue"/>
          </w:tcPr>
          <w:p>
            <w:pPr>
              <w:spacing w:after="0"/>
              <w:rPr>
                <w:sz w:val="19"/>
                <w:szCs w:val="19"/>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180" w:type="dxa"/>
            <w:vAlign w:val="bottom"/>
          </w:tcPr>
          <w:p>
            <w:pPr>
              <w:ind w:left="300"/>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11,515</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&amp; Marketing</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Research and product development</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3,433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18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10,706</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vMerge w:val="continue"/>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180" w:type="dxa"/>
            <w:vAlign w:val="bottom"/>
          </w:tcPr>
          <w:p>
            <w:pPr>
              <w:ind w:left="300"/>
              <w:spacing w:after="0"/>
              <w:rPr>
                <w:sz w:val="20"/>
                <w:szCs w:val="20"/>
                <w:color w:val="auto"/>
              </w:rPr>
            </w:pPr>
            <w:r>
              <w:rPr>
                <w:rFonts w:ascii="Arial" w:cs="Arial" w:eastAsia="Arial" w:hAnsi="Arial"/>
                <w:sz w:val="18"/>
                <w:szCs w:val="18"/>
                <w:color w:val="auto"/>
              </w:rPr>
              <w:t>Total other income, net</w:t>
            </w:r>
          </w:p>
        </w:tc>
        <w:tc>
          <w:tcPr>
            <w:tcW w:w="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3"/>
              </w:rPr>
              <w:t>Income from continuing operations before income taxes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18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Income from continuing operations</w:t>
            </w:r>
          </w:p>
        </w:tc>
        <w:tc>
          <w:tcPr>
            <w:tcW w:w="9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80" w:type="dxa"/>
            <w:vAlign w:val="bottom"/>
            <w:tcBorders>
              <w:top w:val="single" w:sz="8" w:color="CCEEFF"/>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180" w:type="dxa"/>
            <w:vAlign w:val="bottom"/>
          </w:tcPr>
          <w:p>
            <w:pPr>
              <w:ind w:left="300"/>
              <w:spacing w:after="0"/>
              <w:rPr>
                <w:sz w:val="20"/>
                <w:szCs w:val="20"/>
                <w:color w:val="auto"/>
              </w:rPr>
            </w:pPr>
            <w:r>
              <w:rPr>
                <w:rFonts w:ascii="Arial" w:cs="Arial" w:eastAsia="Arial" w:hAnsi="Arial"/>
                <w:sz w:val="18"/>
                <w:szCs w:val="18"/>
                <w:color w:val="auto"/>
              </w:rPr>
              <w:t>Income from discontinued operations</w:t>
            </w:r>
          </w:p>
        </w:tc>
        <w:tc>
          <w:tcPr>
            <w:tcW w:w="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8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1,782</w:t>
            </w:r>
          </w:p>
        </w:tc>
        <w:tc>
          <w:tcPr>
            <w:tcW w:w="14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16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7440" w:type="dxa"/>
            <w:vAlign w:val="bottom"/>
            <w:gridSpan w:val="9"/>
          </w:tcPr>
          <w:p>
            <w:pPr>
              <w:jc w:val="center"/>
              <w:ind w:left="2030"/>
              <w:spacing w:after="0"/>
              <w:rPr>
                <w:sz w:val="20"/>
                <w:szCs w:val="20"/>
                <w:color w:val="auto"/>
              </w:rPr>
            </w:pPr>
            <w:r>
              <w:rPr>
                <w:rFonts w:ascii="Arial" w:cs="Arial" w:eastAsia="Arial" w:hAnsi="Arial"/>
                <w:sz w:val="18"/>
                <w:szCs w:val="18"/>
                <w:color w:val="auto"/>
                <w:w w:val="88"/>
              </w:rPr>
              <w:t>See accompanying notes to condensed consolidated financial statements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8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80" w:type="dxa"/>
            <w:vAlign w:val="bottom"/>
            <w:tcBorders>
              <w:bottom w:val="single" w:sz="8" w:color="808080"/>
            </w:tcBorders>
          </w:tcPr>
          <w:p>
            <w:pPr>
              <w:spacing w:after="0"/>
              <w:rPr>
                <w:sz w:val="10"/>
                <w:szCs w:val="10"/>
                <w:color w:val="auto"/>
              </w:rPr>
            </w:pPr>
          </w:p>
        </w:tc>
        <w:tc>
          <w:tcPr>
            <w:tcW w:w="4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0" w:type="dxa"/>
            <w:vAlign w:val="bottom"/>
            <w:gridSpan w:val="8"/>
          </w:tcPr>
          <w:p>
            <w:pPr>
              <w:jc w:val="center"/>
              <w:ind w:left="2090"/>
              <w:spacing w:after="0"/>
              <w:rPr>
                <w:sz w:val="20"/>
                <w:szCs w:val="20"/>
                <w:color w:val="auto"/>
              </w:rPr>
            </w:pPr>
            <w:r>
              <w:rPr>
                <w:rFonts w:ascii="Arial" w:cs="Arial" w:eastAsia="Arial" w:hAnsi="Arial"/>
                <w:sz w:val="18"/>
                <w:szCs w:val="18"/>
                <w:b w:val="1"/>
                <w:bCs w:val="1"/>
                <w:color w:val="auto"/>
              </w:rPr>
              <w:t>CLEARONE COMMUNICATIONS, INC. AND SUBSIDIARIES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8"/>
          </w:tcPr>
          <w:p>
            <w:pPr>
              <w:jc w:val="center"/>
              <w:ind w:left="209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8"/>
          </w:tcPr>
          <w:p>
            <w:pPr>
              <w:jc w:val="center"/>
              <w:ind w:left="2070"/>
              <w:spacing w:after="0"/>
              <w:rPr>
                <w:sz w:val="20"/>
                <w:szCs w:val="20"/>
                <w:color w:val="auto"/>
              </w:rPr>
            </w:pPr>
            <w:r>
              <w:rPr>
                <w:rFonts w:ascii="Arial" w:cs="Arial" w:eastAsia="Arial" w:hAnsi="Arial"/>
                <w:sz w:val="18"/>
                <w:szCs w:val="18"/>
                <w:b w:val="1"/>
                <w:bCs w:val="1"/>
                <w:color w:val="auto"/>
                <w:w w:val="88"/>
              </w:rPr>
              <w:t>(in thousands of dollars, except per share amounts)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(unaudited)</w:t>
            </w:r>
          </w:p>
        </w:tc>
        <w:tc>
          <w:tcPr>
            <w:tcW w:w="2080" w:type="dxa"/>
            <w:vAlign w:val="bottom"/>
            <w:gridSpan w:val="5"/>
            <w:vMerge w:val="restart"/>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5"/>
            <w:vMerge w:val="restart"/>
          </w:tcPr>
          <w:p>
            <w:pPr>
              <w:jc w:val="center"/>
              <w:ind w:right="26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9"/>
              </w:rPr>
              <w:t>Basic earnings per common share from continuing operations</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7"/>
              </w:rPr>
              <w:t>Diluted earnings per common share from continuing operations</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0.07</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6"/>
              </w:rPr>
              <w:t>Basic earnings per common share from discontinued operations</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4"/>
              </w:rPr>
              <w:t>Diluted earnigns per common share from discontinued operations</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Diluted earnings per comons share</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0.07</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8,889,974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10,840,193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9,501,381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10,900,725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8,989,283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10,941,491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9,600,291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11,012,239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615759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00"/>
          </w:cols>
          <w:pgMar w:left="1100" w:top="756" w:right="10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220"/>
              <w:spacing w:after="0" w:line="198" w:lineRule="exact"/>
              <w:rPr>
                <w:sz w:val="20"/>
                <w:szCs w:val="20"/>
                <w:color w:val="auto"/>
              </w:rPr>
            </w:pPr>
            <w:r>
              <w:rPr>
                <w:rFonts w:ascii="Arial" w:cs="Arial" w:eastAsia="Arial" w:hAnsi="Arial"/>
                <w:sz w:val="18"/>
                <w:szCs w:val="18"/>
                <w:b w:val="1"/>
                <w:bCs w:val="1"/>
                <w:color w:val="auto"/>
                <w:w w:val="87"/>
              </w:rPr>
              <w:t>December</w:t>
            </w: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87"/>
              </w:rPr>
              <w:t>December</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from continuing operations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Adjustments to reconcile net income from continuing operations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 net cash (used in) provided by operating activities: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Write-off of inventory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(Gain) loss on disposal of assets and fixed assets write-offs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tcPr>
          <w:p>
            <w:pPr>
              <w:ind w:left="300"/>
              <w:spacing w:after="0" w:line="201" w:lineRule="exact"/>
              <w:rPr>
                <w:sz w:val="20"/>
                <w:szCs w:val="20"/>
                <w:color w:val="auto"/>
              </w:rPr>
            </w:pPr>
            <w:r>
              <w:rPr>
                <w:rFonts w:ascii="Arial" w:cs="Arial" w:eastAsia="Arial" w:hAnsi="Arial"/>
                <w:sz w:val="18"/>
                <w:szCs w:val="18"/>
                <w:color w:val="auto"/>
              </w:rPr>
              <w:t>Provision for (recovery of) doubtful accounts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80"/>
              <w:spacing w:after="0"/>
              <w:rPr>
                <w:sz w:val="20"/>
                <w:szCs w:val="20"/>
                <w:color w:val="auto"/>
              </w:rPr>
            </w:pPr>
            <w:r>
              <w:rPr>
                <w:rFonts w:ascii="Arial" w:cs="Arial" w:eastAsia="Arial" w:hAnsi="Arial"/>
                <w:sz w:val="18"/>
                <w:szCs w:val="18"/>
                <w:color w:val="auto"/>
              </w:rPr>
              <w:t>Deposit - Bond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taxes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80"/>
              <w:spacing w:after="0"/>
              <w:rPr>
                <w:sz w:val="20"/>
                <w:szCs w:val="20"/>
                <w:color w:val="auto"/>
              </w:rPr>
            </w:pPr>
            <w:r>
              <w:rPr>
                <w:rFonts w:ascii="Arial" w:cs="Arial" w:eastAsia="Arial" w:hAnsi="Arial"/>
                <w:sz w:val="18"/>
                <w:szCs w:val="18"/>
                <w:color w:val="auto"/>
              </w:rPr>
              <w:t>Note receivable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8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8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80"/>
              <w:spacing w:after="0"/>
              <w:rPr>
                <w:sz w:val="20"/>
                <w:szCs w:val="20"/>
                <w:color w:val="auto"/>
              </w:rPr>
            </w:pPr>
            <w:r>
              <w:rPr>
                <w:rFonts w:ascii="Arial" w:cs="Arial" w:eastAsia="Arial" w:hAnsi="Arial"/>
                <w:sz w:val="18"/>
                <w:szCs w:val="18"/>
                <w:color w:val="auto"/>
              </w:rPr>
              <w:t>Deferred product revenue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change in other assets/liabilities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80"/>
              <w:spacing w:after="0"/>
              <w:rPr>
                <w:sz w:val="20"/>
                <w:szCs w:val="20"/>
                <w:color w:val="auto"/>
              </w:rPr>
            </w:pPr>
            <w:r>
              <w:rPr>
                <w:rFonts w:ascii="Arial" w:cs="Arial" w:eastAsia="Arial" w:hAnsi="Arial"/>
                <w:sz w:val="18"/>
                <w:szCs w:val="18"/>
                <w:color w:val="auto"/>
              </w:rPr>
              <w:t>Net cash (used in) provided by operating activities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marketable securities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Sale of marketable securities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continuing investing activities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480"/>
              <w:spacing w:after="0"/>
              <w:rPr>
                <w:sz w:val="20"/>
                <w:szCs w:val="20"/>
                <w:color w:val="auto"/>
              </w:rPr>
            </w:pPr>
            <w:r>
              <w:rPr>
                <w:rFonts w:ascii="Arial" w:cs="Arial" w:eastAsia="Arial" w:hAnsi="Arial"/>
                <w:sz w:val="18"/>
                <w:szCs w:val="18"/>
                <w:color w:val="auto"/>
              </w:rPr>
              <w:t>Net cash provided by discontinued investing activities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Proceeds from common stock</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purchased and retired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Tax benefit attributable to exercise of stock options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615759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00"/>
          </w:cols>
          <w:pgMar w:left="1100" w:top="513" w:right="10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87"/>
              </w:rPr>
              <w:t>December</w:t>
            </w: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87"/>
              </w:rPr>
              <w:t>December</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income taxes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40"/>
              <w:spacing w:after="0"/>
              <w:rPr>
                <w:sz w:val="20"/>
                <w:szCs w:val="20"/>
                <w:color w:val="auto"/>
              </w:rPr>
            </w:pPr>
            <w:r>
              <w:rPr>
                <w:rFonts w:ascii="Arial" w:cs="Arial" w:eastAsia="Arial" w:hAnsi="Arial"/>
                <w:sz w:val="18"/>
                <w:szCs w:val="18"/>
                <w:color w:val="auto"/>
              </w:rPr>
              <w:t>Cash paid for interest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Exchanged accounts receivable from a vendor with</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40"/>
              <w:spacing w:after="0"/>
              <w:rPr>
                <w:sz w:val="20"/>
                <w:szCs w:val="20"/>
                <w:color w:val="auto"/>
              </w:rPr>
            </w:pPr>
            <w:r>
              <w:rPr>
                <w:rFonts w:ascii="Arial" w:cs="Arial" w:eastAsia="Arial" w:hAnsi="Arial"/>
                <w:sz w:val="18"/>
                <w:szCs w:val="18"/>
                <w:color w:val="auto"/>
              </w:rPr>
              <w:t>acccounts payable to the same vendor</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Adoption of FIN48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40"/>
              <w:spacing w:after="0"/>
              <w:rPr>
                <w:sz w:val="20"/>
                <w:szCs w:val="20"/>
                <w:color w:val="auto"/>
              </w:rPr>
            </w:pPr>
            <w:r>
              <w:rPr>
                <w:rFonts w:ascii="Arial" w:cs="Arial" w:eastAsia="Arial" w:hAnsi="Arial"/>
                <w:sz w:val="18"/>
                <w:szCs w:val="18"/>
                <w:color w:val="auto"/>
              </w:rPr>
              <w:t>Unrealized gain on available-for-sale investments, net of tax of $434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jc w:val="center"/>
        <w:ind w:right="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00"/>
          </w:cols>
          <w:pgMar w:left="1100" w:top="513" w:right="10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accompanying interim consolidated financial statements for the three and six month periods ended December 31, 2008 and 2007 are not audited. Our consolidated financial statements are prepared in accordance with the requirements for unaudited interim periods, and consequently do not include all disclosures required to be in conformity with accounting principles generally accepted in the United States of America. The accompanying consolidated financial statements contain all adjustments, consisting of normal recurring accruals, necessary for a fair presentation of our financial position as of December 31, 2008, the results of operations for the three and six month periods ended December 31, 2008 and 2007, and the condensed statements of cash flows for the six months ended December 31, 2008 and 2007. The results of operations for the three and six month periods ended December 31, 2008 and 2007 are not necessarily indicative of the results for a full-year period. These interim consolidated financial statements should be read in conjunction with the financial statements included in our Annual Report on Form 10-K/A for the year ended June 30, 2008 filed with the Securities and Exchange Commission (the “SEC”).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consisted of the following as of December 31, 2008 and June 30, 2008 (in thousands):</w:t>
      </w:r>
    </w:p>
    <w:p>
      <w:pPr>
        <w:spacing w:after="0" w:line="24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Finished goods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5,356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Consigned inventory</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Total inventory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12,859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inventory increased approximately $5 million from June 30, 2008 as we continued to build up safety stock of certain of our key products to mitigate stock-outs in addition to taking advantage of volume discounts. We also stocked and commenced fulfillment from our Hong Kong facility which we expect will better serve the majority of our international partners and enable us to enhance our profitability by working in the favorable Hong Kong business environment.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represents inventory at distributors and other customers where revenue recognition criteria have not been achieved.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the three and six month periods ended December 31, 2008 and 2007 has been allocated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2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w w:val="95"/>
              </w:rPr>
              <w:t>Three Months Ended</w:t>
            </w:r>
          </w:p>
        </w:tc>
        <w:tc>
          <w:tcPr>
            <w:tcW w:w="140" w:type="dxa"/>
            <w:vAlign w:val="bottom"/>
          </w:tcPr>
          <w:p>
            <w:pPr>
              <w:spacing w:after="0"/>
              <w:rPr>
                <w:sz w:val="18"/>
                <w:szCs w:val="18"/>
                <w:color w:val="auto"/>
              </w:rPr>
            </w:pPr>
          </w:p>
        </w:tc>
        <w:tc>
          <w:tcPr>
            <w:tcW w:w="16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0"/>
              </w:rPr>
              <w:t>Six Months Ended</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20"/>
                <w:szCs w:val="20"/>
                <w:color w:val="auto"/>
              </w:rPr>
            </w:pPr>
          </w:p>
        </w:tc>
        <w:tc>
          <w:tcPr>
            <w:tcW w:w="16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December 31,</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2007</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2007</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Sales &amp; marketing</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General &amp;administrative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720" w:type="dxa"/>
            <w:vAlign w:val="bottom"/>
            <w:vMerge w:val="continue"/>
          </w:tcPr>
          <w:p>
            <w:pPr>
              <w:spacing w:after="0"/>
              <w:rPr>
                <w:sz w:val="22"/>
                <w:szCs w:val="2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1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78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844"/>
        </w:trPr>
        <w:tc>
          <w:tcPr>
            <w:tcW w:w="1720" w:type="dxa"/>
            <w:vAlign w:val="bottom"/>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3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spacing w:after="0" w:line="293" w:lineRule="auto"/>
        <w:rPr>
          <w:sz w:val="20"/>
          <w:szCs w:val="20"/>
          <w:color w:val="auto"/>
        </w:rPr>
      </w:pPr>
      <w:r>
        <w:rPr>
          <w:rFonts w:ascii="Arial" w:cs="Arial" w:eastAsia="Arial" w:hAnsi="Arial"/>
          <w:sz w:val="16"/>
          <w:szCs w:val="16"/>
          <w:color w:val="auto"/>
        </w:rPr>
        <w:t>As of December 31, 2008, the total remaining unrecognized compensation cost related to non-vested stock options, net of forfeitures, was approximately $946,000. During the six months ended December 31, 2008 and 2007, we granted 213,500 and 315,000 stock options, respectively. We use judgment in determining the fair value of the share-based payments on the date of grant using an option-pricing model with assumptions regarding a number of highly complex and subjective variables. These variables include the risk-free interest rate of the awards, the expected life of the awards, the expected volatility over the term of the awards, the expected dividends of the awards, and an estimate of the amount of awards that are expected to be forfeited. We use the Black-Scholes option pricing model to determine the fair value of share-based payments granted under SFAS No. 123R and the original SFAS No. 123.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Summary operating results of our discontinued operations are as follows (in thousands of dollars):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6"/>
              </w:rPr>
              <w:t>Six Months Ended</w:t>
            </w:r>
          </w:p>
        </w:tc>
        <w:tc>
          <w:tcPr>
            <w:tcW w:w="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6"/>
              </w:rPr>
              <w:t>December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December</w:t>
            </w:r>
          </w:p>
        </w:tc>
        <w:tc>
          <w:tcPr>
            <w:tcW w:w="180" w:type="dxa"/>
            <w:vAlign w:val="bottom"/>
          </w:tcPr>
          <w:p>
            <w:pPr>
              <w:spacing w:after="0"/>
              <w:rPr>
                <w:sz w:val="17"/>
                <w:szCs w:val="17"/>
                <w:color w:val="auto"/>
              </w:rPr>
            </w:pPr>
          </w:p>
        </w:tc>
        <w:tc>
          <w:tcPr>
            <w:tcW w:w="9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1"/>
              </w:rPr>
              <w:t>December</w:t>
            </w:r>
          </w:p>
        </w:tc>
        <w:tc>
          <w:tcPr>
            <w:tcW w:w="160" w:type="dxa"/>
            <w:vAlign w:val="bottom"/>
          </w:tcPr>
          <w:p>
            <w:pPr>
              <w:spacing w:after="0"/>
              <w:rPr>
                <w:sz w:val="17"/>
                <w:szCs w:val="17"/>
                <w:color w:val="auto"/>
              </w:rPr>
            </w:pPr>
          </w:p>
        </w:tc>
        <w:tc>
          <w:tcPr>
            <w:tcW w:w="9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December</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9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60" w:type="dxa"/>
            <w:vAlign w:val="bottom"/>
            <w:gridSpan w:val="2"/>
          </w:tcPr>
          <w:p>
            <w:pPr>
              <w:spacing w:after="0"/>
              <w:rPr>
                <w:sz w:val="20"/>
                <w:szCs w:val="20"/>
                <w:color w:val="auto"/>
              </w:rPr>
            </w:pPr>
            <w:r>
              <w:rPr>
                <w:rFonts w:ascii="Arial" w:cs="Arial" w:eastAsia="Arial" w:hAnsi="Arial"/>
                <w:sz w:val="18"/>
                <w:szCs w:val="18"/>
                <w:color w:val="auto"/>
              </w:rPr>
              <w:t>Gain on disposal of discontinued operations:</w:t>
            </w: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9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gain on disposal of discontinued operations</w:t>
            </w:r>
          </w:p>
        </w:tc>
        <w:tc>
          <w:tcPr>
            <w:tcW w:w="100" w:type="dxa"/>
            <w:vAlign w:val="bottom"/>
            <w:tcBorders>
              <w:top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w:t>
            </w: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9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320"/>
              <w:spacing w:after="0"/>
              <w:rPr>
                <w:sz w:val="20"/>
                <w:szCs w:val="20"/>
                <w:color w:val="auto"/>
              </w:rPr>
            </w:pPr>
            <w:r>
              <w:rPr>
                <w:rFonts w:ascii="Arial" w:cs="Arial" w:eastAsia="Arial" w:hAnsi="Arial"/>
                <w:sz w:val="18"/>
                <w:szCs w:val="18"/>
                <w:color w:val="auto"/>
              </w:rPr>
              <w:t>Total income tax (provision) benefit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2"/>
              </w:rPr>
              <w:t>Total income from discontinued operations, net of income taxes: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9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income from discontinued operations,</w:t>
            </w: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of income taxes</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9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 Video</w:t>
      </w:r>
    </w:p>
    <w:p>
      <w:pPr>
        <w:spacing w:after="0" w:line="25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On March 4, 2005, we sold all of the issued and outstanding stock of our Canadian subsidiary, ClearOne Communications of Canada, Inc. (“ClearOne Canada”) to 6351352 Canada Inc., a Canada corporation. ClearOne Canada owned all the issued and outstanding stock of Stechyson Electronics, Ltd., which conducted business under the name OM Video. We agreed to sell the stock of ClearOne Canada for $200,000 in cash; a $1.3 million note receivable over a</w:t>
      </w:r>
    </w:p>
    <w:p>
      <w:pPr>
        <w:spacing w:after="0" w:line="268" w:lineRule="auto"/>
        <w:rPr>
          <w:sz w:val="20"/>
          <w:szCs w:val="20"/>
          <w:color w:val="auto"/>
        </w:rPr>
      </w:pPr>
      <w:r>
        <w:rPr>
          <w:rFonts w:ascii="Arial" w:cs="Arial" w:eastAsia="Arial" w:hAnsi="Arial"/>
          <w:sz w:val="17"/>
          <w:szCs w:val="17"/>
          <w:color w:val="auto"/>
        </w:rPr>
        <w:t>15-month period, with interest accruing on the unpaid balance at the rate of 5.3% per year; and contingent consideration ranging from 3.0% to 4.0% of related gross revenue over a five-year period. In June 2005, we were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Based on an analysis of the facts and circumstances that existed at the end of fiscal 2005, and considering the guidance from Topic 5U of the SEC Rules and Regulations, “Gain Recognition on the Sale of a Business or Operating Assets to a Highly Leveraged Entity,” the gain was recognized as cash was collected (as collection was not reasonably assured). Through December 31, 2005, all required payments had been made however, 6351352 Canada Inc. failed to make any subsequent, required payments under the note receivable until June 30, 2006, when we received a payment of $50,000. We reevaluated our alternatives and concluded that our best course of action was to enforce our security and appoint a receiver over the assets of OM Video. The amount of the promissory note and contingent earn-out provision was approximately $660,000 which is net of $632,000 collected through receivership.</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5. Shareholders’ Equity</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shareholders’ equity of $28.2 million at December 31, 2008 declined approximately $4.0 million from June 30, 2008. During the quarter ending September 30, 2008, we repurchased 1,342,620 shares for approximately $6.8 million. The share repurchase was partially offset by comprehensive income for the six months ending December 31, 2008 of approximately $2.5 million which included an unrealized gain, net of tax, of $730,000 related to our auction rate securities investments.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our first six months of fiscal 2009, we recorded approximately $434,000 related to unrecognized tax benefits that would favorably impact our effective tax rate if recognized. The total outstanding balance for liabilities related to unrecognized tax benefits at December 31, 2008 was $1.7 million of which $119,000 was associated with interest and penalties. We account for interest expense and penalties for unrecognized tax benefits as part of our income tax provision.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Contingent Liability</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accrued for legal fees and costs of the probable amount the Company was able to estimate at December 31, 2008, of our contingent liability under indemnification agreements with two former officers. In accordance with Statement of Financial Accounting Standards No. 5, “Accounting for Contingencies,” we have accrued a total of $3.3 million, the balance of which was about $1.5 million at December 31, 2008 representing the probable amount that, as of the date of the financial statements, could be reasonably estimated of our contingent liability, through trial, under the indemnification agreements if required under applicable law. In accordance with SFAS No. 5, we will adjust our contingent liability, as necessary, to reflect the probable amount that can be reasonably estimated. Our actual liability may be higher or lower than the estimate upon final resolution of the matter. We will adjust our contingent liability, as needed, so that it remains an estimable and probable amount of our contingent financial liability as of the date of issuance of the applicable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25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During October 2008 we accepted offers to repurchase our auction rate securities (“ARSs”), at par value, from the two investment banks that sold them to us. Recently, auctions for these securities were not successful, resulting in our continuing to hold these securities and the issuers paying interest at the maximum contractual rate. Between November 2008 and January 2009, UBS and Morgan Stanley fulfilled their offers and repurchased our ARSs, at par value, totaling approximately $12.2 million.</w:t>
      </w:r>
    </w:p>
    <w:p>
      <w:pPr>
        <w:spacing w:after="0" w:line="21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Prior to our quarter ended December 31, 2008 we recognized unrealized losses in equity securities primarily related to our ARSs. However, as a result of our ARSs having been subsequently repurchased at par value, the unrealized losses in these securities were zero at December 31, 2008.</w:t>
      </w:r>
    </w:p>
    <w:p>
      <w:pPr>
        <w:spacing w:after="0" w:line="17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Changes in the unrealized holding gains and losses on our marketable securities are reported as a separate component of accumulated other comprehensive income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b w:val="1"/>
                <w:bCs w:val="1"/>
                <w:color w:val="auto"/>
                <w:w w:val="95"/>
              </w:rPr>
              <w:t>Three Months Ended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0"/>
              </w:rPr>
              <w:t>Six Months Ended</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(895)</w:t>
            </w:r>
          </w:p>
        </w:tc>
        <w:tc>
          <w:tcPr>
            <w:tcW w:w="740" w:type="dxa"/>
            <w:vAlign w:val="bottom"/>
            <w:shd w:val="clear" w:color="auto" w:fill="CCEEFF"/>
          </w:tcPr>
          <w:p>
            <w:pPr>
              <w:jc w:val="right"/>
              <w:ind w:right="580"/>
              <w:spacing w:after="0"/>
              <w:rPr>
                <w:sz w:val="20"/>
                <w:szCs w:val="20"/>
                <w:color w:val="auto"/>
              </w:rPr>
            </w:pPr>
            <w:r>
              <w:rPr>
                <w:rFonts w:ascii="Arial" w:cs="Arial" w:eastAsia="Arial" w:hAnsi="Arial"/>
                <w:sz w:val="15"/>
                <w:szCs w:val="15"/>
                <w:color w:val="auto"/>
                <w:w w:val="71"/>
              </w:rPr>
              <w:t>$</w:t>
            </w:r>
          </w:p>
        </w:tc>
        <w:tc>
          <w:tcPr>
            <w:tcW w:w="200" w:type="dxa"/>
            <w:vAlign w:val="bottom"/>
            <w:tcBorders>
              <w:lef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w w:val="98"/>
              </w:rPr>
              <w:t>Unrealized holding gains, in equity securities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1,485</w:t>
            </w:r>
          </w:p>
        </w:tc>
        <w:tc>
          <w:tcPr>
            <w:tcW w:w="740" w:type="dxa"/>
            <w:vAlign w:val="bottom"/>
          </w:tcPr>
          <w:p>
            <w:pPr>
              <w:spacing w:after="0"/>
              <w:rPr>
                <w:sz w:val="18"/>
                <w:szCs w:val="18"/>
                <w:color w:val="auto"/>
              </w:rPr>
            </w:pP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1,164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w:t>
            </w:r>
          </w:p>
        </w:tc>
        <w:tc>
          <w:tcPr>
            <w:tcW w:w="7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Borders>
              <w:lef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Balance, end of period</w:t>
            </w:r>
          </w:p>
        </w:tc>
        <w:tc>
          <w:tcPr>
            <w:tcW w:w="5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740" w:type="dxa"/>
            <w:vAlign w:val="bottom"/>
          </w:tcPr>
          <w:p>
            <w:pPr>
              <w:jc w:val="right"/>
              <w:ind w:right="580"/>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vMerge w:val="restart"/>
          </w:tcPr>
          <w:p>
            <w:pPr>
              <w:jc w:val="right"/>
              <w:ind w:right="110"/>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1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9. Comprehensive Income</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960" w:type="dxa"/>
            <w:vAlign w:val="bottom"/>
            <w:gridSpan w:val="2"/>
          </w:tcPr>
          <w:p>
            <w:pPr>
              <w:spacing w:after="0"/>
              <w:rPr>
                <w:sz w:val="20"/>
                <w:szCs w:val="20"/>
                <w:color w:val="auto"/>
              </w:rPr>
            </w:pPr>
            <w:r>
              <w:rPr>
                <w:rFonts w:ascii="Arial" w:cs="Arial" w:eastAsia="Arial" w:hAnsi="Arial"/>
                <w:sz w:val="18"/>
                <w:szCs w:val="18"/>
                <w:color w:val="auto"/>
              </w:rPr>
              <w:t>The components of comprehensive income are (in thousands):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7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9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5"/>
              </w:rPr>
              <w:t>Three Months Ended</w:t>
            </w:r>
          </w:p>
        </w:tc>
        <w:tc>
          <w:tcPr>
            <w:tcW w:w="140" w:type="dxa"/>
            <w:vAlign w:val="bottom"/>
          </w:tcPr>
          <w:p>
            <w:pPr>
              <w:spacing w:after="0"/>
              <w:rPr>
                <w:sz w:val="24"/>
                <w:szCs w:val="24"/>
                <w:color w:val="auto"/>
              </w:rPr>
            </w:pPr>
          </w:p>
        </w:tc>
        <w:tc>
          <w:tcPr>
            <w:tcW w:w="168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20"/>
                <w:szCs w:val="20"/>
                <w:color w:val="auto"/>
              </w:rPr>
            </w:pPr>
          </w:p>
        </w:tc>
        <w:tc>
          <w:tcPr>
            <w:tcW w:w="16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2007</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Unrealized gain on available-for-sale investment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1,164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1,535</w:t>
            </w:r>
          </w:p>
        </w:tc>
        <w:tc>
          <w:tcPr>
            <w:tcW w:w="1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1,782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2,468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adopted SFAS No. 157 “Fair Value Measurements” (as impacted by SFAS 157-2) on July 1, 2008. This statement defines fair value, establishes a framework to measure fair value, and expands disclosures about fair value measurements. SFAS 157 defines fair value as the price that could be received upon the sale of an asset or paid to transfer a liability in an orderly transaction between market participants at the measurement date. SFAS 157 establishes a fair value hierarchy used to prioritize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spacing w:after="0" w:line="22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Level 1: Valuations based on quoted prices in active markets for identical instruments that we are able to access. Since valuations are based on quoted prices that are readily and regularly available in an active market, valuation of these products does not entail a significant degree of judgment.</w:t>
      </w:r>
    </w:p>
    <w:p>
      <w:pPr>
        <w:spacing w:after="0" w:line="17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Level 2: Valuations based on quoted prices in active markets for instruments that are similar, or quoted prices in markets that are not active for identical or similar instruments, and model-derived valuations in which all significant inputs and significant value drivers are observable in active markets.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Level 3: Valuations based on inputs that are unobservable and significant to the overall fair value measurement.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2008, financial assets utilizing Level 1 inputs included short term investment securities traded on active securities exchanges. We did not have any financial assets utilizing Level 2 or Level 3 inputs. We did not have any liabilities that were required to be measured at fair value as of December 31, 2008.</w:t>
      </w:r>
    </w:p>
    <w:p>
      <w:pPr>
        <w:spacing w:after="0" w:line="20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Fair value is a market-based measure considered from the perspective of a market participant who holds the asset or owes the liability rather than an entity-specific measure. Therefore, even when market assumptions are not readily available, our own assumptions are set to reflect those that market participants would use in pricing the asset or liability at the measurement date. We use prices and inputs that are current as of the measurement date, including during periods of market dislocation, such as the recent illiquidity in the auction rate securities market. In periods of market dislocation, the observability of prices and inputs may be reduced for many instruments. As a result of UBS and Morgan Stanley repurchasing our auction rate securities, at par, between November 2008 and January 2009, we have reclassified certain of our financial instruments from Level 2 to Level 1 at December 31, 2008.</w:t>
      </w:r>
    </w:p>
    <w:p>
      <w:pPr>
        <w:spacing w:after="0" w:line="19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SFAS No. 157 requires that the valuation techniques used by us are consistent with at least one of the three possible approaches: the market approach, income approach and/or cost approach. Our Level 1 valuations are based on the market approach and consist of quoted prices for identical items on active securities exchanges.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provides our financial assets carried at fair value measured on a recurring basis as of December 31, 2008 (in thousands):</w:t>
      </w:r>
    </w:p>
    <w:p>
      <w:pPr>
        <w:spacing w:after="0" w:line="25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3"/>
          </w:tcPr>
          <w:p>
            <w:pPr>
              <w:ind w:left="120"/>
              <w:spacing w:after="0"/>
              <w:rPr>
                <w:sz w:val="20"/>
                <w:szCs w:val="20"/>
                <w:color w:val="auto"/>
              </w:rPr>
            </w:pPr>
            <w:r>
              <w:rPr>
                <w:rFonts w:ascii="Arial" w:cs="Arial" w:eastAsia="Arial" w:hAnsi="Arial"/>
                <w:sz w:val="18"/>
                <w:szCs w:val="18"/>
                <w:color w:val="auto"/>
                <w:w w:val="92"/>
              </w:rPr>
              <w:t>Quoted Prices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w w:val="94"/>
              </w:rPr>
              <w:t>in Active</w:t>
            </w:r>
          </w:p>
        </w:tc>
        <w:tc>
          <w:tcPr>
            <w:tcW w:w="42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Significant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20" w:type="dxa"/>
            <w:vAlign w:val="bottom"/>
            <w:gridSpan w:val="2"/>
          </w:tcPr>
          <w:p>
            <w:pPr>
              <w:ind w:left="840"/>
              <w:spacing w:after="0"/>
              <w:rPr>
                <w:sz w:val="20"/>
                <w:szCs w:val="20"/>
                <w:color w:val="auto"/>
              </w:rPr>
            </w:pPr>
            <w:r>
              <w:rPr>
                <w:rFonts w:ascii="Arial" w:cs="Arial" w:eastAsia="Arial" w:hAnsi="Arial"/>
                <w:sz w:val="18"/>
                <w:szCs w:val="18"/>
                <w:color w:val="auto"/>
              </w:rPr>
              <w:t>Total Fair</w:t>
            </w:r>
          </w:p>
        </w:tc>
        <w:tc>
          <w:tcPr>
            <w:tcW w:w="1200" w:type="dxa"/>
            <w:vAlign w:val="bottom"/>
            <w:gridSpan w:val="3"/>
          </w:tcPr>
          <w:p>
            <w:pPr>
              <w:ind w:left="120"/>
              <w:spacing w:after="0"/>
              <w:rPr>
                <w:sz w:val="20"/>
                <w:szCs w:val="20"/>
                <w:color w:val="auto"/>
              </w:rPr>
            </w:pPr>
            <w:r>
              <w:rPr>
                <w:rFonts w:ascii="Arial" w:cs="Arial" w:eastAsia="Arial" w:hAnsi="Arial"/>
                <w:sz w:val="18"/>
                <w:szCs w:val="18"/>
                <w:color w:val="auto"/>
              </w:rPr>
              <w:t>Markets for</w:t>
            </w: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color w:val="auto"/>
              </w:rPr>
              <w:t>Significant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60" w:type="dxa"/>
            <w:vAlign w:val="bottom"/>
          </w:tcPr>
          <w:p>
            <w:pPr>
              <w:ind w:left="840"/>
              <w:spacing w:after="0"/>
              <w:rPr>
                <w:sz w:val="20"/>
                <w:szCs w:val="20"/>
                <w:color w:val="auto"/>
              </w:rPr>
            </w:pPr>
            <w:r>
              <w:rPr>
                <w:rFonts w:ascii="Arial" w:cs="Arial" w:eastAsia="Arial" w:hAnsi="Arial"/>
                <w:sz w:val="18"/>
                <w:szCs w:val="18"/>
                <w:color w:val="auto"/>
                <w:w w:val="90"/>
              </w:rPr>
              <w:t>Value at</w:t>
            </w:r>
          </w:p>
        </w:tc>
        <w:tc>
          <w:tcPr>
            <w:tcW w:w="560" w:type="dxa"/>
            <w:vAlign w:val="bottom"/>
          </w:tcPr>
          <w:p>
            <w:pPr>
              <w:spacing w:after="0"/>
              <w:rPr>
                <w:sz w:val="18"/>
                <w:szCs w:val="18"/>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w w:val="95"/>
              </w:rPr>
              <w:t>Identical</w:t>
            </w:r>
          </w:p>
        </w:tc>
        <w:tc>
          <w:tcPr>
            <w:tcW w:w="42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observable</w:t>
            </w:r>
          </w:p>
        </w:tc>
        <w:tc>
          <w:tcPr>
            <w:tcW w:w="18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color w:val="auto"/>
                <w:w w:val="90"/>
              </w:rPr>
              <w:t>unobservable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20" w:type="dxa"/>
            <w:vAlign w:val="bottom"/>
            <w:gridSpan w:val="2"/>
          </w:tcPr>
          <w:p>
            <w:pPr>
              <w:ind w:left="840"/>
              <w:spacing w:after="0"/>
              <w:rPr>
                <w:sz w:val="20"/>
                <w:szCs w:val="20"/>
                <w:color w:val="auto"/>
              </w:rPr>
            </w:pPr>
            <w:r>
              <w:rPr>
                <w:rFonts w:ascii="Arial" w:cs="Arial" w:eastAsia="Arial" w:hAnsi="Arial"/>
                <w:sz w:val="18"/>
                <w:szCs w:val="18"/>
                <w:color w:val="auto"/>
              </w:rPr>
              <w:t>December 31,</w:t>
            </w:r>
          </w:p>
        </w:tc>
        <w:tc>
          <w:tcPr>
            <w:tcW w:w="1200" w:type="dxa"/>
            <w:vAlign w:val="bottom"/>
            <w:gridSpan w:val="3"/>
          </w:tcPr>
          <w:p>
            <w:pPr>
              <w:ind w:left="120"/>
              <w:spacing w:after="0"/>
              <w:rPr>
                <w:sz w:val="20"/>
                <w:szCs w:val="20"/>
                <w:color w:val="auto"/>
              </w:rPr>
            </w:pPr>
            <w:r>
              <w:rPr>
                <w:rFonts w:ascii="Arial" w:cs="Arial" w:eastAsia="Arial" w:hAnsi="Arial"/>
                <w:sz w:val="18"/>
                <w:szCs w:val="18"/>
                <w:color w:val="auto"/>
                <w:w w:val="98"/>
              </w:rPr>
              <w:t>Assets (Level</w:t>
            </w: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inputs</w:t>
            </w:r>
          </w:p>
        </w:tc>
        <w:tc>
          <w:tcPr>
            <w:tcW w:w="18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color w:val="auto"/>
                <w:w w:val="95"/>
              </w:rPr>
              <w:t>inputs (Level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460" w:type="dxa"/>
            <w:vAlign w:val="bottom"/>
          </w:tcPr>
          <w:p>
            <w:pPr>
              <w:ind w:left="840"/>
              <w:spacing w:after="0"/>
              <w:rPr>
                <w:sz w:val="20"/>
                <w:szCs w:val="20"/>
                <w:color w:val="auto"/>
              </w:rPr>
            </w:pPr>
            <w:r>
              <w:rPr>
                <w:rFonts w:ascii="Arial" w:cs="Arial" w:eastAsia="Arial" w:hAnsi="Arial"/>
                <w:sz w:val="18"/>
                <w:szCs w:val="18"/>
                <w:color w:val="auto"/>
              </w:rPr>
              <w:t>2008</w:t>
            </w:r>
          </w:p>
        </w:tc>
        <w:tc>
          <w:tcPr>
            <w:tcW w:w="560" w:type="dxa"/>
            <w:vAlign w:val="bottom"/>
          </w:tcPr>
          <w:p>
            <w:pPr>
              <w:spacing w:after="0"/>
              <w:rPr>
                <w:sz w:val="20"/>
                <w:szCs w:val="20"/>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Short-term available-for-sale securities</w:t>
            </w:r>
          </w:p>
        </w:tc>
        <w:tc>
          <w:tcPr>
            <w:tcW w:w="1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9,628</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9,628</w:t>
            </w: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Long-term available-for-sale securities</w:t>
            </w:r>
          </w:p>
        </w:tc>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9,628</w:t>
            </w: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Recent Accounting Pronouncements</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which defines fair value, establishes guidelines for measuring fair value and expands disclosure regarding fair value measurements. SFAS No. 157 does not require new fair value measurements but rather eliminates inconsistencies in guidance found in various prior accounting pronouncements. SFAS No. 157 is effective for financial statements issued for fiscal years beginning after November 15, 2007, on a prospective basis. We adopted the requirements of SFAS 157 on July 1, 2008, the beginning our of 2009 fiscal year.</w:t>
      </w:r>
    </w:p>
    <w:p>
      <w:pPr>
        <w:spacing w:after="0" w:line="21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February 2007, the FASB issued SFAS 159 “The Fair Value Option for Financial Assets and Financial Liabilities” (“SFAS 159”). This statement permits entities to choose to measure many financial instruments and certain other items at fair value that were not previously required to be measured at fair value. The objective of SFAS 159 is to improve financial reporting by providing entities with the opportunity to mitigate volatility in reported earnings caused by measuring related assets and liabilities differently without having to apply complex hedge accounting provisions. SFAS 159 requires a business entity to report unrealized gains and losses on items for which the fair value option has been elected in earnings at each subsequent reporting date. An entity may decide whether to elect the fair value option for each eligible item on its election date, subject to certain requirements described in the statement. SFAS 159 is effective for fiscal years beginning after November 15, 2007. We adopted SFAS 159 on July 1, 2008, and elected not to establish the fair market option allowed for financial instruments and certain other items under this statement.</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2007, the FASB issued SFAS No. 141R (revised 2007) “Business Combinations” (“SFAS 141R”). SFAS 141R establishes principles and requirements for how the acquirer of a business recognizes and measures in its financial statements the identifiable assets acquired, the liabilities assumed, and any noncontrolling interest in the acquiree and the goodwill acquired. SFAS 141R establishes disclosure requirements to enable the evaluation of the nature and financial effects of the business combination. SFAS 141R is effective for the financial statements issued for fiscal years beginning after December 15, 2008. We are currently evaluating the potential impact, if any, that this statement may have on our consolidated financial position and results of operations.</w:t>
      </w:r>
    </w:p>
    <w:p>
      <w:pPr>
        <w:spacing w:after="0" w:line="22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 December 2007, the FASB issued SFAS No. 161 “Disclosures about Derivative Instruments and Hedging Activities” (“SFAS 161”). SFAS 161 requires additional disclosures related to how and why an entity uses derivative instruments and hedges, as well as how derivative instruments and hedges are accounted for in an entity’s financial statements. SFAS 161 is effective for financial statements issued for fiscal years beginning after November 15, 2008. We are currently evaluating the potential impact, if any, that this statement may have on our consolidated financial position and results of operations.</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report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and other factors referred to in our press releases and reports filed with the SEC, including our Annual Report on Form10-K/A, for the year ended June 30, 2008.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10-K/A for the year ended June 30, 2008.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are an audio conferencing products company. We develop, manufacture, market, and service a comprehensive line of high-quality audio conferencing products, which range from personal conferencing products to tabletop conferencing phones to professionally installed audio systems. We also manufacture and sell conferencing furniture. We have a strong history of product innovation and plan to continue to apply our expertise in audio engineering to develop and introduce innovative new products and enhance our existing products. We believe the performance and reliability of our high-quality audio products create a natural communications environment which saves organizations of all sizes time and money by enabling more effective and efficient communication.</w:t>
      </w:r>
    </w:p>
    <w:p>
      <w:pPr>
        <w:spacing w:after="0" w:line="18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products are used by organizations of all sizes to accomplish effective group communication. Our end-users include some of the world’s largest and most prestigious companies and institutions, small and medium-sized businesses, educational institutions, and government organizations as well as individual consumers. We sell our products to these end-users primarily through a network of independent distributors who in turn sell our products to dealers, systems integrators, and value-added resellers. We also sell products on a limited basis directly to dealers, systems integrators, value-added resellers, and end-users.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discussion and analysis of our results of operations and financial condition are based upon our condensed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 We believe the following critical accounting policies affect our more significant assumptions and estimates that we used to prepare our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5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Included in continuing operations is product revenue, primarily from product sales to distributors, dealers, and end-users. Product revenue is recognized when (i) the products are shipped and any right of return expires, (ii) persuasive evidence of an arrangement exists, (iii) the price is fixed and determinable, and (iv) collection is reasonably assured.</w:t>
      </w:r>
    </w:p>
    <w:p>
      <w:pPr>
        <w:spacing w:after="0" w:line="20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provide a right of return on product sales to distributors. Accordingly, revenue from product sales to distributors is not recognized until the return privilege has expired, which approximates when product is sold-through to customers of our distributors (dealers, system integrators, value-added resellers, and end-users) rather than when the product is initially shipped to a distributor. 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Although certain distributors provide certain channel inventory amounts, we make judgments and estimates with regard to the amount of inventory in the entire channel, for all customers and for all channel inventory items, and the appropriate revenue and cost of goods sold associated with those channel products. Although these assumptions and judgments regarding total channel inventory revenue and cost of goods sold could differ from actual amounts, we believe that our calculations are indicative of actual levels of inventory in the distribution channel. The amounts of deferred cost of goods sold were included in consigned inventory. The following table details the amount of deferred revenue, cost of goods sold, and gross profit at each quarter end for the 12-month period ended December 31, 2008 (in thousands).</w:t>
      </w:r>
    </w:p>
    <w:p>
      <w:pPr>
        <w:spacing w:after="0" w:line="20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Deferred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Cost of</w:t>
            </w:r>
          </w:p>
        </w:tc>
        <w:tc>
          <w:tcPr>
            <w:tcW w:w="8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4"/>
              </w:rPr>
              <w:t>Deferred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9"/>
              </w:rPr>
              <w:t>Deferred</w:t>
            </w:r>
          </w:p>
        </w:tc>
        <w:tc>
          <w:tcPr>
            <w:tcW w:w="12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Goods</w:t>
            </w:r>
          </w:p>
        </w:tc>
        <w:tc>
          <w:tcPr>
            <w:tcW w:w="14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Gross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Revenue</w:t>
            </w:r>
          </w:p>
        </w:tc>
        <w:tc>
          <w:tcPr>
            <w:tcW w:w="120" w:type="dxa"/>
            <w:vAlign w:val="bottom"/>
          </w:tcPr>
          <w:p>
            <w:pPr>
              <w:spacing w:after="0"/>
              <w:rPr>
                <w:sz w:val="20"/>
                <w:szCs w:val="20"/>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Sold</w:t>
            </w:r>
          </w:p>
        </w:tc>
        <w:tc>
          <w:tcPr>
            <w:tcW w:w="140" w:type="dxa"/>
            <w:vAlign w:val="bottom"/>
          </w:tcPr>
          <w:p>
            <w:pPr>
              <w:spacing w:after="0"/>
              <w:rPr>
                <w:sz w:val="20"/>
                <w:szCs w:val="20"/>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Profit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September 30, 2008</w:t>
            </w:r>
          </w:p>
        </w:tc>
        <w:tc>
          <w:tcPr>
            <w:tcW w:w="2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4,432</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1,926</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June 30, 2008</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March 31, 2008</w:t>
            </w:r>
          </w:p>
        </w:tc>
        <w:tc>
          <w:tcPr>
            <w:tcW w:w="2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4,206</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1,757</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offer rebates and market development funds in some combination to certain of our distributors, dealers/resellers, and end-users based upon volume of product purchased by them. We record rebates as a reduction of revenue in accordance with Emerging Issues Task Force (“EITF”) Issue No. 00-22, “Accounting for Points and Certain Other Time-Based or Volume-Based Sales Incentive Offers, and Offers for Free Products or Services to Be Delivered in the Future.”</w:t>
      </w:r>
    </w:p>
    <w:p>
      <w:pPr>
        <w:spacing w:after="0" w:line="21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write-down the value of inventory to the lower-of-cost or market.</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order to determine what, if any, inventory needs to be written down, we perform a quarterly analysis of obsolete and slow-moving inventory. In general, we write-down our excess and obsolete inventory by an amount that is equal to the difference between the cost of the inventory and its estimated market value if market value is less than cost, based upon assumptions about future product life-cycles, product demand, and market conditions. Those items that are found to have a supply in excess of our estimated demand are considered to be slow-moving or obsolete and the appropriate reserve is made to write-down the value of that inventory to its realizable value. These charges are recorded in cost of goods sold. If there were to be a sudden and significant decrease in demand for our products, or if there were a higher incidence of inventory obsolescence because of rapidly changing technology and customer requirements, we could be required to increase our inventory allowances, and our gross profit could be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account for stock-based compensation in accordance with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Under the fair value recognition provisions of this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statement, we measure share-based compensation cost at the grant date based on the value of the award and is recognized as expense over the vesting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Judgment is required in estimating the amount of share-based awards that are expected to be forfeited. If actual results differ significantly from these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estimates, stock-based compensation expense and our results of operations could be materially impacted.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Our audio conferencing products revenue has historically been strongest during our second and fourth quarters. There can be no assurance that any historic sales patterns will continue and, as a result, sales for any prior quarter are not necessarily indicative of the sales to be expected in any future quarter.</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252"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Results of Operations for the three months or the second fiscal quarter (“2Q”) and six months or the first half of the fiscal year (“1H”) ended December 31, 2008 and 2007</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certain items from our unaudited condensed consolidated statements of operations (in thousands) for the three and six months ended December 31, 2008 and 2007, together with the percentage of total revenue which each such item represents: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92"/>
              </w:rPr>
              <w:t>Three Months Ended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0"/>
              </w:rPr>
              <w:t>Six Months 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0"/>
              </w:rPr>
              <w:t>December 31,</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8"/>
                <w:szCs w:val="18"/>
                <w:b w:val="1"/>
                <w:bCs w:val="1"/>
                <w:color w:val="auto"/>
                <w:w w:val="87"/>
              </w:rPr>
              <w:t>(in thousands)</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2008</w:t>
            </w:r>
          </w:p>
        </w:tc>
        <w:tc>
          <w:tcPr>
            <w:tcW w:w="8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2007</w:t>
            </w: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8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2007</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9"/>
              </w:rPr>
              <w:t>% of</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4"/>
              </w:rPr>
              <w:t>% of</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Revenue</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Revenue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9,970</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10,787</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20,229</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20,229</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tcPr>
          <w:p>
            <w:pPr>
              <w:ind w:left="320"/>
              <w:spacing w:after="0"/>
              <w:rPr>
                <w:sz w:val="20"/>
                <w:szCs w:val="20"/>
                <w:color w:val="auto"/>
              </w:rPr>
            </w:pPr>
            <w:r>
              <w:rPr>
                <w:rFonts w:ascii="Arial" w:cs="Arial" w:eastAsia="Arial" w:hAnsi="Arial"/>
                <w:sz w:val="18"/>
                <w:szCs w:val="18"/>
                <w:color w:val="auto"/>
              </w:rPr>
              <w:t>Total cost of goods sold</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4,168</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4,414</w:t>
            </w: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7,794</w:t>
            </w:r>
          </w:p>
        </w:tc>
        <w:tc>
          <w:tcPr>
            <w:tcW w:w="1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8,714</w:t>
            </w: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6,373</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12,435</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11,515</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rPr>
              <w:t>Sales &amp; marketing</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3,180</w:t>
            </w: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Research and product</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3,433</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w w:val="96"/>
              </w:rPr>
              <w:t>General and administrative</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1,257</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4,093</w:t>
            </w: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Total operating expenses</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4,454</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9,860</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10,706</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w:t>
      </w:r>
    </w:p>
    <w:p>
      <w:pPr>
        <w:spacing w:after="0" w:line="25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Revenue for 2Q 2009 decreased 8%, or approximately $817,000, compared to 2Q 2008. Our 2Q 2009 revenues were negatively affected by downward economic pressure which impacted all of our product categories with the exception our personal and furniture conferencing products in which were realized slight increases over 2Q 2008. 2Q 2009 revenue was further negatively impacted by an approximate $267,000 increase in our marketing related programs (e.g. marketing development funds, rebates, etc.) which, in accordance with generally accepted accounting principles, are accounted for as a reduction in revenue.</w:t>
      </w:r>
    </w:p>
    <w:p>
      <w:pPr>
        <w:spacing w:after="0" w:line="21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Despite the 2Q 2009 revenue decline of 8% from 2Q 2008, revenue for 1H 2009 and 2008 remained consistent at $20,229 due to our solid revenue reported in 1Q 2009. During the 1H 2009, we realized growth in our professional, personal and conferencing furniture products which collectively increased approximately $840,000 over 1H 2008. These increases were offset by reduced premium and tabletop product sales which together declined about $400,000 in 1H2009 over the same period last year. We also expended an additional $408,000 in marketing related programs (e.g. marketing development funds, rebates, etc) in 1H 2009 compared to 1H 2008 which are accounted for as a reduction in revenue.</w:t>
      </w:r>
    </w:p>
    <w:p>
      <w:pPr>
        <w:spacing w:after="0" w:line="20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During 2Q 2009 and 2008, the net change in deferred revenue based on the net movement of inventory in the channel was a net deferral of $449,000 and recognition of $895,000 in revenue, respectively. In 1H 2009 and 2008, the net change in deferred revenue based on the net movement of inventory in the channel was a deferral of $334,000 and $108,000 in revenue,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Costs of Goods Sold and Gross Profit</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Costs of goods sold include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gross profit margin (GPM), gross profit as a percentage of sales, was 58% and 59% in 2Q 2009 and 2Q 2008, respectively. 2Q 2009 GPM was slightly lower than in the same period of 2008 due primarily to higher inventory obsolescence reserve requirements.</w:t>
      </w:r>
    </w:p>
    <w:p>
      <w:pPr>
        <w:spacing w:after="0" w:line="19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GPM for 1H 2009 and 1H 2008 was 61% and 57%, respectively. The 1H 2009 GPM improvement was due primarily to (1) selective channel price increases made during 1H 2009, (2) certain of our new products having higher gross margins, (3) lower production costs for several of our products, and (4) lower unfavorable manufacturing variances.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2Q 2009 operating expenses were about $5.0 million, an increase of $581,000, or 13%, from $4.5 million in 2Q 2008. 1H 2009 operating expenses were $9.9 million, a decrease of $846,000, or 8%, from $10.7 million for 1H 2008. The following is a more detailed discussion of expenses related to sales and marketing, general and administrative, and research and product development.</w:t>
      </w:r>
    </w:p>
    <w:p>
      <w:pPr>
        <w:spacing w:after="0" w:line="2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u w:val="single" w:color="auto"/>
          <w:color w:val="auto"/>
        </w:rPr>
        <w:t>Sales and Marketing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S&amp;M expenses include selling, customer service, and marketing expenses such as employee-related costs, allocations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overhead expenses, trade shows, and other advertising and selling expenses. 2Q 2009 S&amp;M expenses increased approximately $356,000, or 23%, to $1.9 million compared to 2Q 2008 expenses of $1.6 million. As a percentage of revenue, 2Q 2009 and 2008 S&amp;M expenses were 19% and 15%, respectively. The 2Q 2009 increase in S&amp;M expenses over 2Q 2008 was due primarily to higher payroll and related expenses associated with higher S&amp;M headcount in addition to increased sales commissions paid to independent manufacturer sales representatives. During 1Q 2009, we began paying certain independent sales representatives commissions directly. These were formerly paid by certain of our distributors and are partially offset by a channel price increase to these distributors.</w:t>
      </w:r>
    </w:p>
    <w:p>
      <w:pPr>
        <w:spacing w:after="0" w:line="2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1H 2009 S&amp;M expenses increased about $731,000, or 23%, to $3.9 million compared to 1H 2008 expenses of $3.2 million. As a percentage of revenues, 1H 2009 and 2008 marketing and selling expenses were 19% and 16%, respectively. The 1H 2009 increase in S&amp;M expenses over 1H 2008 is due to higher payroll and related expenses associated with higher S&amp;M headcount in addition to the payment of commissions to certain independent sales representatives which were formerly paid by certain of our distributors.</w:t>
      </w:r>
    </w:p>
    <w:p>
      <w:pPr>
        <w:spacing w:after="0" w:line="210" w:lineRule="exact"/>
        <w:rPr>
          <w:sz w:val="20"/>
          <w:szCs w:val="20"/>
          <w:color w:val="auto"/>
        </w:rPr>
      </w:pPr>
    </w:p>
    <w:p>
      <w:pPr>
        <w:jc w:val="both"/>
        <w:ind w:right="80"/>
        <w:spacing w:after="0" w:line="281" w:lineRule="auto"/>
        <w:rPr>
          <w:sz w:val="20"/>
          <w:szCs w:val="20"/>
          <w:color w:val="auto"/>
        </w:rPr>
      </w:pPr>
      <w:r>
        <w:rPr>
          <w:rFonts w:ascii="Arial" w:cs="Arial" w:eastAsia="Arial" w:hAnsi="Arial"/>
          <w:sz w:val="17"/>
          <w:szCs w:val="17"/>
          <w:b w:val="1"/>
          <w:bCs w:val="1"/>
          <w:u w:val="single" w:color="auto"/>
          <w:color w:val="auto"/>
        </w:rPr>
        <w:t>Research and Development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R&amp;D expenses include research and development and product line management, including employee-related costs,</w:t>
      </w:r>
      <w:r>
        <w:rPr>
          <w:rFonts w:ascii="Arial" w:cs="Arial" w:eastAsia="Arial" w:hAnsi="Arial"/>
          <w:sz w:val="17"/>
          <w:szCs w:val="17"/>
          <w:b w:val="1"/>
          <w:bCs w:val="1"/>
          <w:color w:val="auto"/>
        </w:rPr>
        <w:t xml:space="preserve"> </w:t>
      </w:r>
      <w:r>
        <w:rPr>
          <w:rFonts w:ascii="Arial" w:cs="Arial" w:eastAsia="Arial" w:hAnsi="Arial"/>
          <w:sz w:val="17"/>
          <w:szCs w:val="17"/>
          <w:color w:val="auto"/>
        </w:rPr>
        <w:t>outside services, expensed materials and depreciation, and an allocation of overhead expenses. 2Q 2009 R&amp;D expenses increased $166,000, or 10%, to $1.8 million compared to 2Q 2008 expenses of $1.7 million. As a percentage of revenue, 2Q 2009 and 2008 R&amp;D expenses were 18% and 16%, respectively. The 2Q 2009 increase was due primarily to slightly higher specific R&amp;D project spending.</w:t>
      </w:r>
    </w:p>
    <w:p>
      <w:pPr>
        <w:spacing w:after="0" w:line="19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1H 2009 R&amp;D expenses increased $187,000, or 5%, to $3.6 million compared with 1H 2008 expenses of $3.4 million. The 1H 2009 increase in R&amp;D expenses was also due primarily to slightly higher specific R&amp;D project spending.</w:t>
      </w:r>
    </w:p>
    <w:p>
      <w:pPr>
        <w:spacing w:after="0" w:line="193" w:lineRule="exact"/>
        <w:rPr>
          <w:sz w:val="20"/>
          <w:szCs w:val="20"/>
          <w:color w:val="auto"/>
        </w:rPr>
      </w:pPr>
    </w:p>
    <w:p>
      <w:pPr>
        <w:jc w:val="both"/>
        <w:ind w:right="640"/>
        <w:spacing w:after="0" w:line="314" w:lineRule="auto"/>
        <w:rPr>
          <w:sz w:val="20"/>
          <w:szCs w:val="20"/>
          <w:color w:val="auto"/>
        </w:rPr>
      </w:pPr>
      <w:r>
        <w:rPr>
          <w:rFonts w:ascii="Arial" w:cs="Arial" w:eastAsia="Arial" w:hAnsi="Arial"/>
          <w:sz w:val="16"/>
          <w:szCs w:val="16"/>
          <w:b w:val="1"/>
          <w:bCs w:val="1"/>
          <w:u w:val="single" w:color="auto"/>
          <w:color w:val="auto"/>
        </w:rPr>
        <w:t>General and Administrative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G&amp;A expenses include employee-related costs, professional service fees, allocations of overhead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litigation costs and corporate administrative costs, including finance and human resources. 2Q 2009 G&amp;A expenses increased slightly to $1.3 million compared to 2Q 2008 expenses of $1.2 million. 2Q 2009 and 2008 G&amp;A expenses were 13% and 11% of sales, respectively.</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7" w:name="page18"/>
    <w:bookmarkEnd w:id="17"/>
    <w:p>
      <w:pPr>
        <w:ind w:right="120"/>
        <w:spacing w:after="0" w:line="259" w:lineRule="auto"/>
        <w:rPr>
          <w:sz w:val="20"/>
          <w:szCs w:val="20"/>
          <w:color w:val="auto"/>
        </w:rPr>
      </w:pPr>
      <w:r>
        <w:rPr>
          <w:rFonts w:ascii="Arial" w:cs="Arial" w:eastAsia="Arial" w:hAnsi="Arial"/>
          <w:sz w:val="18"/>
          <w:szCs w:val="18"/>
          <w:color w:val="auto"/>
        </w:rPr>
        <w:t>1H 2009 G&amp;A expenses decreased $1.8 million, or 43%, to $2.3 million compared to 1H 2008 expenses of $4.1 million. 1H 2009 and 2008 G&amp;A expenses were 12% and 20% of sales, respectively. The significant 1H 2009 decrease was primarily due to the 1H 2008 estimation and establishment of a $1.9 million accrual for a contingent liability. Also, during 1H 2008 we paid Edward D. Bagley, our former director and Chairman, $200,000 upon his resignation and in consideration for his service as a director of the Company since 1994.</w:t>
      </w:r>
    </w:p>
    <w:p>
      <w:pPr>
        <w:spacing w:after="0" w:line="210"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u w:val="single" w:color="auto"/>
          <w:color w:val="auto"/>
        </w:rPr>
        <w:t>Operating income.</w:t>
      </w:r>
      <w:r>
        <w:rPr>
          <w:rFonts w:ascii="Arial" w:cs="Arial" w:eastAsia="Arial" w:hAnsi="Arial"/>
          <w:sz w:val="18"/>
          <w:szCs w:val="18"/>
          <w:b w:val="1"/>
          <w:bCs w:val="1"/>
          <w:color w:val="auto"/>
        </w:rPr>
        <w:t xml:space="preserve"> </w:t>
      </w:r>
      <w:r>
        <w:rPr>
          <w:rFonts w:ascii="Arial" w:cs="Arial" w:eastAsia="Arial" w:hAnsi="Arial"/>
          <w:sz w:val="18"/>
          <w:szCs w:val="18"/>
          <w:color w:val="auto"/>
        </w:rPr>
        <w:t>2Q 2009 operating income was $767,000 compared to $1.9 million in 2Q 2008. The 2Q 2009 operating income decrease of</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$1.1 million was due to the lower revenue and associated gross profit during 2Q 2009 in addition to the higher operating expenses discussed above.</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1H 2009 operating income increase of approximately $1.8 million was primarily a result of the higher gross profit achieved during 1H 2009 in addition to the non recurrence of the $1.9 million contingent liability charged to G&amp;A expenses in 1H 2008.</w:t>
      </w:r>
    </w:p>
    <w:p>
      <w:pPr>
        <w:spacing w:after="0" w:line="193"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b w:val="1"/>
          <w:bCs w:val="1"/>
          <w:u w:val="single" w:color="auto"/>
          <w:color w:val="auto"/>
        </w:rPr>
        <w:t>Other income, net.</w:t>
      </w:r>
      <w:r>
        <w:rPr>
          <w:rFonts w:ascii="Arial" w:cs="Arial" w:eastAsia="Arial" w:hAnsi="Arial"/>
          <w:sz w:val="17"/>
          <w:szCs w:val="17"/>
          <w:b w:val="1"/>
          <w:bCs w:val="1"/>
          <w:color w:val="auto"/>
        </w:rPr>
        <w:t xml:space="preserve"> </w:t>
      </w:r>
      <w:r>
        <w:rPr>
          <w:rFonts w:ascii="Arial" w:cs="Arial" w:eastAsia="Arial" w:hAnsi="Arial"/>
          <w:sz w:val="17"/>
          <w:szCs w:val="17"/>
          <w:color w:val="auto"/>
        </w:rPr>
        <w:t>Other income, net, includes interest income, interest expense, capital gains, gain (loss) on the disposal of assets, and currency gain</w:t>
      </w:r>
      <w:r>
        <w:rPr>
          <w:rFonts w:ascii="Arial" w:cs="Arial" w:eastAsia="Arial" w:hAnsi="Arial"/>
          <w:sz w:val="17"/>
          <w:szCs w:val="17"/>
          <w:b w:val="1"/>
          <w:bCs w:val="1"/>
          <w:color w:val="auto"/>
        </w:rPr>
        <w:t xml:space="preserve"> </w:t>
      </w:r>
      <w:r>
        <w:rPr>
          <w:rFonts w:ascii="Arial" w:cs="Arial" w:eastAsia="Arial" w:hAnsi="Arial"/>
          <w:sz w:val="17"/>
          <w:szCs w:val="17"/>
          <w:color w:val="auto"/>
        </w:rPr>
        <w:t>(loss). 2Q 2009 other income was $96,000 compared to $311,000 in 2Q 2008. The $215,000 decrease in 2Q 2009 was due primarily to our lower cash and investment balances in addition to lower interest rates on our investments compared to the same period last year.</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1H 2009 other income was $161,000 compared to $653,000 in 1H 2009. The $492,000 decrease in 1H 2009 was also due primarily to our lower cash and investment balances in addition to lower interest rates on our investments compared to the same period last year.</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Net cash used in operating activities was $2.2 million in 1H 2009, a decrease of $3.8 million from the net cash provided by operating activities of $1.5 million in 1H 2008. The year-over-year decrease can be attributed primarily to an additional $5.4 million used in 1H 2009 to purchase inventory to stock our new Asia-Pacific support and fulfillment center, build up safety stock of certain key products to mitigate stock-outs in addition to taking advantage of volume discounts in addition to an increase of approximately $718,000 of our accounts receivable. The 1H 2009 decrease was partially offset by the $900,000 increase in our net income in addition to our receipt of $908,000 for a previously posted preliminary injunction bond.</w:t>
      </w:r>
    </w:p>
    <w:p>
      <w:pPr>
        <w:spacing w:after="0" w:line="20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Net cash flows provided by investing activities was approximately $8.0 million in 1H 2009, an increase of approximately $8.2 million from 1H 2008. During 1H 2009, we converted approximately $5.2 million of marketable securities to cash to fund our 1Q 2009 repurchase of common stock. We also converted an additional $3.4 million of marketable securities to cash to support our cash used in operating activities during 1H 2009.</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used in financing activities in 1H 2009 totaled $6.8 million for our 1Q 2009 repurchase of 1,342,620 shares of common stock. Net cash (used in) financing activities in 1H 2008 totaled $1.1 million and was attributed to our repurchase of approximately 270,000 shares of common stock for $1.7 million, partially offset by the receipt of $519,000 from the exercise of stock options and $67,000 related to the tax benefit attributable to the exercise of those stock options.</w:t>
      </w:r>
    </w:p>
    <w:p>
      <w:pPr>
        <w:spacing w:after="0" w:line="21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Additionally in 1H 2009, we paid approximately $914,000 in income taxes and exchanged $446,000 of accounts receivable from a vendor with accounts payable to the same vendor.</w:t>
      </w:r>
    </w:p>
    <w:p>
      <w:pPr>
        <w:spacing w:after="0" w:line="1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October 2008, we accepted offers to repurchase our Auction Rate Securities (ARSs), at par value, from the two investment banks that sold them to us. Between November 2008 and January 2009, UBS and Morgan Stanley fulfilled their offers and repurchased our ARSs, at par value, totaling approximately $12.2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currently believe that our present sources of liquidity and capital are adequate for our current operations and for the foreseeable future.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exposure to market risk related to our investment in Auction Rate Securities (ARSs) has changed since June 30, 2008 as the two investment banks that sold us our ARSs subsequently repurchased them, at par value, between November 2008 and January 2009.</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exposure to market risk for all other items disclosed in Item 7a of our Form 10-K for the year ended June 30, 2008 has not changed materially since June 30,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An evaluation of the effectiveness of our disclosure controls and procedures as of December 31, 2008 was performed under the supervision and with the participation of our management, including our Chief Executive Officer and our Chief Financial Officer. Based on that evaluation, our management, including our Chief Executive Officer and Chief Financial Officer, concluded that our disclosure controls and procedures are effective to ensure that information required to be disclosed by us in reports we file or submit under the Exchange Act is recorded, processed, summarized and reported as specified in the SEC’s rules and forms.</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December 31, 2008 that materially affected, or that we believe is reasonably likely to materially affect, our internal control over financial reporting.</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In addition to the legal proceedings described below, we are also involved from time to time in various claims and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which arise in the normal course of business. Such matters are subject to many uncertainties and outcomes that are not predictable.</w:t>
      </w:r>
    </w:p>
    <w:p>
      <w:pPr>
        <w:spacing w:after="0" w:line="151"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 xml:space="preserve">Former Officer Indemnification. </w:t>
      </w:r>
      <w:r>
        <w:rPr>
          <w:rFonts w:ascii="Arial" w:cs="Arial" w:eastAsia="Arial" w:hAnsi="Arial"/>
          <w:sz w:val="16"/>
          <w:szCs w:val="16"/>
          <w:color w:val="auto"/>
        </w:rPr>
        <w:t>On July 25, 2007, the U.S. Attorney’s Office for the District of Utah indicted two of our former officers, Frances Flood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Susie Strohm, for allegedly causing us to issue materially misstated financial statements for our 2001 and 2002 fiscal years. On January 31, 2008, the U.S. Attorney’s Office filed a superseding indictment further alleging perjury in connection with the prior investigation by the SEC into the alleged misstatements. We are cooperating fully with the U.S. Attorney’s Office in this matter and have been advised that we are neither a target nor a subject of the investigation or indictment. In December 2003, we entered into indemnification agreements with each former officer, requiring payment of all reasonable attorney’s fees and costs incurred in defending against the charges in certain circumstances consistent with and subject to limitations under applicable law. To date, we have paid approximately $1.8 million in reasonable attorney’s fees and costs to defend against the charges. We understand that the criminal trial commenced on February 2, 2009. On August 21, 2008, Ms. Strohm and her counsel filed a lawsuit in the Third Judicial District Court in Salt Lake City, Utah seeking a declaratory judgment and injunctive relief to compel us to continue to advance Ms. Strohm’s attorney’s fees and costs to defend against the charges, plus interest for amounts previously requested and not paid. Also on August 21, 2008, Ms. Flood filed a lawsuit in Federal District Court for the District of Utah seeking similar relief. As of December 31, 2008, these former officers have requested advancement of approximately an additional $760,000 in legal fees and costs incurred as of that date, which amounts we have not paid. On January 12, 2009, the Federal District Court in the </w:t>
      </w:r>
      <w:r>
        <w:rPr>
          <w:rFonts w:ascii="Arial" w:cs="Arial" w:eastAsia="Arial" w:hAnsi="Arial"/>
          <w:sz w:val="16"/>
          <w:szCs w:val="16"/>
          <w:i w:val="1"/>
          <w:iCs w:val="1"/>
          <w:color w:val="auto"/>
        </w:rPr>
        <w:t>Flood</w:t>
      </w:r>
      <w:r>
        <w:rPr>
          <w:rFonts w:ascii="Arial" w:cs="Arial" w:eastAsia="Arial" w:hAnsi="Arial"/>
          <w:sz w:val="16"/>
          <w:szCs w:val="16"/>
          <w:color w:val="auto"/>
        </w:rPr>
        <w:t xml:space="preserve"> lawsuit issued a preliminary injunction requiring us (1) to pay 60% of Ms. Flood’s legal fees and costs in the criminal proceeding to Ms. Flood’s attorneys (as reflected in the invoices submitted by Flood’s attorneys), and (2) to pay the remaining 40% of Ms. Flood’s legal fees and costs into a court escrow account. We intend to challenge the Court’s order in this regard. After the completion of the criminal trial, the Court intends to make a reasonability determination concerning these fees and costs and the Court’s order states that “[t]o the extent fees or costs are found to be unreasonable, the monies held in escrow shall be refunded to us.” Pursuant to the Court’s order, ClearOne has paid approximately $97,000 to Ms. Flood’s attorneys and approximately $64,000 into the Court’s escrow.</w:t>
      </w:r>
    </w:p>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have accrued for legal fees and costs of the probable amount we were able to estimate of our contingent liability under the indemnification agreements at December 31, 2008. In accordance with Statement of Financial Accounting Standards No. 5, “Accounting for Contingencies,” we have accrued a total of $3.3 million, the balance of which was about $1.5 million at December 31, 2008 representing the probable amount that, as of the date of the financial statements, could be reasonably estimated of our contingent liability, through trial, under the indemnification agreements if required under applicable law. In accordance with SFAS No. 5, we will adjust our contingent liability, as necessary, to reflect the probable amount that can be reasonably estimated. Our actual liability may be higher or lower than our estimate upon final resolution of the matter. We will adjust our contingent liability, as needed, so that it remains an estimable and probable amount of our contingent financial liability as of the date of issuance of the applicable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spacing w:after="0" w:line="285" w:lineRule="auto"/>
        <w:rPr>
          <w:sz w:val="20"/>
          <w:szCs w:val="20"/>
          <w:color w:val="auto"/>
        </w:rPr>
      </w:pPr>
      <w:r>
        <w:rPr>
          <w:rFonts w:ascii="Arial" w:cs="Arial" w:eastAsia="Arial" w:hAnsi="Arial"/>
          <w:sz w:val="16"/>
          <w:szCs w:val="16"/>
          <w:b w:val="1"/>
          <w:bCs w:val="1"/>
          <w:i w:val="1"/>
          <w:iCs w:val="1"/>
          <w:color w:val="auto"/>
        </w:rPr>
        <w:t xml:space="preserve">Theft of Intellectual Property and Copyright Complaints. </w:t>
      </w:r>
      <w:r>
        <w:rPr>
          <w:rFonts w:ascii="Arial" w:cs="Arial" w:eastAsia="Arial" w:hAnsi="Arial"/>
          <w:sz w:val="16"/>
          <w:szCs w:val="16"/>
          <w:color w:val="auto"/>
        </w:rPr>
        <w:t>During January 2007, we filed a lawsuit in the Third Judicial District Court, Salt Lake County,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State of Utah against WideBand Solutions, Inc. and two of its principals, one of which was a former employee named Dr. Jun Yang, and one of which was previously affiliated with an entity that sold certain assets to us (the “Intellectual Property Case”). We also brought claims against Biamp Systems Corporation, Inc. The matter was subsequently removed to federal court, the United States District Court, District of Utah, Central Division. The case is styled </w:t>
      </w:r>
      <w:r>
        <w:rPr>
          <w:rFonts w:ascii="Arial" w:cs="Arial" w:eastAsia="Arial" w:hAnsi="Arial"/>
          <w:sz w:val="16"/>
          <w:szCs w:val="16"/>
          <w:i w:val="1"/>
          <w:iCs w:val="1"/>
          <w:color w:val="auto"/>
        </w:rPr>
        <w:t>ClearOne Communications, Inc. v. Jun Yang, et. al.</w:t>
      </w:r>
      <w:r>
        <w:rPr>
          <w:rFonts w:ascii="Arial" w:cs="Arial" w:eastAsia="Arial" w:hAnsi="Arial"/>
          <w:sz w:val="16"/>
          <w:szCs w:val="16"/>
          <w:color w:val="auto"/>
        </w:rPr>
        <w:t xml:space="preserve"> Civil No. 2:07-co-37 TC. The complaint brought claims against different combinations of the defendants for, among other things, misappropriation of certain trade secrets, breach of contract, conversion, unjust enrichment and intentional interference with business and contractual relations, primarily in relation to certain algorithms and computer code. The relief being sought by us includes an order enjoining the defendants from further use of our trade secrets and an award consisting of, among other things, compensation and damages related to the unjust enrichment of the defendants. The court subsequently granted leave to add a third WideBand principal as a defendant to the case. In August 2007, we filed a motion for a preliminary injunction in the Intellectual Property Case, in the United States District Court, District of Utah, seeking to enjoin Wideband Solutions, Inc. from licensing certain technology we believe constitutes our intellectual property and trade secrets to Harman Music Group, Inc. On September 13, 2007, the court in the Intellectual Property Case granted us leave to add Harman and a former ClearOne employee working for Harman as defendants in that case. For procedural reasons, these claims against Harman and the Harman employee were refiled in Utah state court, the Third Judicial District Court for Salt Lake County, on September 18, 2007 (the “Harman Case”). Like the Intellectual Property Case, the Harman Case also brings claims related to the theft and misuse of our confidential and trade secret information. Harman filed a motion to dismiss the case, which was denied by the Court on January 5, 2009. On January 30, 2009, Harman filed an answer to our claims and filed a counterclaim for bad faith, which we believe has no merit, including because it was already rejected in principle by the court’s denial of Harman’s motion to dismiss.</w:t>
      </w:r>
    </w:p>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October 2007, in the Intellectual Property Case, the court issued an injunction ordering Dr. Yang and others under his direction from working on or delivering any source or object code to Harman until the completion of the trial. During November 2007, the same court required us to post a bond of approximately $908,000, which was subsequently reduced to zero.</w:t>
      </w:r>
    </w:p>
    <w:p>
      <w:pPr>
        <w:spacing w:after="0" w:line="20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October 2007, we filed a second action against WideBand and the same three principals named as defendants in the Intellectual Property Case, this time alleging copyright infringement (the “Copyright Case”). The claims in the Copyright Case arise out of a copyright issued to us for the same intellectual property, including the algorithms and computer code that is the subject of the claims in the Intellectual Property Case. The relief being sought by us includes an order enjoining the defendants from further use of our copyrighted material, and an award consisting of, among other things, compensation and damages related to the copyright infringement. The Copyright Case was eventually consolidated with the Intellectual Property Case.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On May 12, 2008 the court granted us leave to add Versatile DSP, Inc. as a defendant to the Intellectual Property Case.</w:t>
      </w:r>
    </w:p>
    <w:p>
      <w:pPr>
        <w:spacing w:after="0" w:line="2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June 2008, we filed a separate action in the United States District Court, District of Utah, Central Division, against an affiliate of WideBand and Donald Bowers, with claims for declaratory judgment, fraudulent transfer under Utah law, and misappropriation of trade secrets (the “Fraudulent Transfer Case”). On June 26, 2008, the United States District Court entered an order granting our request for a temporary restraining order against any sale or transfer of ownership of certain assets of WideBand to its affiliated entity, and imposed certain prohibitions against any sale or transfer of ownership of certain of WideBand’s computer code and related algorithms and against any transfer of profits from the disputed code. Based upon this order and representations to the court that the purported sale involving WideBand had been rescinded, the court dismissed the Fraudulent Transfer Case without prejudice.</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1" w:name="page22"/>
    <w:bookmarkEnd w:id="21"/>
    <w:p>
      <w:pPr>
        <w:ind w:right="80"/>
        <w:spacing w:after="0" w:line="289" w:lineRule="auto"/>
        <w:rPr>
          <w:sz w:val="20"/>
          <w:szCs w:val="20"/>
          <w:color w:val="auto"/>
        </w:rPr>
      </w:pPr>
      <w:r>
        <w:rPr>
          <w:rFonts w:ascii="Arial" w:cs="Arial" w:eastAsia="Arial" w:hAnsi="Arial"/>
          <w:sz w:val="16"/>
          <w:szCs w:val="16"/>
          <w:color w:val="auto"/>
        </w:rPr>
        <w:t>Trial of the Intellectual Property Case commenced on October 20, 2008. Prior to trial, the Court dismissed certain claims for various legal and other reasons, and the copyright claims were also not presented to the jury. Accordingly, at trial ClearOne pursued theft of trade secret claims against all defendants (including Biamp), breach of contract and breach of the covenant of good faith and fair dealing claims against Jun Yang, and breach of fiduciary duty claims against Jun Yang and Andrew Chiang. On November 5, 2008, the jury returned a verdict in our favor and awarded us approximately $3.5 million in compensatory damages and $7.0 million in punitive damages. Among other things, the jury found that all of the Defendants willfully and maliciously misappropriated our trade secrets. Based on that finding, the court may also award us additional exemplary damages. The court may also award us reasonable attorneys’ fees. The court left in place the previously-entered preliminary injunction, pending our application for entry of a permanent injunction against the Defendants. While we intend to vigorously pursue collection of the damage awards, collectability of the judgments cannot be guaranteed. Furthermore, the jury’s verdict and damage awards are subject to post-trial challenges and appeal by one or more of the Defendants.</w:t>
      </w:r>
    </w:p>
    <w:p>
      <w:pPr>
        <w:spacing w:after="0" w:line="19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After the trial, we sought an expansion of the Court’s previously entered preliminary injunction order. On February 4, 2009 an order was issued expanding the scope of a previously issued preliminary injunction order, and prohibiting WideBand Defendants, and others acting in concert with WideBand, from (among other things) the use, sale or marketing of our trade secrets and WideBand’s infringing products found to use these trade secrets.</w:t>
      </w:r>
    </w:p>
    <w:p>
      <w:pPr>
        <w:spacing w:after="0" w:line="17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10, 2009, the Court in the Intellectual Property case held a hearing on a number of issues raised by us. As a result of this hearing, the Court ordered that the Fraudulent Transfer Case against the affiliate of WideBand and Donald Bowers would be reinstated, and that we would be allowed to conduct certain discovery and undertake other actions to protect against encumbrance of WideBand’s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Court has scheduled a hearing on our request for entry of final judgment, exemplary damages, and attorney fees, for March 13, 2009.</w:t>
      </w:r>
    </w:p>
    <w:p>
      <w:pPr>
        <w:spacing w:after="0" w:line="24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Ernst &amp; Young Matter. </w:t>
      </w:r>
      <w:r>
        <w:rPr>
          <w:rFonts w:ascii="Arial" w:cs="Arial" w:eastAsia="Arial" w:hAnsi="Arial"/>
          <w:sz w:val="18"/>
          <w:szCs w:val="18"/>
          <w:color w:val="auto"/>
        </w:rPr>
        <w:t>The commencement date of the arbitration proceedings in our claim for damages against Ernst &amp; Young has been rescheduled to</w:t>
      </w:r>
      <w:r>
        <w:rPr>
          <w:rFonts w:ascii="Arial" w:cs="Arial" w:eastAsia="Arial" w:hAnsi="Arial"/>
          <w:sz w:val="18"/>
          <w:szCs w:val="18"/>
          <w:b w:val="1"/>
          <w:bCs w:val="1"/>
          <w:color w:val="auto"/>
        </w:rPr>
        <w:t xml:space="preserve"> </w:t>
      </w:r>
      <w:r>
        <w:rPr>
          <w:rFonts w:ascii="Arial" w:cs="Arial" w:eastAsia="Arial" w:hAnsi="Arial"/>
          <w:sz w:val="18"/>
          <w:szCs w:val="18"/>
          <w:color w:val="auto"/>
        </w:rPr>
        <w:t>July 9, 2009.</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In addition to other information set forth in this Report, you should carefully consider the factors discussed in Part I, “Item 1A. Risk Factors” in our Annual Report on Form 10-K/A for the year ended June 30, 2008, which could materially affect our business, financial condition or future results. The risks described in our Annual Report on Form 10-K/A are not the only risks we face. Additional risks and uncertainties not currently known to us or that we currently deem to be immaterial also may materially and adversely affect our business, financial condition and/or operating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November 14, 2008, we held our 2008 Annual Meeting of Shareholders at which shareholders considered and voted to elect the following individuals to serve as directors with a term expiring at our 2009 Annual Meeting of Shareholders: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VOTES</w:t>
            </w: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8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9"/>
              </w:rPr>
              <w:t>FOR</w:t>
            </w:r>
          </w:p>
        </w:tc>
        <w:tc>
          <w:tcPr>
            <w:tcW w:w="32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WITHHELD</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Brad R. Baldwin</w:t>
            </w:r>
          </w:p>
        </w:tc>
        <w:tc>
          <w:tcPr>
            <w:tcW w:w="182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7,073,530</w:t>
            </w:r>
          </w:p>
        </w:tc>
        <w:tc>
          <w:tcPr>
            <w:tcW w:w="3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555,480</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Zeynep “Zee” Hakimoglu</w:t>
            </w:r>
          </w:p>
        </w:tc>
        <w:tc>
          <w:tcPr>
            <w:tcW w:w="1820" w:type="dxa"/>
            <w:vAlign w:val="bottom"/>
          </w:tcPr>
          <w:p>
            <w:pPr>
              <w:jc w:val="center"/>
              <w:ind w:left="130"/>
              <w:spacing w:after="0"/>
              <w:rPr>
                <w:sz w:val="20"/>
                <w:szCs w:val="20"/>
                <w:color w:val="auto"/>
              </w:rPr>
            </w:pPr>
            <w:r>
              <w:rPr>
                <w:rFonts w:ascii="Arial" w:cs="Arial" w:eastAsia="Arial" w:hAnsi="Arial"/>
                <w:sz w:val="18"/>
                <w:szCs w:val="18"/>
                <w:color w:val="auto"/>
                <w:w w:val="89"/>
              </w:rPr>
              <w:t>7,165,760</w:t>
            </w:r>
          </w:p>
        </w:tc>
        <w:tc>
          <w:tcPr>
            <w:tcW w:w="3260" w:type="dxa"/>
            <w:vAlign w:val="bottom"/>
          </w:tcPr>
          <w:p>
            <w:pPr>
              <w:jc w:val="center"/>
              <w:ind w:left="110"/>
              <w:spacing w:after="0"/>
              <w:rPr>
                <w:sz w:val="20"/>
                <w:szCs w:val="20"/>
                <w:color w:val="auto"/>
              </w:rPr>
            </w:pPr>
            <w:r>
              <w:rPr>
                <w:rFonts w:ascii="Arial" w:cs="Arial" w:eastAsia="Arial" w:hAnsi="Arial"/>
                <w:sz w:val="18"/>
                <w:szCs w:val="18"/>
                <w:color w:val="auto"/>
                <w:w w:val="89"/>
              </w:rPr>
              <w:t>463,250</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Larry R. Hendricks</w:t>
            </w:r>
          </w:p>
        </w:tc>
        <w:tc>
          <w:tcPr>
            <w:tcW w:w="182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7,087,667</w:t>
            </w:r>
          </w:p>
        </w:tc>
        <w:tc>
          <w:tcPr>
            <w:tcW w:w="32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541,343</w:t>
            </w: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Scott M. Huntsman</w:t>
            </w:r>
          </w:p>
        </w:tc>
        <w:tc>
          <w:tcPr>
            <w:tcW w:w="1820" w:type="dxa"/>
            <w:vAlign w:val="bottom"/>
          </w:tcPr>
          <w:p>
            <w:pPr>
              <w:jc w:val="center"/>
              <w:ind w:left="130"/>
              <w:spacing w:after="0"/>
              <w:rPr>
                <w:sz w:val="20"/>
                <w:szCs w:val="20"/>
                <w:color w:val="auto"/>
              </w:rPr>
            </w:pPr>
            <w:r>
              <w:rPr>
                <w:rFonts w:ascii="Arial" w:cs="Arial" w:eastAsia="Arial" w:hAnsi="Arial"/>
                <w:sz w:val="18"/>
                <w:szCs w:val="18"/>
                <w:color w:val="auto"/>
                <w:w w:val="89"/>
              </w:rPr>
              <w:t>7,186,130</w:t>
            </w:r>
          </w:p>
        </w:tc>
        <w:tc>
          <w:tcPr>
            <w:tcW w:w="3260" w:type="dxa"/>
            <w:vAlign w:val="bottom"/>
          </w:tcPr>
          <w:p>
            <w:pPr>
              <w:jc w:val="center"/>
              <w:ind w:left="110"/>
              <w:spacing w:after="0"/>
              <w:rPr>
                <w:sz w:val="20"/>
                <w:szCs w:val="20"/>
                <w:color w:val="auto"/>
              </w:rPr>
            </w:pPr>
            <w:r>
              <w:rPr>
                <w:rFonts w:ascii="Arial" w:cs="Arial" w:eastAsia="Arial" w:hAnsi="Arial"/>
                <w:sz w:val="18"/>
                <w:szCs w:val="18"/>
                <w:color w:val="auto"/>
                <w:w w:val="89"/>
              </w:rPr>
              <w:t>442,880</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10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0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5"/>
        </w:trPr>
        <w:tc>
          <w:tcPr>
            <w:tcW w:w="1160" w:type="dxa"/>
            <w:vAlign w:val="bottom"/>
          </w:tcPr>
          <w:p>
            <w:pPr>
              <w:spacing w:after="0"/>
              <w:rPr>
                <w:sz w:val="24"/>
                <w:szCs w:val="24"/>
                <w:color w:val="auto"/>
              </w:rPr>
            </w:pPr>
          </w:p>
        </w:tc>
        <w:tc>
          <w:tcPr>
            <w:tcW w:w="960" w:type="dxa"/>
            <w:vAlign w:val="bottom"/>
          </w:tcPr>
          <w:p>
            <w:pPr>
              <w:jc w:val="center"/>
              <w:ind w:left="50"/>
              <w:spacing w:after="0"/>
              <w:rPr>
                <w:sz w:val="20"/>
                <w:szCs w:val="20"/>
                <w:color w:val="auto"/>
              </w:rPr>
            </w:pPr>
            <w:r>
              <w:rPr>
                <w:rFonts w:ascii="Arial" w:cs="Arial" w:eastAsia="Arial" w:hAnsi="Arial"/>
                <w:sz w:val="18"/>
                <w:szCs w:val="18"/>
                <w:color w:val="auto"/>
                <w:w w:val="99"/>
              </w:rPr>
              <w:t>Exhibit</w:t>
            </w:r>
          </w:p>
        </w:tc>
        <w:tc>
          <w:tcPr>
            <w:tcW w:w="10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7"/>
        </w:trPr>
        <w:tc>
          <w:tcPr>
            <w:tcW w:w="1160" w:type="dxa"/>
            <w:vAlign w:val="bottom"/>
          </w:tcPr>
          <w:p>
            <w:pPr>
              <w:spacing w:after="0"/>
              <w:rPr>
                <w:sz w:val="20"/>
                <w:szCs w:val="20"/>
                <w:color w:val="auto"/>
              </w:rPr>
            </w:pPr>
          </w:p>
        </w:tc>
        <w:tc>
          <w:tcPr>
            <w:tcW w:w="9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2"/>
              </w:rPr>
              <w:t>No.</w:t>
            </w:r>
          </w:p>
        </w:tc>
        <w:tc>
          <w:tcPr>
            <w:tcW w:w="102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Title of Document</w:t>
            </w:r>
          </w:p>
        </w:tc>
        <w:tc>
          <w:tcPr>
            <w:tcW w:w="2480" w:type="dxa"/>
            <w:vAlign w:val="bottom"/>
            <w:tcBorders>
              <w:bottom w:val="single" w:sz="8" w:color="auto"/>
            </w:tcBorders>
          </w:tcPr>
          <w:p>
            <w:pPr>
              <w:jc w:val="center"/>
              <w:ind w:left="1150"/>
              <w:spacing w:after="0"/>
              <w:rPr>
                <w:sz w:val="20"/>
                <w:szCs w:val="20"/>
                <w:color w:val="auto"/>
              </w:rPr>
            </w:pPr>
            <w:r>
              <w:rPr>
                <w:rFonts w:ascii="Arial" w:cs="Arial" w:eastAsia="Arial" w:hAnsi="Arial"/>
                <w:sz w:val="18"/>
                <w:szCs w:val="18"/>
                <w:color w:val="auto"/>
                <w:w w:val="93"/>
              </w:rPr>
              <w:t>Location</w:t>
            </w: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9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5"/>
              </w:rPr>
              <w:t>31.1</w:t>
            </w:r>
          </w:p>
        </w:tc>
        <w:tc>
          <w:tcPr>
            <w:tcW w:w="1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Section 302</w:t>
            </w:r>
          </w:p>
        </w:tc>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Certification of Chief Executive Officer</w:t>
            </w:r>
          </w:p>
        </w:tc>
        <w:tc>
          <w:tcPr>
            <w:tcW w:w="248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7"/>
              </w:rPr>
              <w:t>This filing</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tcPr>
          <w:p>
            <w:pPr>
              <w:jc w:val="center"/>
              <w:ind w:left="50"/>
              <w:spacing w:after="0"/>
              <w:rPr>
                <w:sz w:val="20"/>
                <w:szCs w:val="20"/>
                <w:color w:val="auto"/>
              </w:rPr>
            </w:pPr>
            <w:r>
              <w:rPr>
                <w:rFonts w:ascii="Arial" w:cs="Arial" w:eastAsia="Arial" w:hAnsi="Arial"/>
                <w:sz w:val="18"/>
                <w:szCs w:val="18"/>
                <w:color w:val="auto"/>
                <w:w w:val="85"/>
              </w:rPr>
              <w:t>31.2</w:t>
            </w:r>
          </w:p>
        </w:tc>
        <w:tc>
          <w:tcPr>
            <w:tcW w:w="1020" w:type="dxa"/>
            <w:vAlign w:val="bottom"/>
          </w:tcPr>
          <w:p>
            <w:pPr>
              <w:ind w:left="160"/>
              <w:spacing w:after="0"/>
              <w:rPr>
                <w:sz w:val="20"/>
                <w:szCs w:val="20"/>
                <w:color w:val="auto"/>
              </w:rPr>
            </w:pPr>
            <w:r>
              <w:rPr>
                <w:rFonts w:ascii="Arial" w:cs="Arial" w:eastAsia="Arial" w:hAnsi="Arial"/>
                <w:sz w:val="18"/>
                <w:szCs w:val="18"/>
                <w:color w:val="auto"/>
                <w:w w:val="88"/>
              </w:rPr>
              <w:t>Section 302</w:t>
            </w:r>
          </w:p>
        </w:tc>
        <w:tc>
          <w:tcPr>
            <w:tcW w:w="4660" w:type="dxa"/>
            <w:vAlign w:val="bottom"/>
          </w:tcPr>
          <w:p>
            <w:pPr>
              <w:ind w:left="40"/>
              <w:spacing w:after="0"/>
              <w:rPr>
                <w:sz w:val="20"/>
                <w:szCs w:val="20"/>
                <w:color w:val="auto"/>
              </w:rPr>
            </w:pPr>
            <w:r>
              <w:rPr>
                <w:rFonts w:ascii="Arial" w:cs="Arial" w:eastAsia="Arial" w:hAnsi="Arial"/>
                <w:sz w:val="18"/>
                <w:szCs w:val="18"/>
                <w:color w:val="auto"/>
              </w:rPr>
              <w:t>Certification of Principal Financial Officer</w:t>
            </w:r>
          </w:p>
        </w:tc>
        <w:tc>
          <w:tcPr>
            <w:tcW w:w="2480" w:type="dxa"/>
            <w:vAlign w:val="bottom"/>
          </w:tcPr>
          <w:p>
            <w:pPr>
              <w:jc w:val="center"/>
              <w:ind w:left="1130"/>
              <w:spacing w:after="0"/>
              <w:rPr>
                <w:sz w:val="20"/>
                <w:szCs w:val="20"/>
                <w:color w:val="auto"/>
              </w:rPr>
            </w:pPr>
            <w:r>
              <w:rPr>
                <w:rFonts w:ascii="Arial" w:cs="Arial" w:eastAsia="Arial" w:hAnsi="Arial"/>
                <w:sz w:val="18"/>
                <w:szCs w:val="18"/>
                <w:color w:val="auto"/>
                <w:w w:val="97"/>
              </w:rPr>
              <w:t>This filing</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5"/>
              </w:rPr>
              <w:t>32.1</w:t>
            </w:r>
          </w:p>
        </w:tc>
        <w:tc>
          <w:tcPr>
            <w:tcW w:w="1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Section 906</w:t>
            </w:r>
          </w:p>
        </w:tc>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Certification of Chief Executive Officer</w:t>
            </w:r>
          </w:p>
        </w:tc>
        <w:tc>
          <w:tcPr>
            <w:tcW w:w="248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7"/>
              </w:rPr>
              <w:t>This filing</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960" w:type="dxa"/>
            <w:vAlign w:val="bottom"/>
          </w:tcPr>
          <w:p>
            <w:pPr>
              <w:jc w:val="center"/>
              <w:ind w:left="50"/>
              <w:spacing w:after="0"/>
              <w:rPr>
                <w:sz w:val="20"/>
                <w:szCs w:val="20"/>
                <w:color w:val="auto"/>
              </w:rPr>
            </w:pPr>
            <w:r>
              <w:rPr>
                <w:rFonts w:ascii="Arial" w:cs="Arial" w:eastAsia="Arial" w:hAnsi="Arial"/>
                <w:sz w:val="18"/>
                <w:szCs w:val="18"/>
                <w:color w:val="auto"/>
                <w:w w:val="85"/>
              </w:rPr>
              <w:t>32.2</w:t>
            </w:r>
          </w:p>
        </w:tc>
        <w:tc>
          <w:tcPr>
            <w:tcW w:w="1020" w:type="dxa"/>
            <w:vAlign w:val="bottom"/>
          </w:tcPr>
          <w:p>
            <w:pPr>
              <w:ind w:left="160"/>
              <w:spacing w:after="0"/>
              <w:rPr>
                <w:sz w:val="20"/>
                <w:szCs w:val="20"/>
                <w:color w:val="auto"/>
              </w:rPr>
            </w:pPr>
            <w:r>
              <w:rPr>
                <w:rFonts w:ascii="Arial" w:cs="Arial" w:eastAsia="Arial" w:hAnsi="Arial"/>
                <w:sz w:val="18"/>
                <w:szCs w:val="18"/>
                <w:color w:val="auto"/>
                <w:w w:val="88"/>
              </w:rPr>
              <w:t>Section 906</w:t>
            </w:r>
          </w:p>
        </w:tc>
        <w:tc>
          <w:tcPr>
            <w:tcW w:w="4660" w:type="dxa"/>
            <w:vAlign w:val="bottom"/>
          </w:tcPr>
          <w:p>
            <w:pPr>
              <w:ind w:left="40"/>
              <w:spacing w:after="0"/>
              <w:rPr>
                <w:sz w:val="20"/>
                <w:szCs w:val="20"/>
                <w:color w:val="auto"/>
              </w:rPr>
            </w:pPr>
            <w:r>
              <w:rPr>
                <w:rFonts w:ascii="Arial" w:cs="Arial" w:eastAsia="Arial" w:hAnsi="Arial"/>
                <w:sz w:val="18"/>
                <w:szCs w:val="18"/>
                <w:color w:val="auto"/>
              </w:rPr>
              <w:t>Certification of Principal Financial Officer</w:t>
            </w:r>
          </w:p>
        </w:tc>
        <w:tc>
          <w:tcPr>
            <w:tcW w:w="2480" w:type="dxa"/>
            <w:vAlign w:val="bottom"/>
          </w:tcPr>
          <w:p>
            <w:pPr>
              <w:jc w:val="center"/>
              <w:ind w:left="1130"/>
              <w:spacing w:after="0"/>
              <w:rPr>
                <w:sz w:val="20"/>
                <w:szCs w:val="20"/>
                <w:color w:val="auto"/>
              </w:rPr>
            </w:pPr>
            <w:r>
              <w:rPr>
                <w:rFonts w:ascii="Arial" w:cs="Arial" w:eastAsia="Arial" w:hAnsi="Arial"/>
                <w:sz w:val="18"/>
                <w:szCs w:val="18"/>
                <w:color w:val="auto"/>
                <w:w w:val="97"/>
              </w:rPr>
              <w:t>This filing</w:t>
            </w:r>
          </w:p>
        </w:tc>
        <w:tc>
          <w:tcPr>
            <w:tcW w:w="1140" w:type="dxa"/>
            <w:vAlign w:val="bottom"/>
          </w:tcPr>
          <w:p>
            <w:pPr>
              <w:spacing w:after="0"/>
              <w:rPr>
                <w:sz w:val="20"/>
                <w:szCs w:val="20"/>
                <w:color w:val="auto"/>
              </w:rPr>
            </w:pPr>
          </w:p>
        </w:tc>
      </w:tr>
      <w:tr>
        <w:trPr>
          <w:trHeight w:val="836"/>
        </w:trPr>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60" w:type="dxa"/>
            <w:vAlign w:val="bottom"/>
          </w:tcPr>
          <w:p>
            <w:pPr>
              <w:ind w:left="2480"/>
              <w:spacing w:after="0"/>
              <w:rPr>
                <w:sz w:val="20"/>
                <w:szCs w:val="20"/>
                <w:color w:val="auto"/>
              </w:rPr>
            </w:pPr>
            <w:r>
              <w:rPr>
                <w:rFonts w:ascii="Arial" w:cs="Arial" w:eastAsia="Arial" w:hAnsi="Arial"/>
                <w:sz w:val="18"/>
                <w:szCs w:val="18"/>
                <w:color w:val="auto"/>
              </w:rPr>
              <w:t>21</w:t>
            </w:r>
          </w:p>
        </w:tc>
        <w:tc>
          <w:tcPr>
            <w:tcW w:w="2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9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ClearOne Communications, Inc., a Utah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February 13,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February 13,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240" w:top="756" w:right="419" w:bottom="1440" w:gutter="0" w:footer="0" w:header="0"/>
        </w:sectPr>
      </w:pPr>
    </w:p>
    <w:bookmarkStart w:id="24" w:name="page25"/>
    <w:bookmarkEnd w:id="24"/>
    <w:p>
      <w:pPr>
        <w:ind w:left="10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52" w:lineRule="exact"/>
        <w:rPr>
          <w:sz w:val="20"/>
          <w:szCs w:val="20"/>
          <w:color w:val="auto"/>
        </w:rPr>
      </w:pPr>
    </w:p>
    <w:p>
      <w:pPr>
        <w:ind w:left="500" w:hanging="231"/>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ClearOne Communications, Inc.;</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244"/>
        <w:spacing w:after="0" w:line="308" w:lineRule="auto"/>
        <w:tabs>
          <w:tab w:leader="none" w:pos="660" w:val="left"/>
        </w:tabs>
        <w:numPr>
          <w:ilvl w:val="1"/>
          <w:numId w:val="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February 13,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053" w:right="239" w:bottom="1440" w:gutter="0" w:footer="0" w:header="0"/>
        </w:sectPr>
      </w:pPr>
    </w:p>
    <w:bookmarkStart w:id="25" w:name="page26"/>
    <w:bookmarkEnd w:id="25"/>
    <w:p>
      <w:pPr>
        <w:ind w:left="10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Greg A. LeClaire, certify that:</w:t>
      </w:r>
    </w:p>
    <w:p>
      <w:pPr>
        <w:spacing w:after="0" w:line="252" w:lineRule="exact"/>
        <w:rPr>
          <w:sz w:val="20"/>
          <w:szCs w:val="20"/>
          <w:color w:val="auto"/>
        </w:rPr>
      </w:pPr>
    </w:p>
    <w:p>
      <w:pPr>
        <w:ind w:left="500" w:hanging="231"/>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ClearOne Communications, Inc.;</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244"/>
        <w:spacing w:after="0" w:line="308"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February 13,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053"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 Zeynep Hakimoglu, certify, to the best of my knowledge and belief, pursuant to 18 U.S.C. Section 1350, as adopted pursuant to Section 906 of the Sarbanes-Oxley Act of 2002, that the Quarterly Report of ClearOne Communications, Inc. on Form 10-Q for the quarter ended December 31, 2008,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February 13,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ectPr>
          <w:pgSz w:w="11900" w:h="16838" w:orient="portrait"/>
          <w:cols w:equalWidth="0" w:num="1">
            <w:col w:w="11420"/>
          </w:cols>
          <w:pgMar w:left="240" w:top="1053"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 Greg A. LeClaire, certify, to the best of my knowledge and belief, pursuant to 18 U.S.C. Section 1350, as adopted pursuant to Section 906 of the Sarbanes-Oxley Act of 2002, that the Quarterly Report of ClearOne Communications, Inc. on Form 10-Q for the quarter ended December 31, 2008,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February 13,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sectPr>
      <w:pgSz w:w="11900" w:h="16838" w:orient="portrait"/>
      <w:cols w:equalWidth="0" w:num="1">
        <w:col w:w="11420"/>
      </w:cols>
      <w:pgMar w:left="240" w:top="10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2019-12-10T08:46:15Z</dcterms:created>
  <dcterms:modified xsi:type="dcterms:W3CDTF">2019-12-10T08:46:15Z</dcterms:modified>
</cp:coreProperties>
</file>