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140"/>
        <w:spacing w:after="0"/>
        <w:rPr>
          <w:sz w:val="20"/>
          <w:szCs w:val="20"/>
          <w:color w:val="auto"/>
        </w:rPr>
      </w:pPr>
      <w:r>
        <w:rPr>
          <w:rFonts w:ascii="Arial" w:cs="Arial" w:eastAsia="Arial" w:hAnsi="Arial"/>
          <w:sz w:val="18"/>
          <w:szCs w:val="18"/>
          <w:color w:val="auto"/>
        </w:rPr>
        <w:t>(Mark One)</w:t>
      </w:r>
    </w:p>
    <w:p>
      <w:pPr>
        <w:spacing w:after="0" w:line="97" w:lineRule="exact"/>
        <w:rPr>
          <w:sz w:val="24"/>
          <w:szCs w:val="24"/>
          <w:color w:val="auto"/>
        </w:rPr>
      </w:pPr>
    </w:p>
    <w:p>
      <w:pPr>
        <w:ind w:left="320" w:right="1920" w:hanging="312"/>
        <w:spacing w:after="0" w:line="378"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2018</w:t>
      </w:r>
    </w:p>
    <w:p>
      <w:pPr>
        <w:ind w:left="320"/>
        <w:spacing w:after="0"/>
        <w:rPr>
          <w:sz w:val="20"/>
          <w:szCs w:val="20"/>
          <w:color w:val="auto"/>
        </w:rPr>
      </w:pPr>
      <w:r>
        <w:rPr>
          <w:rFonts w:ascii="Arial" w:cs="Arial" w:eastAsia="Arial" w:hAnsi="Arial"/>
          <w:sz w:val="18"/>
          <w:szCs w:val="18"/>
          <w:color w:val="auto"/>
        </w:rPr>
        <w:t>or</w:t>
      </w:r>
    </w:p>
    <w:p>
      <w:pPr>
        <w:spacing w:after="0" w:line="113" w:lineRule="exact"/>
        <w:rPr>
          <w:sz w:val="24"/>
          <w:szCs w:val="24"/>
          <w:color w:val="auto"/>
        </w:rPr>
      </w:pPr>
    </w:p>
    <w:p>
      <w:pPr>
        <w:ind w:left="320" w:right="1940" w:hanging="312"/>
        <w:spacing w:after="0" w:line="282" w:lineRule="auto"/>
        <w:tabs>
          <w:tab w:leader="none" w:pos="15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_______ to _______</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17145</wp:posOffset>
            </wp:positionV>
            <wp:extent cx="128651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6510" cy="29146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570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700" w:type="dxa"/>
            <w:vAlign w:val="bottom"/>
            <w:gridSpan w:val="2"/>
          </w:tcPr>
          <w:p>
            <w:pPr>
              <w:jc w:val="right"/>
              <w:ind w:right="2430"/>
              <w:spacing w:after="0"/>
              <w:rPr>
                <w:sz w:val="20"/>
                <w:szCs w:val="20"/>
                <w:color w:val="auto"/>
              </w:rPr>
            </w:pPr>
            <w:r>
              <w:rPr>
                <w:rFonts w:ascii="Arial" w:cs="Arial" w:eastAsia="Arial" w:hAnsi="Arial"/>
                <w:sz w:val="18"/>
                <w:szCs w:val="18"/>
                <w:b w:val="1"/>
                <w:bCs w:val="1"/>
                <w:color w:val="auto"/>
              </w:rPr>
              <w:t>84116</w:t>
            </w:r>
          </w:p>
        </w:tc>
      </w:tr>
      <w:tr>
        <w:trPr>
          <w:trHeight w:val="224"/>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476"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Larger 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3">
            <w:col w:w="6720" w:space="720"/>
            <w:col w:w="2180" w:space="80"/>
            <w:col w:w="1720"/>
          </w:cols>
          <w:pgMar w:left="240" w:top="476" w:right="239" w:bottom="1440" w:gutter="0" w:footer="0" w:header="0"/>
          <w:type w:val="continuous"/>
        </w:sectPr>
      </w:pPr>
    </w:p>
    <w:p>
      <w:pPr>
        <w:spacing w:after="0"/>
        <w:rPr>
          <w:sz w:val="20"/>
          <w:szCs w:val="20"/>
          <w:color w:val="auto"/>
        </w:rPr>
      </w:pPr>
      <w:r>
        <w:rPr>
          <w:rFonts w:ascii="Arial" w:cs="Arial" w:eastAsia="Arial" w:hAnsi="Arial"/>
          <w:sz w:val="17"/>
          <w:szCs w:val="17"/>
          <w:color w:val="auto"/>
        </w:rPr>
        <w:t>Emerging growth company [ ]</w:t>
      </w:r>
    </w:p>
    <w:p>
      <w:pPr>
        <w:sectPr>
          <w:pgSz w:w="11900" w:h="16838" w:orient="portrait"/>
          <w:cols w:equalWidth="0" w:num="1">
            <w:col w:w="11420"/>
          </w:cols>
          <w:pgMar w:left="240" w:top="476" w:right="239" w:bottom="1440" w:gutter="0" w:footer="0" w:header="0"/>
          <w:type w:val="continuous"/>
        </w:sectPr>
      </w:pPr>
    </w:p>
    <w:p>
      <w:pPr>
        <w:spacing w:after="0" w:line="22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2" w:lineRule="exact"/>
        <w:rPr>
          <w:sz w:val="24"/>
          <w:szCs w:val="24"/>
          <w:color w:val="auto"/>
        </w:rPr>
      </w:pPr>
    </w:p>
    <w:p>
      <w:pPr>
        <w:ind w:right="2120"/>
        <w:spacing w:after="0" w:line="40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 The number of shares of ClearOne common stock outstanding as of August 6, 2018 was 8,306,735.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 FOR THE QUARTER ENDED JUNE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80" w:type="dxa"/>
            <w:vAlign w:val="bottom"/>
            <w:gridSpan w:val="18"/>
            <w:shd w:val="clear" w:color="auto" w:fill="CCEEFF"/>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02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60" w:type="dxa"/>
            <w:vAlign w:val="bottom"/>
            <w:gridSpan w:val="16"/>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June 30, 2018 and December 31, 2017</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60" w:type="dxa"/>
            <w:vAlign w:val="bottom"/>
            <w:gridSpan w:val="16"/>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Operations and Comprehensive Income (Loss) for the three and six months ended June</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30, 2018 and 2017</w:t>
              </w:r>
            </w:hyperlink>
          </w:p>
        </w:tc>
        <w:tc>
          <w:tcPr>
            <w:tcW w:w="14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60" w:type="dxa"/>
            <w:vAlign w:val="bottom"/>
            <w:gridSpan w:val="16"/>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Statements of Cash Flows for the six months ended June 30, 2018 and 2017</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60" w:type="dxa"/>
            <w:vAlign w:val="bottom"/>
            <w:gridSpan w:val="16"/>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Notes to Condensed Consolidated Financial Statements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80" w:type="dxa"/>
            <w:vAlign w:val="bottom"/>
            <w:gridSpan w:val="18"/>
          </w:tcPr>
          <w:p>
            <w:pPr>
              <w:ind w:left="20"/>
              <w:spacing w:after="0"/>
              <w:rPr>
                <w:sz w:val="20"/>
                <w:szCs w:val="20"/>
                <w:color w:val="auto"/>
              </w:rPr>
            </w:pPr>
            <w:r>
              <w:rPr>
                <w:rFonts w:ascii="Arial" w:cs="Arial" w:eastAsia="Arial" w:hAnsi="Arial"/>
                <w:sz w:val="18"/>
                <w:szCs w:val="18"/>
                <w:b w:val="1"/>
                <w:bCs w:val="1"/>
                <w:color w:val="auto"/>
              </w:rPr>
              <w:t>PART II - OTHER INFORMATION</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w w:val="95"/>
              </w:rPr>
              <w:t>Item 1A.</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10280" w:type="dxa"/>
            <w:vAlign w:val="bottom"/>
            <w:gridSpan w:val="18"/>
          </w:tcPr>
          <w:p>
            <w:pPr>
              <w:ind w:left="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860" w:type="dxa"/>
            <w:vAlign w:val="bottom"/>
            <w:gridSpan w:val="11"/>
          </w:tcPr>
          <w:p>
            <w:pPr>
              <w:jc w:val="right"/>
              <w:ind w:right="140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$527 and $472, respectively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14,380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2,339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6,391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7,458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61,241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8,306,935 and 8,319,022 shares issued and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54,787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61,241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Three months ended June 30,</w:t>
            </w:r>
          </w:p>
        </w:tc>
        <w:tc>
          <w:tcPr>
            <w:tcW w:w="160" w:type="dxa"/>
            <w:vAlign w:val="bottom"/>
          </w:tcPr>
          <w:p>
            <w:pPr>
              <w:spacing w:after="0"/>
              <w:rPr>
                <w:sz w:val="20"/>
                <w:szCs w:val="20"/>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6,971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14,260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goods sold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2,646</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8,301,094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8,301,094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 loss per share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(2,163)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(4,009)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loss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w w:val="88"/>
              </w:rPr>
              <w:t>Six months ended 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ind w:left="580"/>
              <w:spacing w:after="0"/>
              <w:rPr>
                <w:sz w:val="20"/>
                <w:szCs w:val="20"/>
                <w:color w:val="auto"/>
              </w:rPr>
            </w:pPr>
            <w:r>
              <w:rPr>
                <w:rFonts w:ascii="Arial" w:cs="Arial" w:eastAsia="Arial" w:hAnsi="Arial"/>
                <w:sz w:val="18"/>
                <w:szCs w:val="18"/>
                <w:b w:val="1"/>
                <w:bCs w:val="1"/>
                <w:color w:val="auto"/>
                <w:w w:val="94"/>
              </w:rPr>
              <w:t>2018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24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(4,009)</w:t>
            </w:r>
          </w:p>
        </w:tc>
        <w:tc>
          <w:tcPr>
            <w:tcW w:w="10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rent</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doubtful accounts, net</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Change of inventory to net realizable value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(1,865)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Capitalized patent defense costs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(2,383)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(1,403)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payments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Repurchase and cancellation of stock</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(1,492)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5,571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4,079</w:t>
            </w:r>
          </w:p>
        </w:tc>
        <w:tc>
          <w:tcPr>
            <w:tcW w:w="10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21"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p>
      <w:pPr>
        <w:ind w:left="8700"/>
        <w:spacing w:after="0"/>
        <w:tabs>
          <w:tab w:leader="none" w:pos="1038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-130810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 w:lineRule="exact"/>
        <w:rPr>
          <w:sz w:val="20"/>
          <w:szCs w:val="20"/>
          <w:color w:val="auto"/>
        </w:rPr>
      </w:pPr>
    </w:p>
    <w:p>
      <w:pPr>
        <w:spacing w:after="0"/>
        <w:tabs>
          <w:tab w:leader="none" w:pos="8100" w:val="left"/>
          <w:tab w:leader="none" w:pos="9440" w:val="left"/>
          <w:tab w:leader="none" w:pos="9820" w:val="left"/>
          <w:tab w:leader="none" w:pos="11200" w:val="left"/>
        </w:tabs>
        <w:rPr>
          <w:sz w:val="20"/>
          <w:szCs w:val="20"/>
          <w:color w:val="auto"/>
        </w:rPr>
      </w:pPr>
      <w:r>
        <w:rPr>
          <w:rFonts w:ascii="Arial" w:cs="Arial" w:eastAsia="Arial" w:hAnsi="Arial"/>
          <w:sz w:val="18"/>
          <w:szCs w:val="18"/>
          <w:color w:val="auto"/>
        </w:rPr>
        <w:t>Cash paid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w:t>
        <w:tab/>
        <w:t>$</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12 months ending on December 31. The consolidated financial statements include the accounts of ClearOne and its subsidiaries. All significant inter-company accounts and transactions have been eliminated.</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June 30, 2018 and December 31, 2017, the results of operations for the three and six months ended June 30, 2018 and 2017, and the cash flows for the six months ended June 30, 2018 and 2017. The results of operations for the three and six months ended June 30, 2018 and 2017 are not necessarily indicative of the results for a full-year period. These interim unaudited condensed consolidated financial statements should be read in conjunction with the financial statements included in our Annual Report on Form 10-K for the year ended December 31, 2017 filed with the SEC.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significant accounting policies were described in Note 1 to the audited consolidated financial statements included in the Company’s annual report on Form 10-K for the year ended December 31, 2017. There have been no changes to these policies during the six months ended June 30, 2018 that are of significance or potential significance to the Company except for the change in revenue recognition policy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Adoption of New Revenue Standard: </w:t>
      </w:r>
      <w:r>
        <w:rPr>
          <w:rFonts w:ascii="Arial" w:cs="Arial" w:eastAsia="Arial" w:hAnsi="Arial"/>
          <w:sz w:val="16"/>
          <w:szCs w:val="16"/>
          <w:color w:val="auto"/>
        </w:rPr>
        <w:t>On January 1, 2018, as required, the Company adopted ASU No. 2014-09 - Revenue from Contracts with Customers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(Topic 606) (“ASU 2014-09”), ASU No. 2015-14 - Revenue from Contracts with Customers (Topic 606): Deferral of the Effective Date (“ASU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ASU No. 2016-08 - Revenue from Contracts with Customers (Topic 606): Principal versus Agent Considerations (“ASU 2016-08”), ASU No. 2016-</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10 - Revenue from Contracts with Customers (Topic 606): Identifying Performance Obligations and Licensing (“ASU 2016-10”), ASU No. 2016-12 - Revenue from Contracts with Customers (Topic 606): Narrow-Scope Improvements and Practical Expedients (“ASU 2016-12”) and ASU No. 2016-20 - Technical Corrections and Improvements to Topic 606, Revenue from Contracts with Customers” (“ASU 2016-20”) (collectively “the New Revenue Standard”). To conform to the New Revenue Standard, the Company modified its revenue recognition policy as described further below.</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Change in Accounting Policy: </w:t>
      </w:r>
      <w:r>
        <w:rPr>
          <w:rFonts w:ascii="Arial" w:cs="Arial" w:eastAsia="Arial" w:hAnsi="Arial"/>
          <w:sz w:val="18"/>
          <w:szCs w:val="18"/>
          <w:color w:val="auto"/>
        </w:rPr>
        <w:t>On January 1, 2018, the Company adopted the New Revenue Standard using the modified retrospective method, applying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to all open contracts and recognized an adjustment to increase retained earnings by $2,783, reduce deferred product revenue by $4,338 and reduce distributor channel inventories by $1,555 as of that date. The comparative financial information has not been restated and continues to be presented under the accounting standards in effect for the respective periods. The Company applied the practical expedient and has not disclosed the revenue allocated to future shipments of partially completed contracts.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our change in accounting policy, revenue from product sales to distributors was not recognized until the return privilege had expired or until it can be determined with reasonable certainty that the return privilege had expired, which approximated when the product was sold-through to customers of our distributors (dealers, system integrators, value-added resellers, and end-users), rather than when the product was initially shipped to a distributor. At each quarter-end, we evaluated the inventory in the distribution channel through information provided by our distributors. The level of inventory in the channel fluctuated up or down each quarter based upon our distributors’ individual operations. Accordingly, each quarter-end deferral of revenue and associated cost of goods sold were calculated and recorded based upon the actual channel inventory reported at quarter-end. Further, with respect to distributors and other channel partners not reporting the channel inventory, the revenue and associated cost of goods sold were deferred until we received payment for the product sales made to such distributors or channel partners.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the change in the accounting policy, substantially all of the Company’s revenue is recognized following the transfer of control of the products to the customer, which typically occurs upon shipment or delivery depending on the terms of the underlying contracts. During the three months ended June 30, 2018, revenue increased by $271 and during the six months ended June 30, 2018 revenue decreased by $581 due to the impact of the adoption of the New Revenue Standard.</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Revenue Recognition Policy: </w:t>
      </w:r>
      <w:r>
        <w:rPr>
          <w:rFonts w:ascii="Arial" w:cs="Arial" w:eastAsia="Arial" w:hAnsi="Arial"/>
          <w:sz w:val="16"/>
          <w:szCs w:val="16"/>
          <w:color w:val="auto"/>
        </w:rPr>
        <w:t>The Company generates revenue from sales of its audio and video conferencing equipment to distributors, system integrators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w:t>
      </w:r>
    </w:p>
    <w:p>
      <w:pPr>
        <w:spacing w:after="0" w:line="2" w:lineRule="exact"/>
        <w:rPr>
          <w:sz w:val="20"/>
          <w:szCs w:val="20"/>
          <w:color w:val="auto"/>
        </w:rPr>
      </w:pPr>
    </w:p>
    <w:p>
      <w:pPr>
        <w:jc w:val="both"/>
        <w:ind w:firstLine="8"/>
        <w:spacing w:after="0" w:line="255"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three and six months ended June 30, 2018 for equipment sales was $6,803 and $13,900, respectively, and for software, licenses, etc. was $168 and $360, respectively.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released ASU No. 2016-02, Leases (Topic 842) to bring transparency to lessee balance 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Company has not yet selected a transition method and is currently evaluating the effect that the updated standard will have on the consolidated financial statements.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released ASU No. 2016-15, Classification of Certain Cash Receipts and Cash Payments, which addresses eight specific cash flow issues with the objective of reducing the existing diversity in practice. ASU 2016-15 became effective for the Company on January 1, 2018. ASU 2016-15 had no material impact on our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became effective for the Company on January 1, 2018. ASU 2017-09 did not have any material impact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the Company’s revenue into primary product groups: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Three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products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9,804</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Unified Communications end points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2,013</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6,971</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14,260</w:t>
            </w:r>
          </w:p>
        </w:tc>
      </w:tr>
      <w:tr>
        <w:trPr>
          <w:trHeight w:val="426"/>
        </w:trPr>
        <w:tc>
          <w:tcPr>
            <w:tcW w:w="5780" w:type="dxa"/>
            <w:vAlign w:val="bottom"/>
          </w:tcPr>
          <w:p>
            <w:pPr>
              <w:spacing w:after="0"/>
              <w:rPr>
                <w:sz w:val="20"/>
                <w:szCs w:val="20"/>
                <w:color w:val="auto"/>
              </w:rPr>
            </w:pPr>
            <w:r>
              <w:rPr>
                <w:rFonts w:ascii="Arial" w:cs="Arial" w:eastAsia="Arial" w:hAnsi="Arial"/>
                <w:sz w:val="18"/>
                <w:szCs w:val="18"/>
                <w:color w:val="auto"/>
                <w:w w:val="93"/>
              </w:rPr>
              <w:t>The following table disaggregates the Company’s revenue into major regions:</w:t>
            </w: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Three months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Pr>
          <w:p>
            <w:pPr>
              <w:spacing w:after="0"/>
              <w:rPr>
                <w:sz w:val="20"/>
                <w:szCs w:val="20"/>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3,899</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14,260</w:t>
            </w:r>
          </w:p>
        </w:tc>
        <w:tc>
          <w:tcPr>
            <w:tcW w:w="80" w:type="dxa"/>
            <w:vAlign w:val="bottom"/>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Three months ended June 30,</w:t>
            </w:r>
          </w:p>
        </w:tc>
        <w:tc>
          <w:tcPr>
            <w:tcW w:w="160" w:type="dxa"/>
            <w:vAlign w:val="bottom"/>
          </w:tcPr>
          <w:p>
            <w:pPr>
              <w:spacing w:after="0"/>
              <w:rPr>
                <w:sz w:val="20"/>
                <w:szCs w:val="20"/>
                <w:color w:val="auto"/>
              </w:rPr>
            </w:pPr>
          </w:p>
        </w:tc>
        <w:tc>
          <w:tcPr>
            <w:tcW w:w="24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(2,163)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(4,009)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8,301,094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8,301,094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8,638,091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8,304,093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8,702,743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724,373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869,838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736,160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858,845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724,373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869,838</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736,160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858,845</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4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June 30, 2018 and December 31, 2017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holding gains</w:t>
            </w:r>
          </w:p>
        </w:tc>
        <w:tc>
          <w:tcPr>
            <w:tcW w:w="20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holding 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1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 and notes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w:t>
            </w:r>
          </w:p>
        </w:tc>
      </w:tr>
      <w:tr>
        <w:trPr>
          <w:trHeight w:val="216"/>
        </w:trPr>
        <w:tc>
          <w:tcPr>
            <w:tcW w:w="432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4,448</w:t>
            </w:r>
          </w:p>
        </w:tc>
      </w:tr>
      <w:tr>
        <w:trPr>
          <w:trHeight w:val="20"/>
        </w:trPr>
        <w:tc>
          <w:tcPr>
            <w:tcW w:w="4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9,243</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34"/>
        </w:trPr>
        <w:tc>
          <w:tcPr>
            <w:tcW w:w="4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holding gains</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holding 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9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 and notes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4120" w:type="dxa"/>
            <w:vAlign w:val="bottom"/>
          </w:tcPr>
          <w:p>
            <w:pPr>
              <w:ind w:left="340"/>
              <w:spacing w:after="0"/>
              <w:rPr>
                <w:sz w:val="20"/>
                <w:szCs w:val="20"/>
                <w:color w:val="auto"/>
              </w:rPr>
            </w:pPr>
            <w:r>
              <w:rPr>
                <w:rFonts w:ascii="Arial" w:cs="Arial" w:eastAsia="Arial" w:hAnsi="Arial"/>
                <w:sz w:val="18"/>
                <w:szCs w:val="18"/>
                <w:color w:val="auto"/>
              </w:rPr>
              <w:t>Municipal bonds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4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available-for-sale securities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13,038</w:t>
            </w:r>
          </w:p>
        </w:tc>
      </w:tr>
      <w:tr>
        <w:trPr>
          <w:trHeight w:val="413"/>
        </w:trPr>
        <w:tc>
          <w:tcPr>
            <w:tcW w:w="412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7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tcPr>
          <w:p>
            <w:pPr>
              <w:ind w:left="340"/>
              <w:spacing w:after="0"/>
              <w:rPr>
                <w:sz w:val="20"/>
                <w:szCs w:val="20"/>
                <w:color w:val="auto"/>
              </w:rPr>
            </w:pPr>
            <w:r>
              <w:rPr>
                <w:rFonts w:ascii="Arial" w:cs="Arial" w:eastAsia="Arial" w:hAnsi="Arial"/>
                <w:sz w:val="18"/>
                <w:szCs w:val="18"/>
                <w:color w:val="auto"/>
              </w:rPr>
              <w:t>Due within one year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2,862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2,852</w:t>
            </w:r>
          </w:p>
        </w:tc>
      </w:tr>
      <w:tr>
        <w:trPr>
          <w:trHeight w:val="216"/>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w:t>
            </w:r>
          </w:p>
        </w:tc>
      </w:tr>
      <w:tr>
        <w:trPr>
          <w:trHeight w:val="216"/>
        </w:trPr>
        <w:tc>
          <w:tcPr>
            <w:tcW w:w="7480" w:type="dxa"/>
            <w:vAlign w:val="bottom"/>
          </w:tcPr>
          <w:p>
            <w:pPr>
              <w:ind w:left="340"/>
              <w:spacing w:after="0"/>
              <w:rPr>
                <w:sz w:val="20"/>
                <w:szCs w:val="20"/>
                <w:color w:val="auto"/>
              </w:rPr>
            </w:pPr>
            <w:r>
              <w:rPr>
                <w:rFonts w:ascii="Arial" w:cs="Arial" w:eastAsia="Arial" w:hAnsi="Arial"/>
                <w:sz w:val="18"/>
                <w:szCs w:val="18"/>
                <w:color w:val="auto"/>
              </w:rPr>
              <w:t>Due after five years</w:t>
            </w: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0"/>
        </w:trPr>
        <w:tc>
          <w:tcPr>
            <w:tcW w:w="7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4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available-for-sale securities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9,348</w:t>
            </w:r>
          </w:p>
        </w:tc>
        <w:tc>
          <w:tcPr>
            <w:tcW w:w="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9,243</w:t>
            </w:r>
          </w:p>
        </w:tc>
      </w:tr>
      <w:tr>
        <w:trPr>
          <w:trHeight w:val="20"/>
        </w:trPr>
        <w:tc>
          <w:tcPr>
            <w:tcW w:w="7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Debt securities in an unrealized loss position as of June 30, 2018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More than 12 months</w:t>
            </w:r>
          </w:p>
        </w:tc>
        <w:tc>
          <w:tcPr>
            <w:tcW w:w="1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fair value</w:t>
            </w:r>
          </w:p>
        </w:tc>
        <w:tc>
          <w:tcPr>
            <w:tcW w:w="2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holding 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holding 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holding 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2018</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4"/>
                <w:szCs w:val="24"/>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More than 12 months</w:t>
            </w:r>
          </w:p>
        </w:tc>
        <w:tc>
          <w:tcPr>
            <w:tcW w:w="1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fair value</w:t>
            </w:r>
          </w:p>
        </w:tc>
        <w:tc>
          <w:tcPr>
            <w:tcW w:w="2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4"/>
              </w:rPr>
              <w:t>holding 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holding losses</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fair value</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holding 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2017</w:t>
            </w: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2018 and December 31, 2017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Estimated useful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December 31,</w:t>
            </w:r>
          </w:p>
        </w:tc>
        <w:tc>
          <w:tcPr>
            <w:tcW w:w="228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lives (years)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7</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228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tcPr>
          <w:p>
            <w:pPr>
              <w:ind w:left="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8,578</w:t>
            </w:r>
          </w:p>
        </w:tc>
        <w:tc>
          <w:tcPr>
            <w:tcW w:w="228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2,981</w:t>
            </w:r>
          </w:p>
        </w:tc>
        <w:tc>
          <w:tcPr>
            <w:tcW w:w="228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620" w:type="dxa"/>
            <w:vAlign w:val="bottom"/>
          </w:tcPr>
          <w:p>
            <w:pPr>
              <w:ind w:lef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14,918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12,437</w:t>
            </w:r>
          </w:p>
        </w:tc>
        <w:tc>
          <w:tcPr>
            <w:tcW w:w="228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(6,407)</w:t>
            </w: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(5,894)</w:t>
            </w:r>
          </w:p>
        </w:tc>
        <w:tc>
          <w:tcPr>
            <w:tcW w:w="2280" w:type="dxa"/>
            <w:vAlign w:val="bottom"/>
          </w:tcPr>
          <w:p>
            <w:pPr>
              <w:spacing w:after="0"/>
              <w:rPr>
                <w:sz w:val="18"/>
                <w:szCs w:val="18"/>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80" w:type="dxa"/>
            <w:vAlign w:val="bottom"/>
            <w:tcBorders>
              <w:bottom w:val="single" w:sz="8" w:color="CCEEFF"/>
            </w:tcBorders>
            <w:shd w:val="clear" w:color="auto" w:fill="CCEEFF"/>
          </w:tcPr>
          <w:p>
            <w:pPr>
              <w:spacing w:after="0"/>
              <w:rPr>
                <w:sz w:val="21"/>
                <w:szCs w:val="21"/>
                <w:color w:val="auto"/>
              </w:rPr>
            </w:pPr>
          </w:p>
        </w:tc>
        <w:tc>
          <w:tcPr>
            <w:tcW w:w="2280" w:type="dxa"/>
            <w:vAlign w:val="bottom"/>
          </w:tcPr>
          <w:p>
            <w:pPr>
              <w:spacing w:after="0"/>
              <w:rPr>
                <w:sz w:val="21"/>
                <w:szCs w:val="21"/>
                <w:color w:val="auto"/>
              </w:rPr>
            </w:pPr>
          </w:p>
        </w:tc>
      </w:tr>
      <w:tr>
        <w:trPr>
          <w:trHeight w:val="413"/>
        </w:trPr>
        <w:tc>
          <w:tcPr>
            <w:tcW w:w="4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ind w:left="2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and six months ended June 30, 2018 and 2017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88"/>
              </w:rPr>
              <w:t>Three months ended June 30,</w:t>
            </w:r>
          </w:p>
        </w:tc>
        <w:tc>
          <w:tcPr>
            <w:tcW w:w="180" w:type="dxa"/>
            <w:vAlign w:val="bottom"/>
          </w:tcPr>
          <w:p>
            <w:pPr>
              <w:spacing w:after="0"/>
              <w:rPr>
                <w:sz w:val="20"/>
                <w:szCs w:val="20"/>
                <w:color w:val="auto"/>
              </w:rPr>
            </w:pPr>
          </w:p>
        </w:tc>
        <w:tc>
          <w:tcPr>
            <w:tcW w:w="2520" w:type="dxa"/>
            <w:vAlign w:val="bottom"/>
            <w:gridSpan w:val="7"/>
          </w:tcPr>
          <w:p>
            <w:pPr>
              <w:ind w:left="10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6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432"/>
        </w:trPr>
        <w:tc>
          <w:tcPr>
            <w:tcW w:w="5500" w:type="dxa"/>
            <w:vAlign w:val="bottom"/>
            <w:gridSpan w:val="3"/>
          </w:tcPr>
          <w:p>
            <w:pPr>
              <w:spacing w:after="0"/>
              <w:rPr>
                <w:sz w:val="20"/>
                <w:szCs w:val="20"/>
                <w:color w:val="auto"/>
              </w:rPr>
            </w:pPr>
            <w:r>
              <w:rPr>
                <w:rFonts w:ascii="Arial" w:cs="Arial" w:eastAsia="Arial" w:hAnsi="Arial"/>
                <w:sz w:val="18"/>
                <w:szCs w:val="18"/>
                <w:color w:val="auto"/>
                <w:w w:val="90"/>
              </w:rPr>
              <w:t>The estimated future amortization expense of intangible assets is as follows: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(Remainder)</w:t>
            </w: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left w:val="single" w:sz="8" w:color="CCEEFF"/>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0"/>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6. Inventories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gridSpan w:val="8"/>
          </w:tcPr>
          <w:p>
            <w:pPr>
              <w:spacing w:after="0"/>
              <w:rPr>
                <w:sz w:val="20"/>
                <w:szCs w:val="20"/>
                <w:color w:val="auto"/>
              </w:rPr>
            </w:pPr>
            <w:r>
              <w:rPr>
                <w:rFonts w:ascii="Arial" w:cs="Arial" w:eastAsia="Arial" w:hAnsi="Arial"/>
                <w:sz w:val="18"/>
                <w:szCs w:val="18"/>
                <w:color w:val="auto"/>
                <w:w w:val="91"/>
              </w:rPr>
              <w:t>Inventories, net of reserves, as of June 30, 2018 and December 31, 2017 consisted of the following:</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June 30, 2018</w:t>
            </w:r>
          </w:p>
        </w:tc>
        <w:tc>
          <w:tcPr>
            <w:tcW w:w="1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December 31, 2017</w:t>
            </w:r>
          </w:p>
        </w:tc>
        <w:tc>
          <w:tcPr>
            <w:tcW w:w="4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0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2,580</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14,380</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14,415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58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6,329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58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Current finished goods did not include distributor channel inventories in the amounts of approximately $1,555 as of December 31, 2017. Distributor channel inventories represented inventories at distributors and other customers where revenue recognition criteria had not yet been achieved.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loss incurred on valuation of inventory at lower of cost or net realizable value and write-off of obsolete inventory during the three and six months ended June 30, 2018 was $170 and $425, respectively. During the three months and six months ended June 30, 2017 net loss incurred on valuation of inventory at lower of cost or net realizable value and write-off of obsolete inventory was $55 and $21, respectively.</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share-based incentive plans offering stock options are offered under the Company’s 2007 Equity Incentive Plan (the “2007 Plan”), which was restated and approved by the shareholders on December 12, 2015.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As of June 30, 2018, there were 716,855 options outstanding under the 2007 Plan. As of June 30, 2018, the 2007 Plan had 777,839 authorized unissued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under the Company’s plans for the six months ended June 30, 2018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beginning of year</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764,430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(25,285)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June 30, 2018</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716,855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4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Options exercisable at end of June 30, 2018</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581,127</w:t>
            </w:r>
          </w:p>
        </w:tc>
        <w:tc>
          <w:tcPr>
            <w:tcW w:w="140" w:type="dxa"/>
            <w:vAlign w:val="bottom"/>
          </w:tcPr>
          <w:p>
            <w:pPr>
              <w:spacing w:after="0"/>
              <w:rPr>
                <w:sz w:val="17"/>
                <w:szCs w:val="17"/>
                <w:color w:val="auto"/>
              </w:rPr>
            </w:pP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the total remaining unrecognized compensation cost related to non-vested stock options, net of forfeitures, was approximately $495, which will be recognized over a weighted average period of 1.41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has been recorded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6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0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0"/>
        </w:trPr>
        <w:tc>
          <w:tcPr>
            <w:tcW w:w="4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11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0"/>
        </w:trPr>
        <w:tc>
          <w:tcPr>
            <w:tcW w:w="4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the Board of Directors of the Company authorized the repurchase of up to $10,000 of the Company’s outstanding shares of common stock under a stock repurchase program. In connection with the repurchase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transactions effectuated to date occurred in open market purchases.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2017, the Board of Directors of the Company renewed and extended the repurchase program for up to an additional $10,000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The transactions effectuated to date occurred in open market purchases.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Upon expiry of this repurchase program in March 2018, the program was not renewed again.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On February 21, 2018, the Company declared a cash dividend of $0.07 per share of ClearOne common stock. The dividend was paid on March 21, 2018 to shareholders of record as of March 7, 2018. On June 13, 2018, the Company announced the suspension of its dividend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June 30, 2018 and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jc w:val="center"/>
              <w:ind w:right="4930"/>
              <w:spacing w:after="0"/>
              <w:rPr>
                <w:sz w:val="20"/>
                <w:szCs w:val="20"/>
                <w:color w:val="auto"/>
              </w:rPr>
            </w:pPr>
            <w:r>
              <w:rPr>
                <w:rFonts w:ascii="Arial" w:cs="Arial" w:eastAsia="Arial" w:hAnsi="Arial"/>
                <w:sz w:val="18"/>
                <w:szCs w:val="18"/>
                <w:b w:val="1"/>
                <w:bCs w:val="1"/>
                <w:color w:val="auto"/>
                <w:w w:val="90"/>
              </w:rPr>
              <w:t>June 30, 2018</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4,795</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4,795</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w:t>
            </w:r>
          </w:p>
        </w:tc>
      </w:tr>
      <w:tr>
        <w:trPr>
          <w:trHeight w:val="20"/>
        </w:trPr>
        <w:tc>
          <w:tcPr>
            <w:tcW w:w="6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jc w:val="center"/>
              <w:ind w:right="4950"/>
              <w:spacing w:after="0"/>
              <w:rPr>
                <w:sz w:val="20"/>
                <w:szCs w:val="20"/>
                <w:color w:val="auto"/>
              </w:rPr>
            </w:pPr>
            <w:r>
              <w:rPr>
                <w:rFonts w:ascii="Arial" w:cs="Arial" w:eastAsia="Arial" w:hAnsi="Arial"/>
                <w:sz w:val="18"/>
                <w:szCs w:val="18"/>
                <w:color w:val="auto"/>
                <w:w w:val="89"/>
              </w:rPr>
              <w:t>Total</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9,243</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9,243</w:t>
            </w:r>
          </w:p>
        </w:tc>
      </w:tr>
      <w:tr>
        <w:trPr>
          <w:trHeight w:val="20"/>
        </w:trPr>
        <w:tc>
          <w:tcPr>
            <w:tcW w:w="6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Corporate bonds and notes</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8,428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60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820"/>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13,038</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r>
      <w:tr>
        <w:trPr>
          <w:trHeight w:val="20"/>
        </w:trPr>
        <w:tc>
          <w:tcPr>
            <w:tcW w:w="6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Company’s forecasted effective tax benefit rate at June 30, 2018 is 26.8%, a 16% increase from the 10.8% effective tax rate recorded at December 31, 2017. The 16% increase is primarily due to the enactment in 2017 of the Tax Cuts and Jobs act, which resulted in a lower corporate tax rate and a revaluation of the Company's net deferred tax assets. The forecasted effective tax benefit rate of 26.8% excludes jurisdictions for which no benefit from forecasted current year losses is anticipated. Including losses from such jurisdictions results in a forecasted effective tax benefit rate of 26.0%. Our forecasted effective tax rate could fluctuate significantly on a quarterly basis and could change, to the extent that earnings in countries with tax rates that differ from that of the U.S. differ from amounts anticipated at June 30, 2018.</w:t>
      </w:r>
    </w:p>
    <w:p>
      <w:pPr>
        <w:spacing w:after="0" w:line="19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After a discrete tax expense of $64, the effective tax benefit rate for the quarter ended June 30, 2018 is 24.9%. The discrete tax expense of $64 is primarily attributable to changes in income tax reserves related to an income tax audit in Hong Kong.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2017.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2017.</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ClearOne is a global market leader enabling conferencing, collaboration, and network streaming solutions. The performance and simplicity of our advanced, comprehensive solutions offer unprecedented levels of functionality, reliability and scalability.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most of our revenue from professional audio conferencing products by promoting our products in the professional audio-visual channel. We have extended our total addressable market from installed audio conferencing market to adjacent complementary markets – microphones, video collaboration and networked audio and video streaming. We have achieved this through strategic technological acquisitions as well as by internal product development.</w:t>
      </w:r>
    </w:p>
    <w:p>
      <w:pPr>
        <w:spacing w:after="0" w:line="14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June 2018, at our industry’s largest trade show in North America, we introduced new audio products including significant additions to our CONVERGE® 2 audio conferencing platform, ceiling microphone array product line, and wireless microphone systems in the newly FCC allocated 537-563 MHz range. We also introduced new video solutions including economical new SKUs to our VIEW® AV Networking platform and a second-generation video cloud solution, COLLABORATE® Space. During the six months ended June 30, 2018 seven more patents related to video synchronization, speech technology, integrated microphone array and ceiling or wall tile, echo cancellation with beamforming microphone array, audio distribution over local area networks, and USB to Bluetooth audio bridging were issued to us. While focusing on strategic innovation that we believe will strengthen our competitive position, and accelerated product development, we have also planned and initiated a company-wide cost cutting programs. We also continued our vigorous litigation efforts to stop infringement of two of our strategic patents.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revenue declined in the three and six months ended June 30, 2018 when compared to the three months and six months ended June 30, 2017, with declines seen in all product categories. Our gross profit margin decreased to 47% during the three months ended June 30, 2018 from 59% for the three months ended June 30, 2017. Gross profit margin decreased primarily due to an increase in inventory obsolescence costs, a decline in licensing revenues and due to reduced overhead absorption into inventory as we continue to reduce our net spend on inventory. Our gross profit margin decreased to 52% during the six months ended June 30, 2018 from 58% for the six months ended June 30, 2017. Gross profit margin decrease was primarily due to an increase in inventory obsolescence costs, a decline in licensing revenues and due to reduced overhead absorption into inventory. The proportion of overhead costs absorbed into inventory has declined due to a sharp decline in our inventory purchasing activity causing increased amounts of overhead costs to be expensed.</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the influx of venture capitalist funded start-ups and private companies keen to win market share even at the expense of mounting financial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11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audio-visual products market is characterized by intense competition and rapidly evolving technology. Our competitors vary within each product category. The adoption of Beamforming Microphone Array 2, along with Converge Pro 2, our new platform for professional audio conferencing, remains challenged in large part because of our competitors’ product offering that directly infringes our strategic patents. The patent infringement also has had a material adverse effect on our revenue from ClearOne’s other products like wireless microphones, ceiling microphones and video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revenues in the near term may be materially adversely affected by the resignation of a large US distributor in June 2018.</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strength in professional audio visual space is largely due to our industry leading conferencing technologies and the full suite of professional microphone products, especially Beamforming Microphone Arrays. Despite our strong leadership position in the professional audio communications products market, we face challenges to revenue growth due to the infringement of our patents by competitors, the limited size of the market and pricing pressures from new competitors attracted to the commercial market.</w:t>
      </w:r>
    </w:p>
    <w:p>
      <w:pPr>
        <w:spacing w:after="0" w:line="187"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During 2018, revenue from our video products has generally shown lesser decline than revenue from audio conferencing products. However, this is not an identifiable trend given the continuing change in the competitive landscape and also the uncertainty relating to revenue from our core product set due to patent infringement and ensuing litigation. We face intense competition in this market from well-established market leaders as well as emerging players rich with marketing funds. We expect our strategy of combining Spontania, our cloud-based video conferencing product, Collaborate, our appliance-based media collaboration product and our high-end audio conferencing technology to distinguish us from our competitors' product offerings.</w:t>
      </w:r>
    </w:p>
    <w:p>
      <w:pPr>
        <w:spacing w:after="0" w:line="15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derive a large portion of our revenue (about 48%) from international operations and expect this trend to continue in the future. Most of our revenue from outside the U.S. is billed in US Dollars and is not exposed to any significant currency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and six months ended June 30, 2018</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(dollars in thousands) for the three and six months ended June 30, 2018 (“2018-Q2”) ("2018-H1") and 2017 (“2017-Q2”) ("2017-H1"), respectively, together with the percentage of total revenue which each such item represents: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7"/>
          </w:tcPr>
          <w:p>
            <w:pPr>
              <w:jc w:val="right"/>
              <w:ind w:right="1100"/>
              <w:spacing w:after="0"/>
              <w:rPr>
                <w:sz w:val="20"/>
                <w:szCs w:val="20"/>
                <w:color w:val="auto"/>
              </w:rPr>
            </w:pPr>
            <w:r>
              <w:rPr>
                <w:rFonts w:ascii="Arial" w:cs="Arial" w:eastAsia="Arial" w:hAnsi="Arial"/>
                <w:sz w:val="18"/>
                <w:szCs w:val="18"/>
                <w:b w:val="1"/>
                <w:bCs w:val="1"/>
                <w:color w:val="auto"/>
              </w:rPr>
              <w:t>Three months ended June 30,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40" w:type="dxa"/>
            <w:vAlign w:val="bottom"/>
            <w:gridSpan w:val="8"/>
          </w:tcPr>
          <w:p>
            <w:pPr>
              <w:jc w:val="right"/>
              <w:ind w:right="118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Percentage</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Change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2018 vs. 2017</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2018 vs. 2017</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4,242</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9,242</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2,760</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Research and product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2,210</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4,316</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line="201" w:lineRule="exact"/>
              <w:rPr>
                <w:sz w:val="20"/>
                <w:szCs w:val="20"/>
                <w:color w:val="auto"/>
              </w:rPr>
            </w:pPr>
            <w:r>
              <w:rPr>
                <w:rFonts w:ascii="Arial" w:cs="Arial" w:eastAsia="Arial" w:hAnsi="Arial"/>
                <w:sz w:val="18"/>
                <w:szCs w:val="18"/>
                <w:color w:val="auto"/>
              </w:rPr>
              <w:t>Provision for (benefit from)</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(205)</w:t>
            </w:r>
          </w:p>
        </w:tc>
        <w:tc>
          <w:tcPr>
            <w:tcW w:w="14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(161)</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(727)%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decreased by $3.3 million, or 32%, to $7.0 million in 2018-Q2 compared to $10.3 million in 2017-Q2. All product categories witnessed revenue declines with revenue declines of 35%, 15% and 30% for professional audio conferencing, unified communication end points and video products, respectively. The decline in revenue from professional audio conferencing products was mostly due to slower adoption of our Converge Pro 2 platform, largely caused by our competitors’ product offering that we believe directly infringes our strategic patents and due to a decline in licensing revenue. The share of professional audio communications products (which includes microphone products but not premium products) in our product mix declined from 73% in 2017-Q2 to 70% in 2018-Q2. Share of video products revenue during 2018-Q2 remained the same at 16% compared to 2017-Q2 and share of UC end points revenue increased from 11% in 2017-Q2 to 14% in 2018-Q2. During 2018-Q2, revenue declined across all regions except China and Latin America. The revenue declines for Asia Pacific including Middle East, Europe and Africa, and Americas were 16%, 10% and 41%,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 and 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gross profit for 2018-Q2 was approximately $3.3 million or 47% compared to approximately $6.1 million, or 59%, for 2017-Q2. Gross margin for 2018-Q2 declined due to an increase in inventory obsolescence costs, a decline in licensing revenues and reduced overhead absorption into inventory. The proportion of overheads absorbed into inventory has declined due to a sharp decline in our inventory purchasing activity causing increased amounts of overheads to be expensed as against being carried with our inventory. Even though the total overhead spending has not increased, the combination of lower revenues and lower absorption has caused gross margin as a percentage of revenue to decline.</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gross profit for 2018-H1 was approximately $7.3 million or 52% compared to approximately $12.7 million, or 58%, for 2017-H1. Gross margin for 2018-H1 declined due to increased inventory obsolescence costs, a decline in licensing revenues and due to lower absorption of overheads into inventory.</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profitability in the near-term continues to depend significantly on our revenues from professional audio conferencing products. We hold long-term inventory and if we are unable to sell our long-term inventory, our profitability might be affected by inventory write-offs and price mark-downs. Our long-term inventory includes approximately $2.7 million of wireless microphones related finished goods and assemblies, $2.7 million of Converge Pro 2 products and about $1.1 million of raw materials that will be used for manufacturing professional audio conferencing products. Any business changes that are adverse to these product lines could potentially impact our ability to sell these long-term inventory in addition to our current inventory.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include sales and marketing (“S&amp;M”) expenses, research and product development (“R&amp;D”) expenses and general and administrative (“G&amp;A”) expenses. Total operating expenses were $6.2 million for 2018-Q2 compared to $7.2 million for 2017-Q2. Total operating expenses for 2018-H1 were $12.8 million compared to $14.4 million for 2017-H1. The following contains a more detailed discussion of expenses related to sales and marketing, research and product development, general and administrative, and other items.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S&amp;M expenses for 2018-Q2 increased to $2.8 million from $2.6 million for 2017-Q2. The increase was mainly due to an increase in employee related costs partially offset by a decline in tradeshow related expenses. S&amp;M expenses for 2018-H1 increased to $5.6 million from $5.4 million for 2017-H1. The increase was mainly due to an increase in employee related costs including commissions and an increase in marketing expenses.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 related costs, outside services, expensed materials, depreciation, and an allocation of overhead expenses.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R&amp;D expenses were approximately $1.9 million for 2018-Q2, as compared to $2.3 million for 2017-Q2. The decrease was primarily due to reductions in project related expenses and employee costs related to salaries and benefits. R&amp;D expenses were approximately $4.0 million for 2018-H1, as compared to $4.7 million for 2017-H1. The decrease was primarily due to reductions in project related expenses and employee costs related to salaries and benefits.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finance and human resources.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G&amp;A expenses decreased approximately 30% to $1.5 million for 2018-Q2 compared with approximately $2.2 million in 2017-Q2. The reduction was primarily due to the decrease in legal costs and employee costs related to salaries and benefits. Legal expenses in 2018-Q2 reduced mostly because of capitalization of legal costs related to our defense of strategic patents from infringement amounting to $1.1 million. No legal expenses were capitalized in 2017-Q2.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G&amp;A expenses in 2018-H1 was $3.2 million compared to $4.3 million in 2017-H1. The decline of approximately 27% was primarily due to the decrease in legal costs and employee costs related to salaries and benefits. Legal expenses in 2018-H1 reduced mostly because of capitalization of legal costs related to our defense of strategic patents from infringement amounting to $2.4 million. No legal expenses were capitalized in 2017-H1.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income, interest expense, and foreign currency changes.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reduced in 2018-Q2 and 2018-H1 due to reduction in interest income caused by decline in the investment holdings and due to higher realized losses on liquidated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six months ended June 30, 2018, we accrued income taxes at the forecasted effective tax benefit rate of 26.8% as compared to the forecasted effective tax rate of 127% used during the six months ended June 30, 2017. The 100.2% decrease in the forecasted effective tax rate was primarily due to the reduction in U.S. federal corporate tax rates as a result of the enactment of the Tax Cuts and Jobs Act and losses in certain foreign jurisdictions which cannot be benefited, which had a greater impact on the effective rate in 2017 due to differences in forecasted income as compared to 2018. In addition, a discrete tax expense of $64 thousand is primarily attributable to changes in income tax reserves related to an income tax audit in Hong Kong.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our cash and cash equivalents were approximately $4.1 compared to $5.6 million as of December 31, 2017. Our working capital was $23.2 million and $23.3 million as of June 30, 2018 and December 31, 2017,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$1.9 million for the six months ended June 30, 2018, a decrease of cash used of approximately $2.8 million from $4.7 million of cash used in operating activities in the six months ended June 30, 2018. The decrease in cash used was primarily due to an increase in cash inflows due to change in operating assets and liabilities of $6.1 million partially offset by an increase in net loss by $2.7 million and decrease in non-cash charges of $0.6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was $1.1 million for the six months ended June 30, 2018 compared to net cash flows provided by investing activities of $49 thousand during the six months ended June 30, 2018, an increase in cash provided of $1.1 million. The increase was primarily due to an increase in proceeds from marketable securities net of purchases of approximately $3.1 million, partially offset by $2.4 million in capitalization of patent defense costs.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i w:val="1"/>
          <w:iCs w:val="1"/>
          <w:color w:val="auto"/>
        </w:rPr>
        <w:t>Capitalization of patent defense costs</w:t>
      </w:r>
      <w:r>
        <w:rPr>
          <w:rFonts w:ascii="Arial" w:cs="Arial" w:eastAsia="Arial" w:hAnsi="Arial"/>
          <w:sz w:val="17"/>
          <w:szCs w:val="17"/>
          <w:color w:val="auto"/>
        </w:rPr>
        <w:t>. We capitalize external legal costs incurred in the defense of our patents when we believe that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discernible increase in value will result from the defense and a successful outcome of the legal action is probable. When we capitalize patent defense costs we amortize the costs over the remaining estimated useful life of the patent, which is 15 to 17 years. During the six months ended June 30, 2018 we spent $2.4 million of legal costs related to the defense of our patents and capitalized the entire amount.</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Net cash used in financing activities was approximately $0.7 million during the six months ended June 30, 2018, which consisted of cash outflows of $0.1 million on repurchase and cancellation of stock and $0.6 million for dividend payments. Net cash used in financing activities was approximately $4.2 million during the six months ended June 30, 2017, which consisted of cash outflows of $3.2 million on repurchase and cancellation of stock and stock options and $1.1 million for dividend payments.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incurred approximately $6.2 million from 2016 through June 30, 2018 towards this litigation and may be required to incur more to continue to enforce our patents. We have been actively engaged in preserving cash by suspending our dividend program, allowing the share repurchase program to expire and implementing company-wide cost reduction measures. In addition, we expect to generate additional cash as our inventory levels are brought down to historical levels. We also believe, although there can be no assurance, that the measures taken by us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although there can be no assurance that we would be able to do so on terms that are acceptable to us or at all. In addition to capital expenditures, we may use cash in the near future for selective infusions of technology, sales and marketing, infrastructure, and other investments to fuel our growth.</w:t>
      </w:r>
    </w:p>
    <w:p>
      <w:pPr>
        <w:spacing w:after="0" w:line="178"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At June 30, 2018, we had open purchase orders related to our electronics manufacturing service providers of approximately $2.0 million, primarily related to inventory purchases.</w:t>
      </w:r>
    </w:p>
    <w:p>
      <w:pPr>
        <w:spacing w:after="0" w:line="170"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At June 30, 2018, we had inventory totaling $22.7 million, of which non-current inventory accounted for $8.4 million. This compares to total inventories of $24.7 million and non-current inventory of $8.7 million as of December 31, 2017. Our non-current inventory includes approximately $2.7 million of wireless microphones related finished goods and assemblies, $2.7 million of Converge Pro 2 products and about $1.1 million of raw materials that will be used for manufacturing professional audio conferencing products. Any business changes that are adverse to these product lines could potentially impact our ability to sell these long-term inventory in addition to our current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Except with respect to our revenue recognition practices included in Note 1. “Business Description, Basis of Presentation and Significant Accounting Policies” under Item 1 of this Form 10-Q, there have been no changes to the critical accounting policies as explained in our 2017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For a discussion of recent accounting pronouncements, see Note 3: “Recent Accounting Pronouncements” in the notes to our unaudited consolidated financial statements included under Item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evaluation of the effectiveness of our disclosure controls and procedures (as defined in Rules 13a-15(e) and 15d-15(e) of the Exchange Act) as of June 30, 2018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were not effective at a reasonable assurance level as of June 30, 2018 due to the material weakness in internal control over financial reporting as described below.</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identified a material weakness in the operating effectiveness of internal control over financial reporting relating to the accurate and timely reporting of its financial results and disclosures and its testing and assessment of the design and effectiveness of internal controls over financial reporting in a timely manner.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address the material weakness, management is working with our third party internal controls consultant to assist with the implementation of a remediation plan which will supplement the existing controls. The remediation plan will include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noted above, there has been no change in the Company's internal control over financial reporting as of June 30, 2018,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developments in the legal proceedings described in our Annual Report on Form 10-K for the year ended December 31,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included in our Annual Report on Form 10-K for the fiscal year ended December 31, 2017.</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18" w:right="37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18"/>
                <w:szCs w:val="18"/>
                <w:color w:val="auto"/>
              </w:rPr>
            </w:pPr>
          </w:p>
        </w:tc>
        <w:tc>
          <w:tcPr>
            <w:tcW w:w="10520" w:type="dxa"/>
            <w:vAlign w:val="bottom"/>
            <w:gridSpan w:val="4"/>
          </w:tcPr>
          <w:p>
            <w:pPr>
              <w:spacing w:after="0"/>
              <w:rPr>
                <w:sz w:val="20"/>
                <w:szCs w:val="20"/>
                <w:color w:val="auto"/>
              </w:rPr>
            </w:pPr>
            <w:r>
              <w:rPr>
                <w:rFonts w:ascii="Arial" w:cs="Arial" w:eastAsia="Arial" w:hAnsi="Arial"/>
                <w:sz w:val="18"/>
                <w:szCs w:val="18"/>
                <w:b w:val="1"/>
                <w:bCs w:val="1"/>
                <w:color w:val="auto"/>
              </w:rPr>
              <w:t>Title of Document</w:t>
            </w:r>
          </w:p>
        </w:tc>
      </w:tr>
      <w:tr>
        <w:trPr>
          <w:trHeight w:val="234"/>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r>
      <w:tr>
        <w:trPr>
          <w:trHeight w:val="385"/>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Section 302</w:t>
              </w:r>
            </w:hyperlink>
          </w:p>
        </w:tc>
        <w:tc>
          <w:tcPr>
            <w:tcW w:w="9640" w:type="dxa"/>
            <w:vAlign w:val="bottom"/>
            <w:gridSpan w:val="3"/>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Certification of Chief Executive Officer (filed herewith)</w:t>
              </w:r>
            </w:hyperlink>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Section 302</w:t>
              </w:r>
            </w:hyperlink>
          </w:p>
        </w:tc>
        <w:tc>
          <w:tcPr>
            <w:tcW w:w="9640" w:type="dxa"/>
            <w:vAlign w:val="bottom"/>
            <w:gridSpan w:val="3"/>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of Principal Financial Officer (filed herewith)</w:t>
              </w:r>
            </w:hyperlink>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880" w:type="dxa"/>
            <w:vAlign w:val="bottom"/>
            <w:tcBorders>
              <w:top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Section 906</w:t>
              </w:r>
            </w:hyperlink>
          </w:p>
        </w:tc>
        <w:tc>
          <w:tcPr>
            <w:tcW w:w="4260" w:type="dxa"/>
            <w:vAlign w:val="bottom"/>
            <w:tcBorders>
              <w:top w:val="single" w:sz="8" w:color="0000EE"/>
            </w:tcBorders>
            <w:gridSpan w:val="2"/>
          </w:tcPr>
          <w:p>
            <w:pPr>
              <w:ind w:left="20"/>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Certification of Chief Executive Officer (filed herewith)</w:t>
              </w:r>
            </w:hyperlink>
          </w:p>
        </w:tc>
        <w:tc>
          <w:tcPr>
            <w:tcW w:w="538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88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Section 906</w:t>
              </w:r>
            </w:hyperlink>
          </w:p>
        </w:tc>
        <w:tc>
          <w:tcPr>
            <w:tcW w:w="9640" w:type="dxa"/>
            <w:vAlign w:val="bottom"/>
            <w:gridSpan w:val="3"/>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Certification of Principal Financial Officer (filed herewith)</w:t>
              </w:r>
            </w:hyperlink>
          </w:p>
        </w:tc>
      </w:tr>
      <w:tr>
        <w:trPr>
          <w:trHeight w:val="453"/>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51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 (filed herewith)</w:t>
            </w:r>
          </w:p>
        </w:tc>
        <w:tc>
          <w:tcPr>
            <w:tcW w:w="538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105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32"/>
        </w:trPr>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ind w:left="3840"/>
              <w:spacing w:after="0"/>
              <w:rPr>
                <w:sz w:val="20"/>
                <w:szCs w:val="20"/>
                <w:color w:val="auto"/>
              </w:rPr>
            </w:pPr>
            <w:r>
              <w:rPr>
                <w:rFonts w:ascii="Arial" w:cs="Arial" w:eastAsia="Arial" w:hAnsi="Arial"/>
                <w:sz w:val="18"/>
                <w:szCs w:val="18"/>
                <w:color w:val="auto"/>
                <w:w w:val="99"/>
              </w:rPr>
              <w:t>20</w:t>
            </w: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40" w:right="14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8060" w:type="dxa"/>
            <w:vAlign w:val="bottom"/>
            <w:gridSpan w:val="2"/>
          </w:tcPr>
          <w:p>
            <w:pPr>
              <w:ind w:left="2460"/>
              <w:spacing w:after="0"/>
              <w:rPr>
                <w:sz w:val="20"/>
                <w:szCs w:val="20"/>
                <w:color w:val="auto"/>
              </w:rPr>
            </w:pPr>
            <w:r>
              <w:rPr>
                <w:rFonts w:ascii="Arial" w:cs="Arial" w:eastAsia="Arial" w:hAnsi="Arial"/>
                <w:sz w:val="18"/>
                <w:szCs w:val="18"/>
                <w:color w:val="auto"/>
              </w:rPr>
              <w:t>ClearOne, Inc.,</w:t>
            </w:r>
          </w:p>
        </w:tc>
      </w:tr>
      <w:tr>
        <w:trPr>
          <w:trHeight w:val="230"/>
        </w:trPr>
        <w:tc>
          <w:tcPr>
            <w:tcW w:w="3360" w:type="dxa"/>
            <w:vAlign w:val="bottom"/>
          </w:tcPr>
          <w:p>
            <w:pPr>
              <w:spacing w:after="0"/>
              <w:rPr>
                <w:sz w:val="20"/>
                <w:szCs w:val="20"/>
                <w:color w:val="auto"/>
              </w:rPr>
            </w:pPr>
          </w:p>
        </w:tc>
        <w:tc>
          <w:tcPr>
            <w:tcW w:w="8060" w:type="dxa"/>
            <w:vAlign w:val="bottom"/>
            <w:gridSpan w:val="2"/>
          </w:tcPr>
          <w:p>
            <w:pPr>
              <w:ind w:left="2460"/>
              <w:spacing w:after="0"/>
              <w:rPr>
                <w:sz w:val="20"/>
                <w:szCs w:val="20"/>
                <w:color w:val="auto"/>
              </w:rPr>
            </w:pPr>
            <w:r>
              <w:rPr>
                <w:rFonts w:ascii="Arial" w:cs="Arial" w:eastAsia="Arial" w:hAnsi="Arial"/>
                <w:sz w:val="18"/>
                <w:szCs w:val="18"/>
                <w:color w:val="auto"/>
              </w:rPr>
              <w:t>(Registrant)</w:t>
            </w:r>
          </w:p>
        </w:tc>
      </w:tr>
      <w:tr>
        <w:trPr>
          <w:trHeight w:val="432"/>
        </w:trPr>
        <w:tc>
          <w:tcPr>
            <w:tcW w:w="3360" w:type="dxa"/>
            <w:vAlign w:val="bottom"/>
          </w:tcPr>
          <w:p>
            <w:pPr>
              <w:spacing w:after="0"/>
              <w:rPr>
                <w:sz w:val="24"/>
                <w:szCs w:val="24"/>
                <w:color w:val="auto"/>
              </w:rPr>
            </w:pPr>
          </w:p>
        </w:tc>
        <w:tc>
          <w:tcPr>
            <w:tcW w:w="8060" w:type="dxa"/>
            <w:vAlign w:val="bottom"/>
            <w:gridSpan w:val="2"/>
          </w:tcPr>
          <w:p>
            <w:pPr>
              <w:ind w:left="2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August 9, 2018</w:t>
            </w:r>
          </w:p>
        </w:tc>
        <w:tc>
          <w:tcPr>
            <w:tcW w:w="28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360" w:type="dxa"/>
            <w:vAlign w:val="bottom"/>
          </w:tcPr>
          <w:p>
            <w:pPr>
              <w:spacing w:after="0"/>
              <w:rPr>
                <w:sz w:val="24"/>
                <w:szCs w:val="24"/>
                <w:color w:val="auto"/>
              </w:rPr>
            </w:pPr>
          </w:p>
        </w:tc>
        <w:tc>
          <w:tcPr>
            <w:tcW w:w="8060" w:type="dxa"/>
            <w:vAlign w:val="bottom"/>
            <w:gridSpan w:val="2"/>
          </w:tcPr>
          <w:p>
            <w:pPr>
              <w:ind w:left="2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August 9, 2018</w:t>
            </w:r>
          </w:p>
        </w:tc>
        <w:tc>
          <w:tcPr>
            <w:tcW w:w="28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432"/>
        </w:trPr>
        <w:tc>
          <w:tcPr>
            <w:tcW w:w="3360" w:type="dxa"/>
            <w:vAlign w:val="bottom"/>
          </w:tcPr>
          <w:p>
            <w:pPr>
              <w:spacing w:after="0"/>
              <w:rPr>
                <w:sz w:val="24"/>
                <w:szCs w:val="24"/>
                <w:color w:val="auto"/>
              </w:rPr>
            </w:pPr>
          </w:p>
        </w:tc>
        <w:tc>
          <w:tcPr>
            <w:tcW w:w="2820" w:type="dxa"/>
            <w:vAlign w:val="bottom"/>
          </w:tcPr>
          <w:p>
            <w:pPr>
              <w:ind w:left="2260"/>
              <w:spacing w:after="0"/>
              <w:rPr>
                <w:sz w:val="20"/>
                <w:szCs w:val="20"/>
                <w:color w:val="auto"/>
              </w:rPr>
            </w:pPr>
            <w:r>
              <w:rPr>
                <w:rFonts w:ascii="Arial" w:cs="Arial" w:eastAsia="Arial" w:hAnsi="Arial"/>
                <w:sz w:val="18"/>
                <w:szCs w:val="18"/>
                <w:color w:val="auto"/>
              </w:rPr>
              <w:t>21</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2018</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5" w:lineRule="exact"/>
        <w:rPr>
          <w:rFonts w:ascii="Arial" w:cs="Arial" w:eastAsia="Arial" w:hAnsi="Arial"/>
          <w:sz w:val="18"/>
          <w:szCs w:val="18"/>
          <w:color w:val="auto"/>
        </w:rPr>
      </w:pPr>
    </w:p>
    <w:p>
      <w:pPr>
        <w:ind w:left="200" w:hanging="192"/>
        <w:spacing w:after="0" w:line="342" w:lineRule="auto"/>
        <w:tabs>
          <w:tab w:leader="none" w:pos="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00" w:hanging="192"/>
        <w:spacing w:after="0" w:line="264"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280" w:hanging="191"/>
        <w:spacing w:after="0" w:line="264"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200" w:hanging="192"/>
        <w:spacing w:after="0" w:line="277"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hanging="191"/>
        <w:spacing w:after="0" w:line="277" w:lineRule="auto"/>
        <w:tabs>
          <w:tab w:leader="none" w:pos="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2018</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June 30, 2018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2018</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June 30, 2018,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00" w:type="dxa"/>
            <w:vAlign w:val="bottom"/>
            <w:gridSpan w:val="2"/>
          </w:tcPr>
          <w:p>
            <w:pPr>
              <w:ind w:left="23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August 9, 2018</w:t>
            </w:r>
          </w:p>
        </w:tc>
        <w:tc>
          <w:tcPr>
            <w:tcW w:w="26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2019-12-28T19:40:49Z</dcterms:created>
  <dcterms:modified xsi:type="dcterms:W3CDTF">2019-12-28T19:40:49Z</dcterms:modified>
</cp:coreProperties>
</file>