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318135</wp:posOffset>
            </wp:positionV>
            <wp:extent cx="7250430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November 13,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720" w:type="dxa"/>
            <w:vAlign w:val="bottom"/>
          </w:tcPr>
          <w:p>
            <w:pPr>
              <w:jc w:val="right"/>
              <w:ind w:right="4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000-17219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2"/>
        </w:trPr>
        <w:tc>
          <w:tcPr>
            <w:tcW w:w="5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7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41"/>
        </w:trPr>
        <w:tc>
          <w:tcPr>
            <w:tcW w:w="5720" w:type="dxa"/>
            <w:vAlign w:val="bottom"/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5720" w:type="dxa"/>
            <w:vAlign w:val="bottom"/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5700" w:type="dxa"/>
            <w:vAlign w:val="bottom"/>
            <w:gridSpan w:val="4"/>
          </w:tcPr>
          <w:p>
            <w:pPr>
              <w:jc w:val="right"/>
              <w:ind w:right="2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5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230.425)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Pre-commencement communications pursuant to Rule 14d-2(b) under the Exchange Act (17 CFR 240.14d-2(b))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1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Pre-commencement communication pursuant to Rule 13e-4(c) under the Exchange Act (17 CFR 240.13e-4(c))</w:t>
            </w:r>
          </w:p>
        </w:tc>
      </w:tr>
      <w:tr>
        <w:trPr>
          <w:trHeight w:val="36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1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1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510"/>
        </w:trPr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877" w:right="239" w:bottom="1440" w:gutter="0" w:footer="0" w:header="0"/>
        </w:sectPr>
      </w:pPr>
    </w:p>
    <w:bookmarkStart w:id="1" w:name="page2"/>
    <w:bookmarkEnd w:id="1"/>
    <w:p>
      <w:pPr>
        <w:ind w:right="30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November 10, 2008, Marthes Solamuthu no longer served as Vice President of Operations.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13,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A.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A.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220"/>
      </w:cols>
      <w:pgMar w:left="240" w:top="51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2019-12-13T17:38:32Z</dcterms:created>
  <dcterms:modified xsi:type="dcterms:W3CDTF">2019-12-13T17:38:32Z</dcterms:modified>
</cp:coreProperties>
</file>