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0.7699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10,526,657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10,528,357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amended to reflect that the number of share purchased on November 14, 2023 was 30,091 and not 300,091 as erroneously reported in the original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2023-11-22T16:45:47Z</dcterms:created>
  <dcterms:modified xsi:type="dcterms:W3CDTF">2023-11-22T16:45:47Z</dcterms:modified>
</cp:coreProperties>
</file>