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line="236"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TO</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(Amendment No. 2)</w:t>
      </w: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Tender Offer Statement under Section 14(d)(1) or 13(e)(1) of the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CLEARONE COMMUNICATIONS,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Subject Company (Issuer))</w:t>
      </w:r>
    </w:p>
    <w:p>
      <w:pPr>
        <w:spacing w:after="0" w:line="200" w:lineRule="exact"/>
        <w:rPr>
          <w:sz w:val="24"/>
          <w:szCs w:val="24"/>
          <w:color w:val="auto"/>
        </w:rPr>
      </w:pPr>
    </w:p>
    <w:p>
      <w:pPr>
        <w:spacing w:after="0" w:line="250"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CLEARONE COMMUNICATIONS,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Filing Persons (Issuer))</w:t>
      </w:r>
    </w:p>
    <w:p>
      <w:pPr>
        <w:spacing w:after="0" w:line="23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Common Stock, $0.001 Par Value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185060100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(CUSIP Number of Class of Securities)</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Greg A. LeClaire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ClearOne Communications, Inc.</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(801) 975-7200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address, and telephone numbers of person authorized to receive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notices and communications on behalf of filing persons)</w:t>
      </w:r>
    </w:p>
    <w:p>
      <w:pPr>
        <w:spacing w:after="0" w:line="238" w:lineRule="exact"/>
        <w:rPr>
          <w:sz w:val="24"/>
          <w:szCs w:val="24"/>
          <w:color w:val="auto"/>
        </w:rPr>
      </w:pPr>
    </w:p>
    <w:tbl>
      <w:tblPr>
        <w:tblLayout w:type="fixed"/>
        <w:tblInd w:w="117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5920" w:type="dxa"/>
            <w:vAlign w:val="bottom"/>
          </w:tcPr>
          <w:p>
            <w:pPr>
              <w:ind w:left="80"/>
              <w:spacing w:after="0"/>
              <w:rPr>
                <w:sz w:val="20"/>
                <w:szCs w:val="20"/>
                <w:color w:val="auto"/>
              </w:rPr>
            </w:pPr>
            <w:r>
              <w:rPr>
                <w:rFonts w:ascii="Arial" w:cs="Arial" w:eastAsia="Arial" w:hAnsi="Arial"/>
                <w:sz w:val="18"/>
                <w:szCs w:val="18"/>
                <w:color w:val="auto"/>
              </w:rPr>
              <w:t>CALCULATION OF FILING FEE</w:t>
            </w:r>
          </w:p>
        </w:tc>
      </w:tr>
      <w:tr>
        <w:trPr>
          <w:trHeight w:val="250"/>
        </w:trPr>
        <w:tc>
          <w:tcPr>
            <w:tcW w:w="3200" w:type="dxa"/>
            <w:vAlign w:val="bottom"/>
            <w:tcBorders>
              <w:bottom w:val="single" w:sz="8" w:color="auto"/>
            </w:tcBorders>
          </w:tcPr>
          <w:p>
            <w:pPr>
              <w:spacing w:after="0"/>
              <w:rPr>
                <w:sz w:val="21"/>
                <w:szCs w:val="21"/>
                <w:color w:val="auto"/>
              </w:rPr>
            </w:pPr>
          </w:p>
        </w:tc>
        <w:tc>
          <w:tcPr>
            <w:tcW w:w="5920" w:type="dxa"/>
            <w:vAlign w:val="bottom"/>
            <w:tcBorders>
              <w:bottom w:val="single" w:sz="8" w:color="auto"/>
            </w:tcBorders>
          </w:tcPr>
          <w:p>
            <w:pPr>
              <w:spacing w:after="0"/>
              <w:rPr>
                <w:sz w:val="21"/>
                <w:szCs w:val="21"/>
                <w:color w:val="auto"/>
              </w:rPr>
            </w:pPr>
          </w:p>
        </w:tc>
      </w:tr>
      <w:tr>
        <w:trPr>
          <w:trHeight w:val="243"/>
        </w:trPr>
        <w:tc>
          <w:tcPr>
            <w:tcW w:w="3200" w:type="dxa"/>
            <w:vAlign w:val="bottom"/>
            <w:tcBorders>
              <w:left w:val="single" w:sz="8" w:color="auto"/>
            </w:tcBorders>
          </w:tcPr>
          <w:p>
            <w:pPr>
              <w:jc w:val="center"/>
              <w:ind w:left="1290"/>
              <w:spacing w:after="0"/>
              <w:rPr>
                <w:sz w:val="20"/>
                <w:szCs w:val="20"/>
                <w:color w:val="auto"/>
              </w:rPr>
            </w:pPr>
            <w:r>
              <w:rPr>
                <w:rFonts w:ascii="Arial" w:cs="Arial" w:eastAsia="Arial" w:hAnsi="Arial"/>
                <w:sz w:val="18"/>
                <w:szCs w:val="18"/>
                <w:color w:val="auto"/>
                <w:w w:val="91"/>
              </w:rPr>
              <w:t>Transaction Valuation*</w:t>
            </w:r>
          </w:p>
        </w:tc>
        <w:tc>
          <w:tcPr>
            <w:tcW w:w="5920" w:type="dxa"/>
            <w:vAlign w:val="bottom"/>
            <w:tcBorders>
              <w:right w:val="single" w:sz="8" w:color="auto"/>
            </w:tcBorders>
          </w:tcPr>
          <w:p>
            <w:pPr>
              <w:jc w:val="center"/>
              <w:ind w:left="1250"/>
              <w:spacing w:after="0"/>
              <w:rPr>
                <w:sz w:val="20"/>
                <w:szCs w:val="20"/>
                <w:color w:val="auto"/>
              </w:rPr>
            </w:pPr>
            <w:r>
              <w:rPr>
                <w:rFonts w:ascii="Arial" w:cs="Arial" w:eastAsia="Arial" w:hAnsi="Arial"/>
                <w:sz w:val="18"/>
                <w:szCs w:val="18"/>
                <w:color w:val="auto"/>
                <w:w w:val="96"/>
              </w:rPr>
              <w:t>Amount of Filing Fee**</w:t>
            </w:r>
          </w:p>
        </w:tc>
      </w:tr>
      <w:tr>
        <w:trPr>
          <w:trHeight w:val="270"/>
        </w:trPr>
        <w:tc>
          <w:tcPr>
            <w:tcW w:w="3200" w:type="dxa"/>
            <w:vAlign w:val="bottom"/>
            <w:tcBorders>
              <w:left w:val="single" w:sz="8" w:color="auto"/>
            </w:tcBorders>
          </w:tcPr>
          <w:p>
            <w:pPr>
              <w:jc w:val="right"/>
              <w:ind w:right="370"/>
              <w:spacing w:after="0"/>
              <w:rPr>
                <w:sz w:val="20"/>
                <w:szCs w:val="20"/>
                <w:color w:val="auto"/>
              </w:rPr>
            </w:pPr>
            <w:r>
              <w:rPr>
                <w:rFonts w:ascii="Arial" w:cs="Arial" w:eastAsia="Arial" w:hAnsi="Arial"/>
                <w:sz w:val="18"/>
                <w:szCs w:val="18"/>
                <w:color w:val="auto"/>
              </w:rPr>
              <w:t>$10,000,000</w:t>
            </w:r>
          </w:p>
        </w:tc>
        <w:tc>
          <w:tcPr>
            <w:tcW w:w="5920" w:type="dxa"/>
            <w:vAlign w:val="bottom"/>
            <w:tcBorders>
              <w:right w:val="single" w:sz="8" w:color="auto"/>
            </w:tcBorders>
          </w:tcPr>
          <w:p>
            <w:pPr>
              <w:jc w:val="right"/>
              <w:ind w:right="2030"/>
              <w:spacing w:after="0"/>
              <w:rPr>
                <w:sz w:val="20"/>
                <w:szCs w:val="20"/>
                <w:color w:val="auto"/>
              </w:rPr>
            </w:pPr>
            <w:r>
              <w:rPr>
                <w:rFonts w:ascii="Arial" w:cs="Arial" w:eastAsia="Arial" w:hAnsi="Arial"/>
                <w:sz w:val="18"/>
                <w:szCs w:val="18"/>
                <w:color w:val="auto"/>
              </w:rPr>
              <w:t>$393</w:t>
            </w:r>
          </w:p>
        </w:tc>
      </w:tr>
      <w:tr>
        <w:trPr>
          <w:trHeight w:val="34"/>
        </w:trPr>
        <w:tc>
          <w:tcPr>
            <w:tcW w:w="3200" w:type="dxa"/>
            <w:vAlign w:val="bottom"/>
            <w:tcBorders>
              <w:left w:val="single" w:sz="8" w:color="auto"/>
              <w:bottom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4"/>
          <w:szCs w:val="24"/>
          <w:color w:val="auto"/>
        </w:rPr>
      </w:pPr>
    </w:p>
    <w:p>
      <w:pPr>
        <w:ind w:left="500" w:hanging="492"/>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the purpose of determining the amount of the filing fee, based on the purchase of 2,000,000 shares of Common Stock, par value $.001, at the maximum tender offer price of $5.00 per share.</w:t>
      </w:r>
    </w:p>
    <w:p>
      <w:pPr>
        <w:spacing w:after="0" w:line="197" w:lineRule="exact"/>
        <w:rPr>
          <w:sz w:val="24"/>
          <w:szCs w:val="24"/>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at $39.30 per $1,000,000 of the Transaction Valuation.</w:t>
      </w:r>
    </w:p>
    <w:p>
      <w:pPr>
        <w:spacing w:after="0" w:line="252" w:lineRule="exact"/>
        <w:rPr>
          <w:sz w:val="24"/>
          <w:szCs w:val="24"/>
          <w:color w:val="auto"/>
        </w:rPr>
      </w:pPr>
    </w:p>
    <w:p>
      <w:pPr>
        <w:ind w:left="500" w:right="46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240"/>
          </w:cols>
          <w:pgMar w:left="240" w:top="306" w:right="419" w:bottom="1440" w:gutter="0" w:footer="0" w:header="0"/>
        </w:sectPr>
      </w:pPr>
    </w:p>
    <w:p>
      <w:pPr>
        <w:spacing w:after="0" w:line="197" w:lineRule="exact"/>
        <w:rPr>
          <w:sz w:val="24"/>
          <w:szCs w:val="24"/>
          <w:color w:val="auto"/>
        </w:rPr>
      </w:pPr>
    </w:p>
    <w:p>
      <w:pPr>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Form or Registration No.:</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Filing Party: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$393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Schedule 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ClearOne Communications, Inc.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August 18, 2008</w:t>
      </w:r>
    </w:p>
    <w:p>
      <w:pPr>
        <w:spacing w:after="0" w:line="200" w:lineRule="exact"/>
        <w:rPr>
          <w:sz w:val="24"/>
          <w:szCs w:val="24"/>
          <w:color w:val="auto"/>
        </w:rPr>
      </w:pPr>
    </w:p>
    <w:p>
      <w:pPr>
        <w:sectPr>
          <w:pgSz w:w="11900" w:h="16838" w:orient="portrait"/>
          <w:cols w:equalWidth="0" w:num="2">
            <w:col w:w="2160" w:space="720"/>
            <w:col w:w="8360"/>
          </w:cols>
          <w:pgMar w:left="240" w:top="306" w:right="419" w:bottom="1440" w:gutter="0" w:footer="0" w:header="0"/>
          <w:type w:val="continuous"/>
        </w:sectPr>
      </w:pPr>
    </w:p>
    <w:p>
      <w:pPr>
        <w:spacing w:after="0" w:line="38" w:lineRule="exact"/>
        <w:rPr>
          <w:sz w:val="24"/>
          <w:szCs w:val="24"/>
          <w:color w:val="auto"/>
        </w:rPr>
      </w:pPr>
    </w:p>
    <w:p>
      <w:pPr>
        <w:ind w:right="2080" w:firstLine="8"/>
        <w:spacing w:after="0" w:line="513" w:lineRule="auto"/>
        <w:tabs>
          <w:tab w:leader="none" w:pos="3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 to which the statement relates:</w:t>
      </w:r>
    </w:p>
    <w:p>
      <w:pPr>
        <w:spacing w:after="0" w:line="33"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25" w:lineRule="exact"/>
        <w:rPr>
          <w:sz w:val="24"/>
          <w:szCs w:val="24"/>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issuer tender offer subject to Rule 13e-4.</w:t>
      </w:r>
    </w:p>
    <w:p>
      <w:pPr>
        <w:spacing w:after="0" w:line="2" w:lineRule="exact"/>
        <w:rPr>
          <w:sz w:val="24"/>
          <w:szCs w:val="24"/>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06" w:right="4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This Amendment No. 2 (this “Amendment”) amends the Schedule TO originally filed with the Securities and Exchange Commission on August 18, 2008, by ClearOne Communications, Inc.,(the “Company”), relating to the offer by the Company to purchase up to 2,000,000 shares of its common stock, par value $0.001 per share, at a price not greater than $5.00 nor less than $4.00 per share, net to the seller in cash, less any applicable withholding taxes and without interest, upon the terms and subject to the conditions set forth in the Offer to Purchase dated August 18, 2008 (the “Offer to Purchase”), and in the Letter of Transmittal (the “Letter of Transmittal”) (which, together with any supplements and amendments thereto, collectively constitute the “Tender Offer”).</w:t>
      </w:r>
    </w:p>
    <w:p>
      <w:pPr>
        <w:spacing w:after="0" w:line="18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The information in the Tender Offer, including all schedules and annexes thereto, which was previously filed with the Schedule TO, is hereby expressly incorporated by reference into this Amendment, except that such information is hereby amended to the extent specifically provided herein.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Item 11 of the Schedule TO is hereby amended and supplemented by adding the following:</w:t>
      </w:r>
    </w:p>
    <w:p>
      <w:pPr>
        <w:spacing w:after="0" w:line="25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On September 17, 2008, the Company issued a press release announcing the preliminary results of the Tender Offer, which expired at 12:00 midnight, Eastern time, on September 16, 2008. A copy of the press release is filed as Exhibit (a)(5)(B) to this Schedule TO and is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hereby amended by adding the following exhibit:</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(a)(5)(B)</w:t>
      </w:r>
      <w:r>
        <w:rPr>
          <w:sz w:val="20"/>
          <w:szCs w:val="20"/>
          <w:color w:val="auto"/>
        </w:rPr>
        <w:tab/>
      </w:r>
      <w:r>
        <w:rPr>
          <w:rFonts w:ascii="Arial" w:cs="Arial" w:eastAsia="Arial" w:hAnsi="Arial"/>
          <w:sz w:val="18"/>
          <w:szCs w:val="18"/>
          <w:color w:val="auto"/>
        </w:rPr>
        <w:t>Press Release, dated September 17, 2008, announcing preliminary results of the Tender Offer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After due inquiry and to the best of my knowledge and belief, I certify that the information set forth in this statement is true, complete and correct.</w:t>
      </w:r>
    </w:p>
    <w:p>
      <w:pPr>
        <w:spacing w:after="0" w:line="26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CLEARONE COMMUNICATIONS, INC.</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By: /s/ Greg A. LeClaire</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Greg A. LeClaire</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(a)(1)(A)*</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Offer to Purchase, dated August 18,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(a)(1)(B)*</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of Transmittal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(a)(1)(C)*</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Notice of Guaranteed Delivery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(a)(1)(D)*</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to Brokers, Dealers, Commercial Banks, Trust Companies and Other Nominees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(a)(1)(E)*</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(a)(1)(F)*</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to Shareholders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(a)(2)</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(a)(3)</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(a)(4)</w:t>
            </w:r>
          </w:p>
        </w:tc>
        <w:tc>
          <w:tcPr>
            <w:tcW w:w="220" w:type="dxa"/>
            <w:vAlign w:val="bottom"/>
            <w:shd w:val="clear" w:color="auto" w:fill="CCEEFF"/>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(a)(5)(A)*</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Advertisement/Press Release, dated August 11, 2008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1"/>
              </w:rPr>
              <w:t>(a)(5)(B)</w:t>
            </w: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Advertisement/Press Release announcing preliminary results of the Tender Offer, dated September 17, 2008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(b) (A)</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Margin Loan Agreement, dated September 10, 2008, between ClearOne Communications, Inc. and UBS Financial Services, Inc.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380" w:hanging="137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7" w:lineRule="exact"/>
        <w:rPr>
          <w:rFonts w:ascii="Arial" w:cs="Arial" w:eastAsia="Arial" w:hAnsi="Arial"/>
          <w:sz w:val="18"/>
          <w:szCs w:val="18"/>
          <w:color w:val="auto"/>
        </w:rPr>
      </w:pPr>
    </w:p>
    <w:p>
      <w:pPr>
        <w:ind w:left="1380" w:hanging="137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ClearOne Communications, Inc. 2007 Equity Incentive Plan (1)</w:t>
      </w:r>
    </w:p>
    <w:p>
      <w:pPr>
        <w:spacing w:after="0" w:line="9" w:lineRule="exact"/>
        <w:rPr>
          <w:sz w:val="20"/>
          <w:szCs w:val="20"/>
          <w:color w:val="auto"/>
        </w:rPr>
      </w:pPr>
    </w:p>
    <w:p>
      <w:pPr>
        <w:ind w:left="1380" w:hanging="137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ClearOne Communications, Inc. 1998 Stock Option Plan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380" w:hanging="137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ClearOne Communications, Inc. 1997 Employee Stock Purchase Plan (3)</w:t>
      </w:r>
    </w:p>
    <w:p>
      <w:pPr>
        <w:spacing w:after="0" w:line="9" w:lineRule="exact"/>
        <w:rPr>
          <w:rFonts w:ascii="Arial" w:cs="Arial" w:eastAsia="Arial" w:hAnsi="Arial"/>
          <w:sz w:val="18"/>
          <w:szCs w:val="18"/>
          <w:color w:val="auto"/>
        </w:rPr>
      </w:pPr>
    </w:p>
    <w:p>
      <w:pPr>
        <w:ind w:left="1380" w:hanging="137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380" w:hanging="137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380" w:hanging="137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380" w:hanging="1372"/>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 with Schedule TO on August 18, 2008</w:t>
      </w:r>
    </w:p>
    <w:p>
      <w:pPr>
        <w:spacing w:after="0" w:line="9"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4.7 of the Company’s Registration Statement on Form S-8 filed January 22, 2008 (File No. 333-148789).</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4.8 of the Company’s Registration Statement on Form S-8 filed October 6, 2006 (File No. 333-137859).</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to Exhibit 4.9 of the Company’s Registration Statement on Form S-8 filed October 6, 2006 (File No. 333-137859).</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10.20 of the Company’s report on Form 8-K filed September 10,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(a)(5)(B)</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CLRO LOGO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PRESS RELEASE</w:t>
      </w:r>
    </w:p>
    <w:p>
      <w:pPr>
        <w:sectPr>
          <w:pgSz w:w="11900" w:h="16838" w:orient="portrait"/>
          <w:cols w:equalWidth="0" w:num="1">
            <w:col w:w="11360"/>
          </w:cols>
          <w:pgMar w:left="240" w:top="287" w:right="299" w:bottom="1440" w:gutter="0" w:footer="0" w:header="0"/>
        </w:sectPr>
      </w:pPr>
    </w:p>
    <w:p>
      <w:pPr>
        <w:spacing w:after="0" w:line="24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Contacts: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ClearOne Communications,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 303-3555</w:t>
      </w:r>
    </w:p>
    <w:p>
      <w:pPr>
        <w:spacing w:after="0" w:line="200" w:lineRule="exact"/>
        <w:rPr>
          <w:sz w:val="20"/>
          <w:szCs w:val="20"/>
          <w:color w:val="auto"/>
        </w:rPr>
      </w:pPr>
    </w:p>
    <w:p>
      <w:pPr>
        <w:sectPr>
          <w:pgSz w:w="11900" w:h="16838" w:orient="portrait"/>
          <w:cols w:equalWidth="0" w:num="2">
            <w:col w:w="6400" w:space="460"/>
            <w:col w:w="4500"/>
          </w:cols>
          <w:pgMar w:left="240" w:top="287" w:right="299" w:bottom="1440" w:gutter="0" w:footer="0" w:header="0"/>
          <w:type w:val="continuous"/>
        </w:sectPr>
      </w:pP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CLEARONE ANNOUNCES PRELIMINARY RESULTS OF TENDER OFFER</w:t>
      </w:r>
    </w:p>
    <w:p>
      <w:pPr>
        <w:spacing w:after="0" w:line="25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Salt Lake City, UT –September 17, 2008 – </w:t>
      </w:r>
      <w:r>
        <w:rPr>
          <w:rFonts w:ascii="Arial" w:cs="Arial" w:eastAsia="Arial" w:hAnsi="Arial"/>
          <w:sz w:val="18"/>
          <w:szCs w:val="18"/>
          <w:color w:val="auto"/>
        </w:rPr>
        <w:t>ClearOne (NASDAQ: CLRO) today announced the preliminary results of its modified Dutch auction tender</w:t>
      </w:r>
      <w:r>
        <w:rPr>
          <w:rFonts w:ascii="Arial" w:cs="Arial" w:eastAsia="Arial" w:hAnsi="Arial"/>
          <w:sz w:val="18"/>
          <w:szCs w:val="18"/>
          <w:b w:val="1"/>
          <w:bCs w:val="1"/>
          <w:color w:val="auto"/>
        </w:rPr>
        <w:t xml:space="preserve"> </w:t>
      </w:r>
      <w:r>
        <w:rPr>
          <w:rFonts w:ascii="Arial" w:cs="Arial" w:eastAsia="Arial" w:hAnsi="Arial"/>
          <w:sz w:val="18"/>
          <w:szCs w:val="18"/>
          <w:color w:val="auto"/>
        </w:rPr>
        <w:t>offer, which expired at 12:00 midnight, Eastern Time, on Tuesday, September 16, 2008.</w:t>
      </w:r>
    </w:p>
    <w:p>
      <w:pPr>
        <w:spacing w:after="0" w:line="19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Based on the preliminary count by the depositary for the tender offer, ClearOne expects to acquire approximately 1,344,000 shares of its common stock at a price of $5.00 per share for a total cost of approximately $6.8 million. These shares represent approximately 13 percent of the shares outstanding. Final results for the tender offer will be determined subject to confirmation by the depositary of the proper delivery of the shares validly tendered and not withdrawn. The actual number of shares to be purchased will be announced following the completion of the confirmation process. Payment for the shares accepted for purchase will occur promptly thereafter.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287"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x"/>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x"/>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2019-12-13T18:05:15Z</dcterms:created>
  <dcterms:modified xsi:type="dcterms:W3CDTF">2019-12-13T18:05:15Z</dcterms:modified>
</cp:coreProperties>
</file>