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17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AND EXCHANGE COMMISSION</w:t>
      </w:r>
    </w:p>
    <w:p>
      <w:pPr>
        <w:jc w:val="center"/>
        <w:ind w:right="177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Washington, D.C. 20549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38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8-K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ind w:right="16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CURRENT REPORT Pursuant</w:t>
      </w:r>
    </w:p>
    <w:p>
      <w:pPr>
        <w:jc w:val="center"/>
        <w:ind w:right="167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Section 13 OR 15(d) of</w:t>
      </w:r>
    </w:p>
    <w:p>
      <w:pPr>
        <w:ind w:left="2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1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 of report (Date of earliest event reported):</w:t>
      </w:r>
    </w:p>
    <w:p>
      <w:pPr>
        <w:ind w:left="24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4, 2005 (February 28, 2005)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jc w:val="center"/>
        <w:ind w:right="16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ClearOne Communications, Inc.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17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(Exact Name of Registrant as Specified in Its Charter)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jc w:val="center"/>
        <w:ind w:right="17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Utah</w:t>
      </w:r>
    </w:p>
    <w:p>
      <w:pPr>
        <w:jc w:val="center"/>
        <w:ind w:right="177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(State of Other Jurisdiction of Incorporation)</w:t>
      </w:r>
    </w:p>
    <w:p>
      <w:pPr>
        <w:sectPr>
          <w:pgSz w:w="11900" w:h="16838" w:orient="portrait"/>
          <w:cols w:equalWidth="0" w:num="1">
            <w:col w:w="10219"/>
          </w:cols>
          <w:pgMar w:left="240" w:top="244" w:right="1440" w:bottom="66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1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0-17219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(Commission File Number)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4" w:lineRule="exact"/>
        <w:rPr>
          <w:sz w:val="24"/>
          <w:szCs w:val="24"/>
          <w:color w:val="auto"/>
        </w:rPr>
      </w:pPr>
    </w:p>
    <w:p>
      <w:pPr>
        <w:jc w:val="center"/>
        <w:ind w:right="18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87-0398877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17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(IRS Employer Identification No.)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240" w:space="720"/>
            <w:col w:w="5259"/>
          </w:cols>
          <w:pgMar w:left="240" w:top="244" w:right="1440" w:bottom="660" w:gutter="0" w:footer="0" w:header="0"/>
          <w:type w:val="continuous"/>
        </w:sect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jc w:val="center"/>
        <w:ind w:right="10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1825 Research Way,</w:t>
      </w:r>
    </w:p>
    <w:p>
      <w:pPr>
        <w:jc w:val="center"/>
        <w:ind w:right="10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Salt Lake City, Utah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center"/>
        <w:ind w:right="10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(Address of Principal Executive Offices)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3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84119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(Zip Code)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5300" w:space="720"/>
            <w:col w:w="4199"/>
          </w:cols>
          <w:pgMar w:left="240" w:top="244" w:right="1440" w:bottom="660" w:gutter="0" w:footer="0" w:header="0"/>
          <w:type w:val="continuous"/>
        </w:sect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jc w:val="center"/>
        <w:ind w:right="17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(801) 975-7200</w:t>
      </w:r>
    </w:p>
    <w:p>
      <w:pPr>
        <w:jc w:val="center"/>
        <w:ind w:right="16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(Registrant's Telephone Number, Including Zip Code)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1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(Former Name or Former Address, if Changed Since Last Report)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right="1879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provisions: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420" w:right="1779" w:hanging="420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 ] Written communications pursuant to Rule 425 under the Securities Act (17 CFR 230.425)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20" w:right="1999" w:hanging="412"/>
        <w:spacing w:after="0" w:line="235" w:lineRule="auto"/>
        <w:tabs>
          <w:tab w:leader="none" w:pos="209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Soliciting material pursuant to Rule 14a-12 under the Exchange Act (17 CFR 240.14a-12)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20" w:right="1779" w:hanging="412"/>
        <w:spacing w:after="0" w:line="235" w:lineRule="auto"/>
        <w:tabs>
          <w:tab w:leader="none" w:pos="209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Pre-commencement communications pursuant to Rule 14d-2(b) under the Exchange Act (17 CFR 240.14d-2(b))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20" w:right="1879" w:hanging="412"/>
        <w:spacing w:after="0" w:line="235" w:lineRule="auto"/>
        <w:tabs>
          <w:tab w:leader="none" w:pos="209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Pre-commencement communication pursuant to Rule 13e-4(c) under the Exchange Act (17 CFR 240.13e-4(c))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5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1.01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Entry into a Material Definitive Agreement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February 28, 2005, ClearOne Communications, Inc. (the "Company")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entered into an agreement with 6351352 Canada Inc., a Canada corporation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("Buyer") to sell to Buyer all of the issued and outstanding stock in the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capital of its Canadian subsidiary, ClearOne Communications of Canada,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("ClearOne Canada"). ClearOne Canada owns all the issued and outstanding stock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Stechyson Electronics Ltd., which conducts business under the name "OM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Video." The Company agreed to sell the stock in ClearOne Canada for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U.S.$1,456,000 plus an earn-out amount ranging from 3%-4% of OM Video's gross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revenues over a five-year period. The cash portion of the purchase price was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satisfied by the delivery of U.S.$25,000 upon execution of the agreement and a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further U.S.$175,000 upon closing of the transaction.. The balance of U.S.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$1,256,000 is payable over a 15-month period, with interest accruing on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unpaid balance at the rate of 5.25% per annum.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5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2.01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Completion of Acquisition or Disposition of Assets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199" w:firstLine="843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March 4, 2005, the Company closed the transaction described above under Item 1.01.</w:t>
      </w:r>
    </w:p>
    <w:p>
      <w:pPr>
        <w:sectPr>
          <w:pgSz w:w="11900" w:h="16838" w:orient="portrait"/>
          <w:cols w:equalWidth="0" w:num="1">
            <w:col w:w="10219"/>
          </w:cols>
          <w:pgMar w:left="240" w:top="244" w:right="1440" w:bottom="660" w:gutter="0" w:footer="0" w:header="0"/>
          <w:type w:val="continuous"/>
        </w:sectPr>
      </w:pPr>
    </w:p>
    <w:bookmarkStart w:id="1" w:name="page2"/>
    <w:bookmarkEnd w:id="1"/>
    <w:p>
      <w:pPr>
        <w:ind w:left="3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SIGNATURES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779" w:firstLine="843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jc w:val="center"/>
        <w:ind w:right="-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CLEARONE COMMUNICATIONS, INC.</w:t>
      </w:r>
    </w:p>
    <w:p>
      <w:pPr>
        <w:sectPr>
          <w:pgSz w:w="11900" w:h="16838" w:orient="portrait"/>
          <w:cols w:equalWidth="0" w:num="1">
            <w:col w:w="10219"/>
          </w:cols>
          <w:pgMar w:left="240" w:top="136" w:right="1440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Date: March 4, 2005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jc w:val="both"/>
        <w:ind w:right="1779" w:hanging="419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By:</w:t>
      </w:r>
      <w:r>
        <w:rPr>
          <w:sz w:val="20"/>
          <w:szCs w:val="20"/>
          <w:color w:val="auto"/>
        </w:rPr>
        <w:t xml:space="preserve"> </w:t>
      </w:r>
      <w:r>
        <w:rPr>
          <w:rFonts w:ascii="Courier New" w:cs="Courier New" w:eastAsia="Courier New" w:hAnsi="Courier New"/>
          <w:sz w:val="18"/>
          <w:szCs w:val="18"/>
          <w:color w:val="auto"/>
        </w:rPr>
        <w:t>/s/ Zeynep Hakimoglu ----------------------------------------- Zeynep Hakimoglu, Chief Executive Officer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400" w:space="720"/>
            <w:col w:w="6099"/>
          </w:cols>
          <w:pgMar w:left="240" w:top="136" w:right="1440" w:bottom="1440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- 2 -</w:t>
      </w:r>
    </w:p>
    <w:sectPr>
      <w:pgSz w:w="11900" w:h="16838" w:orient="portrait"/>
      <w:cols w:equalWidth="0" w:num="1">
        <w:col w:w="10219"/>
      </w:cols>
      <w:pgMar w:left="240" w:top="136" w:right="144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[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["/>
      <w:numFmt w:val="bullet"/>
      <w:start w:val="1"/>
    </w:lvl>
  </w:abstractNum>
  <w:abstractNum w:abstractNumId="2">
    <w:nsid w:val="19495CFF"/>
    <w:multiLevelType w:val="hybridMultilevel"/>
    <w:lvl w:ilvl="0">
      <w:lvlJc w:val="left"/>
      <w:lvlText w:val="[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2019-12-13T17:37:24Z</dcterms:created>
  <dcterms:modified xsi:type="dcterms:W3CDTF">2019-12-13T17:37:24Z</dcterms:modified>
</cp:coreProperties>
</file>