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10,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001-33660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 w:type="dxa"/>
            <w:vAlign w:val="bottom"/>
          </w:tcPr>
          <w:p>
            <w:pPr>
              <w:spacing w:after="0"/>
              <w:rPr>
                <w:sz w:val="19"/>
                <w:szCs w:val="19"/>
                <w:color w:val="auto"/>
              </w:rPr>
            </w:pPr>
          </w:p>
        </w:tc>
        <w:tc>
          <w:tcPr>
            <w:tcW w:w="2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 (801) 975-7200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2280" w:type="dxa"/>
            <w:vAlign w:val="bottom"/>
            <w:gridSpan w:val="2"/>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21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Trading Symbol(s)</w:t>
            </w:r>
          </w:p>
        </w:tc>
        <w:tc>
          <w:tcPr>
            <w:tcW w:w="146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35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Common Stock, $0.001</w:t>
            </w:r>
          </w:p>
        </w:tc>
        <w:tc>
          <w:tcPr>
            <w:tcW w:w="7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CLRO</w:t>
            </w:r>
          </w:p>
        </w:tc>
        <w:tc>
          <w:tcPr>
            <w:tcW w:w="1460" w:type="dxa"/>
            <w:vAlign w:val="bottom"/>
          </w:tcPr>
          <w:p>
            <w:pPr>
              <w:spacing w:after="0"/>
              <w:rPr>
                <w:sz w:val="20"/>
                <w:szCs w:val="20"/>
                <w:color w:val="auto"/>
              </w:rPr>
            </w:pP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71"/>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August 10, 2023 ClearOne, Inc. (the “Company”) issued a press release announcing its financial results for the three and six months ended June 30, 2023.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On August 10, 2023, the Company conducted a webinar and </w:t>
      </w:r>
      <w:r>
        <w:rPr>
          <w:rFonts w:ascii="Arial" w:cs="Arial" w:eastAsia="Arial" w:hAnsi="Arial"/>
          <w:sz w:val="17"/>
          <w:szCs w:val="17"/>
          <w:color w:val="212121"/>
        </w:rPr>
        <w:t>posted an updated investor presentation to its website at</w:t>
      </w:r>
      <w:r>
        <w:rPr>
          <w:rFonts w:ascii="Arial" w:cs="Arial" w:eastAsia="Arial" w:hAnsi="Arial"/>
          <w:sz w:val="17"/>
          <w:szCs w:val="17"/>
          <w:color w:val="auto"/>
        </w:rPr>
        <w:t xml:space="preserve"> https://investors.clearone.com/events-and-presentations. A copy of the Company’s investor presentation is furnished herewith as Exhibit 99.2.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Limitation of Incorporation by Reference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accordance with General Instruction B.2. of Form 8-K, this information, including Exhibits 99.1 and 99.2 furnished herewith, is furnished pursuant to Items 2.02 and 7.01 and shall not be deemed to be “filed” for the purpose of Section 18 of the Securities Exchange Act of 1934, as amended (the “Exchange Act”), or otherwise subject to the liabilities of that section, nor shall it be incorporated by reference into a filing under the Securities Act of 1933, as amended (the “Securities Act”), or the Exchange Act. The information in these Items 2.02 and 7.01 of this Current Report on Form 8-K (including the exhibits hereto) will not be deemed an admission as to the materiality of any information required to be disclosed solely to satisfy the requirements of Regulation FD.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Current Report on Form 8-K, including the exhibits furnished herewith, contains “forward-looking statements” within the meaning of Section 27A of the Securities Act and Section 21E of the Exchange Act. Such forward-looking statements relate to, without limitation, our future economic performance, plans and objectives for future operations and projections of revenue and other financial items. Forward-looking statements can be identified by the use of words such as “may,” “will,” “plan,” “potential,” “project,” “should,” “expect,” “anticipate,” “estimate,” “target,” “continue” or comparable terminology. Forward-looking statements are inherently subject to certain risks, trends and uncertainties, many of which we cannot predict with accuracy and some of which we might not even anticipate. Although we believe that the expectations reflected in such forward-looking statements are based upon reasonable assumptions at the time made, we can give no assurance that such expectations will be achieved. Future events and actual results, financial and otherwise, may differ materially from the results discussed in the forward-looking statements as a result of various factors, including those listed in Exhibit 99.1 on pages 2 and 3 and incorporated by reference herein. Readers are cautioned not to place undue reliance on these forward-looking statements. Unless required by U.S. federal securities laws, we do not intend to update any of the forward-looking statements to reflect circumstances or events that occur after the statements are made or to conform the statements to actual results. The information contained in this Current Report on Form 8-K, including the exhibit filed herewith, should be viewed in conjunction with the consolidated financial statements and notes thereto appearing in the Company’s Annual Reports on Form 10-K and Quarterly Reports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foregoing, the Company hereby furnishes the following documents: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2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32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88"/>
              </w:rPr>
              <w:t>Press Release of ClearOne, Inc. dated August 10, 2023.</w:t>
            </w:r>
          </w:p>
        </w:tc>
        <w:tc>
          <w:tcPr>
            <w:tcW w:w="5160" w:type="dxa"/>
            <w:vAlign w:val="bottom"/>
          </w:tcPr>
          <w:p>
            <w:pPr>
              <w:spacing w:after="0"/>
              <w:rPr>
                <w:sz w:val="14"/>
                <w:szCs w:val="14"/>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99.2</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Investor Presentation.</w:t>
            </w:r>
          </w:p>
        </w:tc>
        <w:tc>
          <w:tcPr>
            <w:tcW w:w="7580" w:type="dxa"/>
            <w:vAlign w:val="bottom"/>
            <w:gridSpan w:val="2"/>
          </w:tcPr>
          <w:p>
            <w:pPr>
              <w:spacing w:after="0"/>
              <w:rPr>
                <w:sz w:val="18"/>
                <w:szCs w:val="18"/>
                <w:color w:val="auto"/>
              </w:rPr>
            </w:pP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104.1</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385"/>
        </w:trPr>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CLEARONE, INC.</w:t>
      </w:r>
    </w:p>
    <w:p>
      <w:pPr>
        <w:spacing w:after="0" w:line="239" w:lineRule="exact"/>
        <w:rPr>
          <w:sz w:val="20"/>
          <w:szCs w:val="20"/>
          <w:color w:val="auto"/>
        </w:rPr>
      </w:pPr>
    </w:p>
    <w:p>
      <w:pPr>
        <w:spacing w:after="0"/>
        <w:tabs>
          <w:tab w:leader="none" w:pos="4380" w:val="left"/>
          <w:tab w:leader="none" w:pos="49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986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 (Principal Accounting and Principal Financial Officer)</w:t>
      </w:r>
    </w:p>
    <w:p>
      <w:pPr>
        <w:sectPr>
          <w:pgSz w:w="11900" w:h="16838" w:orient="portrait"/>
          <w:cols w:equalWidth="0" w:num="1">
            <w:col w:w="11240"/>
          </w:cols>
          <w:pgMar w:left="320" w:top="553"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843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 Reports Second Quarter 2023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Total Revenue Increased 31% Quarter-Over-Quarter, Supported by Continued Sequential and Year-Over-Year OpEx Reductions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Progress with Backlog Shipments and New Product Launches Improve Foundation for Growth in the Second Half of 2023 -</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SALT LAKE CITY, UTAH – August 9, 2023 </w:t>
      </w:r>
      <w:r>
        <w:rPr>
          <w:rFonts w:ascii="Arial" w:cs="Arial" w:eastAsia="Arial" w:hAnsi="Arial"/>
          <w:sz w:val="18"/>
          <w:szCs w:val="18"/>
          <w:color w:val="auto"/>
        </w:rPr>
        <w:t>– ClearOne (NASDAQ: CLRO), a global provider of audio and visual communication solutions,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three-month period ended June 30, 2023.</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performance in the second quarter reflects our continued focus on evolving our innovative communication solutions, supported by our work to maintain an optimized cost structure,” said Derek Graham, CEO of ClearOne. “We delivered strong sequential growth in our revenue and gross profit margin, driven by increased shipments of orders from the backlog due to improved manufacturing output relative to the first quarter of this year. Though we remain underway with the transition of our outsourced manufacturing from China to Singapore—which continued to compress our revenue performance year-over-year—we made progress with shipping backlog orders for our core audio conferencing products. We continue to see strong demand and minimal cancellations within our backlog, and we believe we are on track to resolve our contract manufacturing interruptions during the third quarter.</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continued to streamline our cost and capital structure. During the second quarter, we reduced operating expenses both sequentially and year-over-year, and we completed the distribution of our special one-time cash dividend. Supported by our sequential improvements, right-sized operational framework, and $22.1 million in cash and investments at the end of the second quarter, we believe we remain on track to drive improved top-line performance in the second half of this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02" w:lineRule="exact"/>
        <w:rPr>
          <w:sz w:val="20"/>
          <w:szCs w:val="20"/>
          <w:color w:val="auto"/>
        </w:rPr>
      </w:pPr>
    </w:p>
    <w:p>
      <w:pPr>
        <w:jc w:val="both"/>
        <w:ind w:left="700"/>
        <w:spacing w:after="0" w:line="258" w:lineRule="auto"/>
        <w:rPr>
          <w:sz w:val="20"/>
          <w:szCs w:val="20"/>
          <w:color w:val="auto"/>
        </w:rPr>
      </w:pPr>
      <w:r>
        <w:rPr>
          <w:rFonts w:ascii="Arial" w:cs="Arial" w:eastAsia="Arial" w:hAnsi="Arial"/>
          <w:sz w:val="18"/>
          <w:szCs w:val="18"/>
          <w:color w:val="auto"/>
        </w:rPr>
        <w:t xml:space="preserve">Launched the </w:t>
      </w:r>
      <w:r>
        <w:rPr>
          <w:rFonts w:ascii="Arial" w:cs="Arial" w:eastAsia="Arial" w:hAnsi="Arial"/>
          <w:sz w:val="18"/>
          <w:szCs w:val="18"/>
          <w:u w:val="single" w:color="auto"/>
          <w:color w:val="0000FF"/>
        </w:rPr>
        <w:t>BMA 360D beamforming microphone array ceiling tile</w:t>
      </w:r>
      <w:r>
        <w:rPr>
          <w:rFonts w:ascii="Arial" w:cs="Arial" w:eastAsia="Arial" w:hAnsi="Arial"/>
          <w:sz w:val="18"/>
          <w:szCs w:val="18"/>
          <w:color w:val="auto"/>
        </w:rPr>
        <w:t xml:space="preserve"> that offers unrivaled audio performance and native compatibility with any Dante®-enabled digital signal processor (DSP) mixer.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700"/>
        <w:spacing w:after="0" w:line="196" w:lineRule="auto"/>
        <w:rPr>
          <w:sz w:val="20"/>
          <w:szCs w:val="20"/>
          <w:color w:val="auto"/>
        </w:rPr>
      </w:pPr>
      <w:r>
        <w:rPr>
          <w:rFonts w:ascii="Arial" w:cs="Arial" w:eastAsia="Arial" w:hAnsi="Arial"/>
          <w:sz w:val="18"/>
          <w:szCs w:val="18"/>
          <w:color w:val="auto"/>
        </w:rPr>
        <w:t xml:space="preserve">Debuted the </w:t>
      </w:r>
      <w:r>
        <w:rPr>
          <w:rFonts w:ascii="Arial" w:cs="Arial" w:eastAsia="Arial" w:hAnsi="Arial"/>
          <w:sz w:val="18"/>
          <w:szCs w:val="18"/>
          <w:u w:val="single" w:color="auto"/>
          <w:color w:val="0000FF"/>
        </w:rPr>
        <w:t>DIALOG</w:t>
      </w:r>
      <w:r>
        <w:rPr>
          <w:rFonts w:ascii="Arial" w:cs="Arial" w:eastAsia="Arial" w:hAnsi="Arial"/>
          <w:sz w:val="35"/>
          <w:szCs w:val="35"/>
          <w:u w:val="single" w:color="auto"/>
          <w:color w:val="0000FF"/>
          <w:vertAlign w:val="superscript"/>
        </w:rPr>
        <w:t>®</w:t>
      </w:r>
      <w:r>
        <w:rPr>
          <w:rFonts w:ascii="Arial" w:cs="Arial" w:eastAsia="Arial" w:hAnsi="Arial"/>
          <w:sz w:val="18"/>
          <w:szCs w:val="18"/>
          <w:color w:val="auto"/>
        </w:rPr>
        <w:t xml:space="preserve"> </w:t>
      </w:r>
      <w:r>
        <w:rPr>
          <w:rFonts w:ascii="Arial" w:cs="Arial" w:eastAsia="Arial" w:hAnsi="Arial"/>
          <w:sz w:val="18"/>
          <w:szCs w:val="18"/>
          <w:color w:val="0000FF"/>
        </w:rPr>
        <w:t>UVHF wireless microphone system</w:t>
      </w:r>
      <w:r>
        <w:rPr>
          <w:rFonts w:ascii="Arial" w:cs="Arial" w:eastAsia="Arial" w:hAnsi="Arial"/>
          <w:sz w:val="18"/>
          <w:szCs w:val="18"/>
          <w:color w:val="auto"/>
        </w:rPr>
        <w:t>, which provides businesses and institutions with professional-quality audio conferencing, video collaboration and sound reinforcement for rooms of all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-233680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-161290</wp:posOffset>
            </wp:positionV>
            <wp:extent cx="1797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7685" cy="8890"/>
                    </a:xfrm>
                    <a:prstGeom prst="rect">
                      <a:avLst/>
                    </a:prstGeom>
                    <a:noFill/>
                  </pic:spPr>
                </pic:pic>
              </a:graphicData>
            </a:graphic>
          </wp:anchor>
        </w:drawing>
      </w:r>
    </w:p>
    <w:p>
      <w:pPr>
        <w:spacing w:after="0" w:line="21" w:lineRule="exact"/>
        <w:rPr>
          <w:sz w:val="20"/>
          <w:szCs w:val="20"/>
          <w:color w:val="auto"/>
        </w:rPr>
      </w:pPr>
    </w:p>
    <w:p>
      <w:pPr>
        <w:jc w:val="both"/>
        <w:ind w:left="700"/>
        <w:spacing w:after="0" w:line="311" w:lineRule="auto"/>
        <w:rPr>
          <w:sz w:val="20"/>
          <w:szCs w:val="20"/>
          <w:color w:val="auto"/>
        </w:rPr>
      </w:pPr>
      <w:r>
        <w:rPr>
          <w:rFonts w:ascii="Arial" w:cs="Arial" w:eastAsia="Arial" w:hAnsi="Arial"/>
          <w:sz w:val="16"/>
          <w:szCs w:val="16"/>
          <w:color w:val="auto"/>
        </w:rPr>
        <w:t xml:space="preserve">Exhibited a </w:t>
      </w:r>
      <w:r>
        <w:rPr>
          <w:rFonts w:ascii="Arial" w:cs="Arial" w:eastAsia="Arial" w:hAnsi="Arial"/>
          <w:sz w:val="16"/>
          <w:szCs w:val="16"/>
          <w:u w:val="single" w:color="auto"/>
          <w:color w:val="0000FF"/>
        </w:rPr>
        <w:t>comprehensive portfolio</w:t>
      </w:r>
      <w:r>
        <w:rPr>
          <w:rFonts w:ascii="Arial" w:cs="Arial" w:eastAsia="Arial" w:hAnsi="Arial"/>
          <w:sz w:val="16"/>
          <w:szCs w:val="16"/>
          <w:color w:val="auto"/>
        </w:rPr>
        <w:t xml:space="preserve"> of conferencing, collaboration and communication solutions at InfoComm 2023. Products on display included the recently launched CHAT® 150 BT Speakerphone, the Ceiling Microphone Array, CONVERGE® Huddle, LS5WT Wall and LS6CT Ceiling Speakers, Versa Mediabar™ Video Soundbar, COLLABORATE® Versa™ 60, and the UNITE® 60, 180 and 20 Pro cameras.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-405765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144843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Graham continued: “We maintained our cadence of new product launches during the second quarter. Through unveiling our DIALOG® UVHF wireless microphone system and BMA 360D beamforming microphone array ceiling tile, we have expanded our selection of high-quality, innovative audio solutions for rooms and enterprises of all sizes. These solutions helped drive the strong reception our products received at the Orlando InfoComm show in June. We were proud to return to this significant industry trade show, and we look forward to further enhancing our products’ visibility in the market.</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move into the second half of the year, we will continue working to both increase our share and expand our addressable segments of the professional AV market. During the third quarter, we expect to begin shipping a Bluetooth group USB speakerphone and a Dante®-enabled beamforming microphone solution that can interoperate with most DSPs, and we expect these shipments to serve as near-term revenue growth drivers. We aim to continue delivering on our strategic initiatives as we expand our library of innovative collaboration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80" w:right="20" w:hanging="459"/>
        <w:spacing w:after="0" w:line="259"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Q2 2023 revenue was $5.5 million, compared to $7.4 million in Q2 2022 and $4.2 million in Q1 2023. The 31% sequential increase was driven by increased shipments of orders from the backlog due to improved manufacturing output. The year-over-year decrease was mainly due to sustained inventory sourcing and order fulfillment challenges for the Company’s core audio conferencing and beamforming microphone arrays as a result of ongoing delays in the transition of outsourced manufacturing from China to Singapore.</w:t>
      </w:r>
    </w:p>
    <w:p>
      <w:pPr>
        <w:spacing w:after="0" w:line="173" w:lineRule="exact"/>
        <w:rPr>
          <w:rFonts w:ascii="Arial" w:cs="Arial" w:eastAsia="Arial" w:hAnsi="Arial"/>
          <w:sz w:val="18"/>
          <w:szCs w:val="18"/>
          <w:color w:val="auto"/>
        </w:rPr>
      </w:pPr>
    </w:p>
    <w:p>
      <w:pPr>
        <w:jc w:val="both"/>
        <w:ind w:left="480" w:right="20" w:hanging="459"/>
        <w:spacing w:after="0" w:line="279" w:lineRule="auto"/>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gross profit in Q2 2023 was $1.8 million, compared to $2.8 million in Q2 2022 and $1.3 million in Q1 2023. GAAP gross profit margin was 34% in Q2 2023, compared to 31% Q1 2023 and 38% in Q2 2022. Gross profit margin improved by approximately 300 basis points sequentially due to the aforementioned quarter-over-quarter revenue growth. Gross profit margin decreased year-over-year due to increased administration and overhead costs as a percentage of revenue, as well as increased inventory obsolescence costs.</w:t>
      </w:r>
    </w:p>
    <w:p>
      <w:pPr>
        <w:spacing w:after="0" w:line="157" w:lineRule="exact"/>
        <w:rPr>
          <w:rFonts w:ascii="Arial" w:cs="Arial" w:eastAsia="Arial" w:hAnsi="Arial"/>
          <w:sz w:val="17"/>
          <w:szCs w:val="17"/>
          <w:color w:val="auto"/>
        </w:rPr>
      </w:pPr>
    </w:p>
    <w:p>
      <w:pPr>
        <w:jc w:val="both"/>
        <w:ind w:left="480" w:right="20" w:hanging="459"/>
        <w:spacing w:after="0" w:line="311" w:lineRule="auto"/>
        <w:tabs>
          <w:tab w:leader="none" w:pos="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expenses in Q2 2023 improved to $3.2 million, compared to $4.5 million in Q2 2022 and $3.5 million in Q1 2023. Non-GAAP operating expenses in Q2 2023 improved to $3.1 million compared to $3.4 million in Q1 2023 and $4.0 million in Q2 2022. The sequential and year-over-year decrease in non-GAAP operating expenses was mainly due to the continued benefits of the cost-cutting measures initiated in 2022.</w:t>
      </w:r>
    </w:p>
    <w:p>
      <w:pPr>
        <w:spacing w:after="0" w:line="121" w:lineRule="exact"/>
        <w:rPr>
          <w:rFonts w:ascii="Arial" w:cs="Arial" w:eastAsia="Arial" w:hAnsi="Arial"/>
          <w:sz w:val="16"/>
          <w:szCs w:val="16"/>
          <w:color w:val="auto"/>
        </w:rPr>
      </w:pPr>
    </w:p>
    <w:p>
      <w:pPr>
        <w:jc w:val="both"/>
        <w:ind w:left="480" w:right="20" w:hanging="459"/>
        <w:spacing w:after="0" w:line="275" w:lineRule="auto"/>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net loss in Q2 2023 was $(1.0) million, or $(0.04) per share, compared to a net loss of $(0.3) million, or $(0.01) per share, in Q2 2022 and a net loss of $(0.8) million, or $(0.03) per share, in Q1 2023. The sequential increase in net loss was primarily due to the recognition of a $1.35 million gain from a legal settlement in Q1 2023. The year-over-year increase in net loss was primarily due to the aforementioned year-over-year decrease in revenue and gross profit, along with the recognition of $1.5 million in gain from the forgiveness of CARES Act Paycheck Protection Program Loan in the year-ago quarter, partially offset by a decrease in operating expenses and increase in interest income.</w:t>
      </w:r>
    </w:p>
    <w:p>
      <w:pPr>
        <w:spacing w:after="0" w:line="162" w:lineRule="exact"/>
        <w:rPr>
          <w:rFonts w:ascii="Arial" w:cs="Arial" w:eastAsia="Arial" w:hAnsi="Arial"/>
          <w:sz w:val="17"/>
          <w:szCs w:val="17"/>
          <w:color w:val="auto"/>
        </w:rPr>
      </w:pPr>
    </w:p>
    <w:p>
      <w:pPr>
        <w:jc w:val="both"/>
        <w:ind w:left="480" w:right="20" w:hanging="459"/>
        <w:spacing w:after="0" w:line="263"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in Q2 2023 improved to $(0.9) million, or $(0.04) per share, compared to a Non-GAAP net loss of $(1.1) million, or $(0.04) per share, in Q2 2022 and a Non-GAAP net loss of $(2.0) million, or $(0.09) per share, in Q1 2023. The sequential and year-over-year improvements were driven by the aforementioned operating expense reductions.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 in 000, except per share)</w:t>
            </w:r>
          </w:p>
        </w:tc>
        <w:tc>
          <w:tcPr>
            <w:tcW w:w="32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32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Six months ended June 30,</w:t>
            </w:r>
          </w:p>
        </w:tc>
      </w:tr>
      <w:tr>
        <w:trPr>
          <w:trHeight w:val="191"/>
        </w:trPr>
        <w:tc>
          <w:tcPr>
            <w:tcW w:w="4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89"/>
              </w:rPr>
              <w:t>Change in</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ind w:left="240"/>
              <w:spacing w:after="0" w:line="191" w:lineRule="exact"/>
              <w:rPr>
                <w:sz w:val="20"/>
                <w:szCs w:val="20"/>
                <w:color w:val="auto"/>
              </w:rPr>
            </w:pPr>
            <w:r>
              <w:rPr>
                <w:rFonts w:ascii="Arial" w:cs="Arial" w:eastAsia="Arial" w:hAnsi="Arial"/>
                <w:sz w:val="18"/>
                <w:szCs w:val="18"/>
                <w:b w:val="1"/>
                <w:bCs w:val="1"/>
                <w:color w:val="auto"/>
              </w:rPr>
              <w:t>Change in</w:t>
            </w:r>
          </w:p>
        </w:tc>
      </w:tr>
      <w:tr>
        <w:trPr>
          <w:trHeight w:val="216"/>
        </w:trPr>
        <w:tc>
          <w:tcPr>
            <w:tcW w:w="4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center"/>
              <w:ind w:left="1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rPr>
              <w:t>%</w:t>
            </w:r>
          </w:p>
        </w:tc>
      </w:tr>
      <w:tr>
        <w:trPr>
          <w:trHeight w:val="216"/>
        </w:trPr>
        <w:tc>
          <w:tcPr>
            <w:tcW w:w="4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Favorable/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w w:val="99"/>
              </w:rPr>
              <w:t>Favorable/</w:t>
            </w:r>
          </w:p>
        </w:tc>
      </w:tr>
      <w:tr>
        <w:trPr>
          <w:trHeight w:val="234"/>
        </w:trPr>
        <w:tc>
          <w:tcPr>
            <w:tcW w:w="4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(Adverse)</w:t>
            </w: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rPr>
              <w:t>(Adverse)</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1448435"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6"/>
              </w:rPr>
              <w:t>GAAP</w:t>
            </w:r>
          </w:p>
        </w:tc>
        <w:tc>
          <w:tcPr>
            <w:tcW w:w="2780" w:type="dxa"/>
            <w:vAlign w:val="bottom"/>
            <w:tcBorders>
              <w:bottom w:val="single" w:sz="8" w:color="CCEEFF"/>
            </w:tcBorders>
            <w:gridSpan w:val="2"/>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5,483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7,375</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9,661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14,920</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3,163</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3,203</w:t>
            </w:r>
          </w:p>
        </w:tc>
        <w:tc>
          <w:tcPr>
            <w:tcW w:w="40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4,456</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6,707</w:t>
            </w: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9,125</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29"/>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(1,649)</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3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(257)</w:t>
            </w: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(1,851)</w:t>
            </w:r>
          </w:p>
        </w:tc>
        <w:tc>
          <w:tcPr>
            <w:tcW w:w="3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(2,224)</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29"/>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(0.09)</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189"/>
        </w:trPr>
        <w:tc>
          <w:tcPr>
            <w:tcW w:w="33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0"/>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3,051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3,746</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6,416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7,712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Non-GAAP operating loss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40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(937)</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(3,250)</w:t>
            </w:r>
          </w:p>
        </w:tc>
        <w:tc>
          <w:tcPr>
            <w:tcW w:w="3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(2,085)</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(1,073)</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Non-GAAP Adjusted EBITDA</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(892)</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(2,389)</w:t>
            </w:r>
          </w:p>
        </w:tc>
        <w:tc>
          <w:tcPr>
            <w:tcW w:w="3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(1,961)</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diluted loss per share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(0.04)</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cash, cash equivalents and investments were $22.1 million, as compared with $1.0 million as of December 31, 2022. As of June 30, 2023, the Company carried an aggregate debt of $1.4 million on account of senior convertible notes issued in December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31, 2023, the Company completed the distribution of a special one-time cash dividend of $1.00 per share of its common stock or eligible warrants, as declared on May 8, 2023. The dividend distribution generated cash outflows of approximately $29.0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Minimum Bid Price Requirement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2023, ClearOne received a letter from the Listing Qualifications Department of the Nasdaq Stock Market informing the Company that because the closing bid price for its common stock was below $1.00 for 30 consecutive trading days, the Company is not in compliance with the minimum bid price requirement for continued listing on the Nasdaq Capital Market, as set forth in Nasdaq Marketplace Rule 5550(a)(2) (the “Minimum Bid Price Requirement”).</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Nasdaq Marketplace Rule 5810(c)(3)(A), the Company has a period of 180 calendar days from August 1, 2023, or until January 29, 2024, to regain compliance with the Minimum Bid Price Requirement. If at any time before January 29, 2024, the closing bid price of the Company’s common stock closes at or above $1.00 per share for a minimum of 10 consecutive trading days (which number days may be extended by Nasdaq), Nasdaq will provide written notification that the Company has achieved compliance with the Minimum Bid Price Requirement, and the matter would be resolved.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1448435"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intends to continue actively monitoring the closing bid price for its common stock between now and January 29, 2024, and the Company will consider available options to resolve the deficiency and regain compliance with the Minimum Bid Price Requirement. Further details can be found in ClearOne’s related Form 8-K filed on August 3, 2023 and in the Company’s Form 10-Q for the three and six months ended June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2022 (the “10-K”), the footnotes thereto and the limitations set forth therein. Investors may not rely on the press release without reference to the 10-Q, the 10-K, and the Public Filings.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1448435"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Current assets: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Current marketable securities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receivable</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Receivables, net of allowance of $326</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tax receivable</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6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2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6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222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50,000,000 shares authorized, 23,958,979 and</w:t>
            </w:r>
          </w:p>
        </w:tc>
        <w:tc>
          <w:tcPr>
            <w:tcW w:w="2680" w:type="dxa"/>
            <w:vAlign w:val="bottom"/>
            <w:gridSpan w:val="2"/>
          </w:tcPr>
          <w:p>
            <w:pPr>
              <w:jc w:val="right"/>
              <w:ind w:right="447"/>
              <w:spacing w:after="0" w:line="201" w:lineRule="exact"/>
              <w:rPr>
                <w:sz w:val="20"/>
                <w:szCs w:val="20"/>
                <w:color w:val="auto"/>
              </w:rPr>
            </w:pPr>
            <w:r>
              <w:rPr>
                <w:rFonts w:ascii="Arial" w:cs="Arial" w:eastAsia="Arial" w:hAnsi="Arial"/>
                <w:sz w:val="18"/>
                <w:szCs w:val="18"/>
                <w:color w:val="auto"/>
                <w:w w:val="88"/>
              </w:rPr>
              <w:t>23,955,767 shares issued and</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outstanding, respectively</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260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43,366</w:t>
            </w: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5</w:t>
            </w:r>
          </w:p>
        </w:tc>
        <w:tc>
          <w:tcPr>
            <w:tcW w:w="2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4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1448435"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6"/>
          </w:tcPr>
          <w:p>
            <w:pPr>
              <w:jc w:val="right"/>
              <w:ind w:right="261"/>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tcPr>
          <w:p>
            <w:pPr>
              <w:jc w:val="right"/>
              <w:ind w:right="401"/>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shd w:val="clear" w:color="auto" w:fill="CCEEFF"/>
          </w:tcPr>
          <w:p>
            <w:pPr>
              <w:spacing w:after="0"/>
              <w:rPr>
                <w:sz w:val="18"/>
                <w:szCs w:val="18"/>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6,498</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Pr>
          <w:p>
            <w:pPr>
              <w:spacing w:after="0"/>
              <w:rPr>
                <w:sz w:val="21"/>
                <w:szCs w:val="21"/>
                <w:color w:val="auto"/>
              </w:rPr>
            </w:pP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2,515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2,276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6,707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9"/>
                <w:szCs w:val="19"/>
                <w:color w:val="auto"/>
              </w:rPr>
            </w:pPr>
          </w:p>
        </w:tc>
      </w:tr>
      <w:tr>
        <w:trPr>
          <w:trHeight w:val="223"/>
        </w:trPr>
        <w:tc>
          <w:tcPr>
            <w:tcW w:w="49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(3,544)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(3,502)</w:t>
            </w:r>
          </w:p>
        </w:tc>
      </w:tr>
      <w:tr>
        <w:trPr>
          <w:trHeight w:val="229"/>
        </w:trPr>
        <w:tc>
          <w:tcPr>
            <w:tcW w:w="4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Other income, net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2,103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r>
      <w:tr>
        <w:trPr>
          <w:trHeight w:val="209"/>
        </w:trPr>
        <w:tc>
          <w:tcPr>
            <w:tcW w:w="49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(1,824)</w:t>
            </w: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(2,189)</w:t>
            </w:r>
          </w:p>
        </w:tc>
      </w:tr>
      <w:tr>
        <w:trPr>
          <w:trHeight w:val="229"/>
        </w:trPr>
        <w:tc>
          <w:tcPr>
            <w:tcW w:w="4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43"/>
        </w:trPr>
        <w:tc>
          <w:tcPr>
            <w:tcW w:w="49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97"/>
        </w:trPr>
        <w:tc>
          <w:tcPr>
            <w:tcW w:w="4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23,955,802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23,948,631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23,955,785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tcPr>
          <w:p>
            <w:pPr>
              <w:spacing w:after="0"/>
              <w:rPr>
                <w:sz w:val="19"/>
                <w:szCs w:val="19"/>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23,955,802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23,948,631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23,955,785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shd w:val="clear" w:color="auto" w:fill="CCEEFF"/>
          </w:tcPr>
          <w:p>
            <w:pPr>
              <w:spacing w:after="0"/>
              <w:rPr>
                <w:sz w:val="19"/>
                <w:szCs w:val="19"/>
                <w:color w:val="auto"/>
              </w:rPr>
            </w:pPr>
          </w:p>
        </w:tc>
      </w:tr>
      <w:tr>
        <w:trPr>
          <w:trHeight w:val="230"/>
        </w:trPr>
        <w:tc>
          <w:tcPr>
            <w:tcW w:w="4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8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(0.09)</w:t>
            </w:r>
          </w:p>
        </w:tc>
      </w:tr>
      <w:tr>
        <w:trPr>
          <w:trHeight w:val="229"/>
        </w:trPr>
        <w:tc>
          <w:tcPr>
            <w:tcW w:w="4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(1,019)</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(257)</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(2,224)</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Unrealized loss on available-for-sale securities, net of tax</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9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49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1448435" cy="351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GAAP operating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w:t>
            </w: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b w:val="1"/>
                <w:bCs w:val="1"/>
                <w:color w:val="auto"/>
              </w:rPr>
              <w:t>Non-GAAP operating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(1,201)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(2,085)</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GAAP 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adjustment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CARES Act PPP loan forgiveness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(1,528)</w:t>
            </w:r>
          </w:p>
        </w:tc>
      </w:tr>
      <w:tr>
        <w:trPr>
          <w:trHeight w:val="20"/>
        </w:trPr>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Non-GAAP 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(865)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(1,073)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(2,907)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(2,335)</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GAAP net loss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shares used in computing GAAP diluted loss per share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23,955,802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23,948,631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23,955,785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shd w:val="clear" w:color="auto" w:fill="CCEEFF"/>
          </w:tcPr>
          <w:p>
            <w:pPr>
              <w:spacing w:after="0"/>
              <w:rPr>
                <w:sz w:val="19"/>
                <w:szCs w:val="19"/>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GAAP diluted loss per share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(2,335)</w:t>
            </w: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w w:val="94"/>
              </w:rPr>
              <w:t>Number of shares used in computing Non-GAAP diluted loss per share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23,955,802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23,948,631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23,955,785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23,923,110</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diluted loss per share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GAAP net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w:t>
            </w: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3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Other income adjustment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CARES Act PPP loan forgiveness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(1,528)</w:t>
            </w:r>
          </w:p>
        </w:tc>
      </w:tr>
      <w:tr>
        <w:trPr>
          <w:trHeight w:val="216"/>
        </w:trPr>
        <w:tc>
          <w:tcPr>
            <w:tcW w:w="54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385-426-0565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7157720" cy="391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0" w:num="1">
            <w:col w:w="10120"/>
          </w:cols>
          <w:pgMar w:left="1440" w:top="135"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234950</wp:posOffset>
            </wp:positionV>
            <wp:extent cx="7157720" cy="391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234950</wp:posOffset>
            </wp:positionV>
            <wp:extent cx="7157720" cy="391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234950</wp:posOffset>
            </wp:positionV>
            <wp:extent cx="7157720" cy="391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234950</wp:posOffset>
            </wp:positionV>
            <wp:extent cx="7157720" cy="391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234950</wp:posOffset>
            </wp:positionV>
            <wp:extent cx="7157720" cy="391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234950</wp:posOffset>
            </wp:positionV>
            <wp:extent cx="7157720" cy="391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3912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473710</wp:posOffset>
            </wp:positionH>
            <wp:positionV relativeFrom="page">
              <wp:posOffset>234950</wp:posOffset>
            </wp:positionV>
            <wp:extent cx="6600825" cy="3686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00825" cy="3686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2023-08-10T13:51:14Z</dcterms:created>
  <dcterms:modified xsi:type="dcterms:W3CDTF">2023-08-10T13:51:14Z</dcterms:modified>
</cp:coreProperties>
</file>