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79"/>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57" w:lineRule="exact"/>
        <w:rPr>
          <w:sz w:val="24"/>
          <w:szCs w:val="24"/>
          <w:color w:val="auto"/>
        </w:rPr>
      </w:pPr>
    </w:p>
    <w:p>
      <w:pPr>
        <w:ind w:left="3920"/>
        <w:spacing w:after="0"/>
        <w:rPr>
          <w:sz w:val="20"/>
          <w:szCs w:val="20"/>
          <w:color w:val="auto"/>
        </w:rPr>
      </w:pPr>
      <w:r>
        <w:rPr>
          <w:rFonts w:ascii="Arial" w:cs="Arial" w:eastAsia="Arial" w:hAnsi="Arial"/>
          <w:sz w:val="25"/>
          <w:szCs w:val="25"/>
          <w:b w:val="1"/>
          <w:bCs w:val="1"/>
          <w:color w:val="auto"/>
        </w:rPr>
        <w:t>SCHEDULE 13D</w:t>
      </w:r>
    </w:p>
    <w:p>
      <w:pPr>
        <w:spacing w:after="0" w:line="200" w:lineRule="exact"/>
        <w:rPr>
          <w:sz w:val="24"/>
          <w:szCs w:val="24"/>
          <w:color w:val="auto"/>
        </w:rPr>
      </w:pPr>
    </w:p>
    <w:p>
      <w:pPr>
        <w:spacing w:after="0" w:line="291"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(Amendment No. )*</w:t>
      </w:r>
    </w:p>
    <w:p>
      <w:pPr>
        <w:spacing w:after="0" w:line="200" w:lineRule="exact"/>
        <w:rPr>
          <w:sz w:val="24"/>
          <w:szCs w:val="24"/>
          <w:color w:val="auto"/>
        </w:rPr>
      </w:pPr>
    </w:p>
    <w:p>
      <w:pPr>
        <w:spacing w:after="0" w:line="252"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u w:val="single" w:color="auto"/>
          <w:color w:val="auto"/>
        </w:rPr>
        <w:t>ClearOne Inc.</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(Name of Issuer)</w:t>
      </w:r>
    </w:p>
    <w:p>
      <w:pPr>
        <w:spacing w:after="0" w:line="200" w:lineRule="exact"/>
        <w:rPr>
          <w:sz w:val="24"/>
          <w:szCs w:val="24"/>
          <w:color w:val="auto"/>
        </w:rPr>
      </w:pPr>
    </w:p>
    <w:p>
      <w:pPr>
        <w:spacing w:after="0" w:line="252"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(Title of Class of Securities)</w:t>
      </w:r>
    </w:p>
    <w:p>
      <w:pPr>
        <w:spacing w:after="0" w:line="200" w:lineRule="exact"/>
        <w:rPr>
          <w:sz w:val="24"/>
          <w:szCs w:val="24"/>
          <w:color w:val="auto"/>
        </w:rPr>
      </w:pPr>
    </w:p>
    <w:p>
      <w:pPr>
        <w:spacing w:after="0" w:line="252" w:lineRule="exact"/>
        <w:rPr>
          <w:sz w:val="24"/>
          <w:szCs w:val="24"/>
          <w:color w:val="auto"/>
        </w:rPr>
      </w:pPr>
    </w:p>
    <w:p>
      <w:pPr>
        <w:ind w:left="4380"/>
        <w:spacing w:after="0"/>
        <w:rPr>
          <w:sz w:val="20"/>
          <w:szCs w:val="20"/>
          <w:color w:val="auto"/>
        </w:rPr>
      </w:pPr>
      <w:r>
        <w:rPr>
          <w:rFonts w:ascii="Arial" w:cs="Arial" w:eastAsia="Arial" w:hAnsi="Arial"/>
          <w:sz w:val="22"/>
          <w:szCs w:val="22"/>
          <w:b w:val="1"/>
          <w:bCs w:val="1"/>
          <w:u w:val="single" w:color="auto"/>
          <w:color w:val="auto"/>
        </w:rPr>
        <w:t>185060100</w:t>
      </w:r>
    </w:p>
    <w:p>
      <w:pPr>
        <w:spacing w:after="0" w:line="14" w:lineRule="exact"/>
        <w:rPr>
          <w:sz w:val="24"/>
          <w:szCs w:val="24"/>
          <w:color w:val="auto"/>
        </w:rPr>
      </w:pPr>
    </w:p>
    <w:p>
      <w:pPr>
        <w:ind w:left="4140"/>
        <w:spacing w:after="0"/>
        <w:rPr>
          <w:sz w:val="20"/>
          <w:szCs w:val="20"/>
          <w:color w:val="auto"/>
        </w:rPr>
      </w:pPr>
      <w:r>
        <w:rPr>
          <w:rFonts w:ascii="Arial" w:cs="Arial" w:eastAsia="Arial" w:hAnsi="Arial"/>
          <w:sz w:val="22"/>
          <w:szCs w:val="22"/>
          <w:color w:val="auto"/>
        </w:rPr>
        <w:t>(CUSIP Number)</w:t>
      </w:r>
    </w:p>
    <w:p>
      <w:pPr>
        <w:spacing w:after="0" w:line="200" w:lineRule="exact"/>
        <w:rPr>
          <w:sz w:val="24"/>
          <w:szCs w:val="24"/>
          <w:color w:val="auto"/>
        </w:rPr>
      </w:pPr>
    </w:p>
    <w:p>
      <w:pPr>
        <w:spacing w:after="0" w:line="252"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E. Bryan Bagley</w:t>
      </w:r>
    </w:p>
    <w:p>
      <w:pPr>
        <w:spacing w:after="0" w:line="4"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color w:val="auto"/>
        </w:rPr>
        <w:t>1470 Arlington Drive</w:t>
      </w:r>
    </w:p>
    <w:p>
      <w:pPr>
        <w:jc w:val="center"/>
        <w:ind w:right="479"/>
        <w:spacing w:after="0" w:line="230" w:lineRule="auto"/>
        <w:rPr>
          <w:sz w:val="20"/>
          <w:szCs w:val="20"/>
          <w:color w:val="auto"/>
        </w:rPr>
      </w:pPr>
      <w:r>
        <w:rPr>
          <w:rFonts w:ascii="Arial" w:cs="Arial" w:eastAsia="Arial" w:hAnsi="Arial"/>
          <w:sz w:val="22"/>
          <w:szCs w:val="22"/>
          <w:b w:val="1"/>
          <w:bCs w:val="1"/>
          <w:color w:val="auto"/>
        </w:rPr>
        <w:t>Salt Lake City, Utah 84103</w:t>
      </w:r>
    </w:p>
    <w:p>
      <w:pPr>
        <w:jc w:val="center"/>
        <w:ind w:right="479"/>
        <w:spacing w:after="0" w:line="231" w:lineRule="auto"/>
        <w:rPr>
          <w:sz w:val="20"/>
          <w:szCs w:val="20"/>
          <w:color w:val="auto"/>
        </w:rPr>
      </w:pPr>
      <w:r>
        <w:rPr>
          <w:rFonts w:ascii="Arial" w:cs="Arial" w:eastAsia="Arial" w:hAnsi="Arial"/>
          <w:sz w:val="22"/>
          <w:szCs w:val="22"/>
          <w:b w:val="1"/>
          <w:bCs w:val="1"/>
          <w:u w:val="single" w:color="auto"/>
          <w:color w:val="auto"/>
        </w:rPr>
        <w:t>Tel. (801) 450-3605</w:t>
      </w:r>
    </w:p>
    <w:p>
      <w:pPr>
        <w:jc w:val="center"/>
        <w:ind w:right="479"/>
        <w:spacing w:after="0"/>
        <w:rPr>
          <w:sz w:val="20"/>
          <w:szCs w:val="20"/>
          <w:color w:val="auto"/>
        </w:rPr>
      </w:pPr>
      <w:r>
        <w:rPr>
          <w:rFonts w:ascii="Arial" w:cs="Arial" w:eastAsia="Arial" w:hAnsi="Arial"/>
          <w:sz w:val="19"/>
          <w:szCs w:val="19"/>
          <w:color w:val="auto"/>
        </w:rPr>
        <w:t>(Name, Address and Telephone Number of Person Authorized to Receive Notices and Communications)</w:t>
      </w:r>
    </w:p>
    <w:p>
      <w:pPr>
        <w:spacing w:after="0" w:line="200" w:lineRule="exact"/>
        <w:rPr>
          <w:sz w:val="24"/>
          <w:szCs w:val="24"/>
          <w:color w:val="auto"/>
        </w:rPr>
      </w:pPr>
    </w:p>
    <w:p>
      <w:pPr>
        <w:spacing w:after="0" w:line="287" w:lineRule="exact"/>
        <w:rPr>
          <w:sz w:val="24"/>
          <w:szCs w:val="24"/>
          <w:color w:val="auto"/>
        </w:rPr>
      </w:pPr>
    </w:p>
    <w:p>
      <w:pPr>
        <w:jc w:val="center"/>
        <w:ind w:right="479"/>
        <w:spacing w:after="0"/>
        <w:rPr>
          <w:sz w:val="20"/>
          <w:szCs w:val="20"/>
          <w:color w:val="auto"/>
        </w:rPr>
      </w:pPr>
      <w:r>
        <w:rPr>
          <w:rFonts w:ascii="Arial" w:cs="Arial" w:eastAsia="Arial" w:hAnsi="Arial"/>
          <w:sz w:val="22"/>
          <w:szCs w:val="22"/>
          <w:b w:val="1"/>
          <w:bCs w:val="1"/>
          <w:u w:val="single" w:color="auto"/>
          <w:color w:val="auto"/>
        </w:rPr>
        <w:t>November 5, 2013</w:t>
      </w:r>
    </w:p>
    <w:p>
      <w:pPr>
        <w:spacing w:after="0" w:line="14" w:lineRule="exact"/>
        <w:rPr>
          <w:sz w:val="24"/>
          <w:szCs w:val="24"/>
          <w:color w:val="auto"/>
        </w:rPr>
      </w:pPr>
    </w:p>
    <w:p>
      <w:pPr>
        <w:jc w:val="center"/>
        <w:ind w:right="479"/>
        <w:spacing w:after="0"/>
        <w:rPr>
          <w:sz w:val="20"/>
          <w:szCs w:val="20"/>
          <w:color w:val="auto"/>
        </w:rPr>
      </w:pPr>
      <w:r>
        <w:rPr>
          <w:rFonts w:ascii="Arial" w:cs="Arial" w:eastAsia="Arial" w:hAnsi="Arial"/>
          <w:sz w:val="22"/>
          <w:szCs w:val="22"/>
          <w:color w:val="auto"/>
        </w:rPr>
        <w:t>(Date of Event Which Requires Filing of This Statement)</w:t>
      </w:r>
    </w:p>
    <w:p>
      <w:pPr>
        <w:spacing w:after="0" w:line="215" w:lineRule="exact"/>
        <w:rPr>
          <w:sz w:val="24"/>
          <w:szCs w:val="24"/>
          <w:color w:val="auto"/>
        </w:rPr>
      </w:pPr>
    </w:p>
    <w:p>
      <w:pPr>
        <w:jc w:val="both"/>
        <w:ind w:right="499"/>
        <w:spacing w:after="0"/>
        <w:rPr>
          <w:sz w:val="20"/>
          <w:szCs w:val="20"/>
          <w:color w:val="auto"/>
        </w:rPr>
      </w:pPr>
      <w:r>
        <w:rPr>
          <w:rFonts w:ascii="Arial" w:cs="Arial" w:eastAsia="Arial" w:hAnsi="Arial"/>
          <w:sz w:val="22"/>
          <w:szCs w:val="22"/>
          <w:color w:val="auto"/>
        </w:rPr>
        <w:t xml:space="preserve">If the filing person has previously filed a statement on Schedule 13G to report the acquisition which is the subject of this Schedule 13D, and is filing this schedule because of Rule 13d-1(e), (f) (g), check the following box </w:t>
      </w:r>
      <w:r>
        <w:rPr>
          <w:sz w:val="1"/>
          <w:szCs w:val="1"/>
          <w:color w:val="auto"/>
        </w:rPr>
        <w:drawing>
          <wp:inline distT="0" distB="0" distL="0" distR="0">
            <wp:extent cx="107315" cy="1073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073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107315"/>
                    </a:xfrm>
                    <a:prstGeom prst="rect">
                      <a:avLst/>
                    </a:prstGeom>
                    <a:noFill/>
                    <a:ln>
                      <a:noFill/>
                    </a:ln>
                  </pic:spPr>
                </pic:pic>
              </a:graphicData>
            </a:graphic>
          </wp:inline>
        </w:drawing>
      </w:r>
      <w:r>
        <w:rPr>
          <w:rFonts w:ascii="Arial" w:cs="Arial" w:eastAsia="Arial" w:hAnsi="Arial"/>
          <w:sz w:val="11"/>
          <w:szCs w:val="11"/>
          <w:color w:val="FFFFFF"/>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wp:posOffset>
            </wp:positionH>
            <wp:positionV relativeFrom="paragraph">
              <wp:posOffset>-23495</wp:posOffset>
            </wp:positionV>
            <wp:extent cx="107315" cy="12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315" cy="12700"/>
                    </a:xfrm>
                    <a:prstGeom prst="rect">
                      <a:avLst/>
                    </a:prstGeom>
                    <a:noFill/>
                  </pic:spPr>
                </pic:pic>
              </a:graphicData>
            </a:graphic>
          </wp:anchor>
        </w:drawing>
      </w:r>
    </w:p>
    <w:p>
      <w:pPr>
        <w:spacing w:after="0" w:line="187" w:lineRule="exact"/>
        <w:rPr>
          <w:sz w:val="24"/>
          <w:szCs w:val="24"/>
          <w:color w:val="auto"/>
        </w:rPr>
      </w:pPr>
    </w:p>
    <w:p>
      <w:pPr>
        <w:jc w:val="both"/>
        <w:ind w:right="499"/>
        <w:spacing w:after="0" w:line="256" w:lineRule="auto"/>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Schedules filed in paper format shall include a signed original and five copies of the schedule, including</w:t>
      </w:r>
      <w:r>
        <w:rPr>
          <w:rFonts w:ascii="Arial" w:cs="Arial" w:eastAsia="Arial" w:hAnsi="Arial"/>
          <w:sz w:val="22"/>
          <w:szCs w:val="22"/>
          <w:b w:val="1"/>
          <w:bCs w:val="1"/>
          <w:color w:val="auto"/>
        </w:rPr>
        <w:t xml:space="preserve"> </w:t>
      </w:r>
      <w:r>
        <w:rPr>
          <w:rFonts w:ascii="Arial" w:cs="Arial" w:eastAsia="Arial" w:hAnsi="Arial"/>
          <w:sz w:val="22"/>
          <w:szCs w:val="22"/>
          <w:color w:val="auto"/>
        </w:rPr>
        <w:t>all exhibits. See Rule 13d-7 for other parties to who copies are to be sent.</w:t>
      </w:r>
    </w:p>
    <w:p>
      <w:pPr>
        <w:spacing w:after="0" w:line="196" w:lineRule="exact"/>
        <w:rPr>
          <w:sz w:val="24"/>
          <w:szCs w:val="24"/>
          <w:color w:val="auto"/>
        </w:rPr>
      </w:pPr>
    </w:p>
    <w:p>
      <w:pPr>
        <w:jc w:val="both"/>
        <w:ind w:right="49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ind w:right="499"/>
        <w:spacing w:after="0" w:line="297" w:lineRule="auto"/>
        <w:rPr>
          <w:sz w:val="20"/>
          <w:szCs w:val="20"/>
          <w:color w:val="auto"/>
        </w:rPr>
      </w:pPr>
      <w:r>
        <w:rPr>
          <w:rFonts w:ascii="Arial" w:cs="Arial" w:eastAsia="Arial" w:hAnsi="Arial"/>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339090</wp:posOffset>
            </wp:positionV>
            <wp:extent cx="6174740" cy="94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463" w:right="1440"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6288405" cy="383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88405" cy="3835400"/>
                    </a:xfrm>
                    <a:prstGeom prst="rect">
                      <a:avLst/>
                    </a:prstGeom>
                    <a:noFill/>
                  </pic:spPr>
                </pic:pic>
              </a:graphicData>
            </a:graphic>
          </wp:anchor>
        </w:drawing>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1Names of Reporting Persons.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 Bryan Bagley</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2Check the Appropriate Box if a Member of a Group (See Instructions)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0"/>
                <w:szCs w:val="10"/>
                <w:color w:val="auto"/>
              </w:rPr>
              <w:t>X</w:t>
            </w:r>
            <w:r>
              <w:rPr>
                <w:rFonts w:ascii="Arial" w:cs="Arial" w:eastAsia="Arial" w:hAnsi="Arial"/>
                <w:sz w:val="18"/>
                <w:szCs w:val="18"/>
                <w:color w:val="auto"/>
              </w:rPr>
              <w:t xml:space="preserve"> </w:t>
            </w:r>
            <w:r>
              <w:rPr>
                <w:rFonts w:ascii="Arial" w:cs="Arial" w:eastAsia="Arial" w:hAnsi="Arial"/>
                <w:sz w:val="10"/>
                <w:szCs w:val="10"/>
                <w:color w:val="FFFFFF"/>
              </w:rPr>
              <w:t>.</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0"/>
                <w:szCs w:val="10"/>
                <w:color w:val="FFFFFF"/>
              </w:rPr>
              <w:t>.</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3SEC Use Only</w:t>
            </w:r>
          </w:p>
        </w:tc>
        <w:tc>
          <w:tcPr>
            <w:tcW w:w="0" w:type="dxa"/>
            <w:vAlign w:val="bottom"/>
          </w:tcPr>
          <w:p>
            <w:pPr>
              <w:spacing w:after="0"/>
              <w:rPr>
                <w:sz w:val="1"/>
                <w:szCs w:val="1"/>
                <w:color w:val="auto"/>
              </w:rPr>
            </w:pPr>
          </w:p>
        </w:tc>
      </w:tr>
      <w:tr>
        <w:trPr>
          <w:trHeight w:val="195"/>
        </w:trPr>
        <w:tc>
          <w:tcPr>
            <w:tcW w:w="990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4Source of Funds</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5"/>
        </w:trPr>
        <w:tc>
          <w:tcPr>
            <w:tcW w:w="990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5Check if Disclosure of Legal Proceedings is Required Pursuant to Items 2(d) or 2(e)</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5"/>
        </w:trPr>
        <w:tc>
          <w:tcPr>
            <w:tcW w:w="990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6Citizenship or Place of Organization</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95"/>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16"/>
                <w:szCs w:val="16"/>
                <w:color w:val="auto"/>
              </w:rPr>
            </w:pPr>
          </w:p>
        </w:tc>
        <w:tc>
          <w:tcPr>
            <w:tcW w:w="8200" w:type="dxa"/>
            <w:vAlign w:val="bottom"/>
          </w:tcPr>
          <w:p>
            <w:pPr>
              <w:spacing w:after="0" w:line="195" w:lineRule="exact"/>
              <w:rPr>
                <w:sz w:val="20"/>
                <w:szCs w:val="20"/>
                <w:color w:val="auto"/>
              </w:rPr>
            </w:pPr>
            <w:r>
              <w:rPr>
                <w:rFonts w:ascii="Arial" w:cs="Arial" w:eastAsia="Arial" w:hAnsi="Arial"/>
                <w:sz w:val="18"/>
                <w:szCs w:val="18"/>
                <w:color w:val="auto"/>
              </w:rPr>
              <w:t>7Sole Voting Power</w:t>
            </w: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8200" w:type="dxa"/>
            <w:vAlign w:val="bottom"/>
            <w:vMerge w:val="restart"/>
          </w:tcPr>
          <w:p>
            <w:pPr>
              <w:ind w:left="620"/>
              <w:spacing w:after="0"/>
              <w:rPr>
                <w:sz w:val="20"/>
                <w:szCs w:val="20"/>
                <w:color w:val="auto"/>
              </w:rPr>
            </w:pPr>
            <w:r>
              <w:rPr>
                <w:rFonts w:ascii="Arial" w:cs="Arial" w:eastAsia="Arial" w:hAnsi="Arial"/>
                <w:sz w:val="18"/>
                <w:szCs w:val="18"/>
                <w:color w:val="auto"/>
              </w:rPr>
              <w:t>38,602 (1)</w:t>
            </w:r>
          </w:p>
        </w:tc>
        <w:tc>
          <w:tcPr>
            <w:tcW w:w="0" w:type="dxa"/>
            <w:vAlign w:val="bottom"/>
          </w:tcPr>
          <w:p>
            <w:pPr>
              <w:spacing w:after="0"/>
              <w:rPr>
                <w:sz w:val="1"/>
                <w:szCs w:val="1"/>
                <w:color w:val="auto"/>
              </w:rPr>
            </w:pPr>
          </w:p>
        </w:tc>
      </w:tr>
      <w:tr>
        <w:trPr>
          <w:trHeight w:val="109"/>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9"/>
                <w:szCs w:val="9"/>
                <w:color w:val="auto"/>
              </w:rPr>
            </w:pPr>
          </w:p>
        </w:tc>
        <w:tc>
          <w:tcPr>
            <w:tcW w:w="82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80" w:type="dxa"/>
            <w:vAlign w:val="bottom"/>
            <w:tcBorders>
              <w:right w:val="single" w:sz="8" w:color="auto"/>
            </w:tcBorders>
            <w:vMerge w:val="continue"/>
          </w:tcPr>
          <w:p>
            <w:pPr>
              <w:spacing w:after="0"/>
              <w:rPr>
                <w:sz w:val="7"/>
                <w:szCs w:val="7"/>
                <w:color w:val="auto"/>
              </w:rPr>
            </w:pPr>
          </w:p>
        </w:tc>
        <w:tc>
          <w:tcPr>
            <w:tcW w:w="420" w:type="dxa"/>
            <w:vAlign w:val="bottom"/>
          </w:tcPr>
          <w:p>
            <w:pPr>
              <w:spacing w:after="0"/>
              <w:rPr>
                <w:sz w:val="7"/>
                <w:szCs w:val="7"/>
                <w:color w:val="auto"/>
              </w:rPr>
            </w:pPr>
          </w:p>
        </w:tc>
        <w:tc>
          <w:tcPr>
            <w:tcW w:w="8200" w:type="dxa"/>
            <w:vAlign w:val="bottom"/>
            <w:vMerge w:val="restart"/>
          </w:tcPr>
          <w:p>
            <w:pPr>
              <w:spacing w:after="0" w:line="195" w:lineRule="exact"/>
              <w:rPr>
                <w:sz w:val="20"/>
                <w:szCs w:val="20"/>
                <w:color w:val="auto"/>
              </w:rPr>
            </w:pPr>
            <w:r>
              <w:rPr>
                <w:rFonts w:ascii="Arial" w:cs="Arial" w:eastAsia="Arial" w:hAnsi="Arial"/>
                <w:sz w:val="18"/>
                <w:szCs w:val="18"/>
                <w:color w:val="auto"/>
              </w:rPr>
              <w:t>8Shared Voting Power</w:t>
            </w: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continue"/>
          </w:tcPr>
          <w:p>
            <w:pPr>
              <w:spacing w:after="0"/>
              <w:rPr>
                <w:sz w:val="9"/>
                <w:szCs w:val="9"/>
                <w:color w:val="auto"/>
              </w:rPr>
            </w:pPr>
          </w:p>
        </w:tc>
        <w:tc>
          <w:tcPr>
            <w:tcW w:w="420" w:type="dxa"/>
            <w:vAlign w:val="bottom"/>
          </w:tcPr>
          <w:p>
            <w:pPr>
              <w:spacing w:after="0"/>
              <w:rPr>
                <w:sz w:val="9"/>
                <w:szCs w:val="9"/>
                <w:color w:val="auto"/>
              </w:rPr>
            </w:pPr>
          </w:p>
        </w:tc>
        <w:tc>
          <w:tcPr>
            <w:tcW w:w="8200" w:type="dxa"/>
            <w:vAlign w:val="bottom"/>
            <w:vMerge w:val="restart"/>
          </w:tcPr>
          <w:p>
            <w:pPr>
              <w:ind w:left="620"/>
              <w:spacing w:after="0"/>
              <w:rPr>
                <w:sz w:val="20"/>
                <w:szCs w:val="20"/>
                <w:color w:val="auto"/>
              </w:rPr>
            </w:pPr>
            <w:r>
              <w:rPr>
                <w:rFonts w:ascii="Arial" w:cs="Arial" w:eastAsia="Arial" w:hAnsi="Arial"/>
                <w:sz w:val="18"/>
                <w:szCs w:val="18"/>
                <w:color w:val="auto"/>
              </w:rPr>
              <w:t>1,158,638 (2)</w:t>
            </w: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tcBorders>
          </w:tcPr>
          <w:p>
            <w:pPr>
              <w:spacing w:after="0"/>
              <w:rPr>
                <w:sz w:val="10"/>
                <w:szCs w:val="10"/>
                <w:color w:val="auto"/>
              </w:rPr>
            </w:pPr>
          </w:p>
        </w:tc>
        <w:tc>
          <w:tcPr>
            <w:tcW w:w="8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80" w:type="dxa"/>
            <w:vAlign w:val="bottom"/>
            <w:tcBorders>
              <w:right w:val="single" w:sz="8" w:color="auto"/>
            </w:tcBorders>
            <w:vMerge w:val="continue"/>
          </w:tcPr>
          <w:p>
            <w:pPr>
              <w:spacing w:after="0"/>
              <w:rPr>
                <w:sz w:val="6"/>
                <w:szCs w:val="6"/>
                <w:color w:val="auto"/>
              </w:rPr>
            </w:pPr>
          </w:p>
        </w:tc>
        <w:tc>
          <w:tcPr>
            <w:tcW w:w="420" w:type="dxa"/>
            <w:vAlign w:val="bottom"/>
          </w:tcPr>
          <w:p>
            <w:pPr>
              <w:spacing w:after="0"/>
              <w:rPr>
                <w:sz w:val="6"/>
                <w:szCs w:val="6"/>
                <w:color w:val="auto"/>
              </w:rPr>
            </w:pPr>
          </w:p>
        </w:tc>
        <w:tc>
          <w:tcPr>
            <w:tcW w:w="8200" w:type="dxa"/>
            <w:vAlign w:val="bottom"/>
            <w:vMerge w:val="restart"/>
          </w:tcPr>
          <w:p>
            <w:pPr>
              <w:spacing w:after="0" w:line="195" w:lineRule="exact"/>
              <w:rPr>
                <w:sz w:val="20"/>
                <w:szCs w:val="20"/>
                <w:color w:val="auto"/>
              </w:rPr>
            </w:pPr>
            <w:r>
              <w:rPr>
                <w:rFonts w:ascii="Arial" w:cs="Arial" w:eastAsia="Arial" w:hAnsi="Arial"/>
                <w:sz w:val="18"/>
                <w:szCs w:val="18"/>
                <w:color w:val="auto"/>
              </w:rPr>
              <w:t>9Sole Dispositive Power</w:t>
            </w: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Each</w:t>
            </w:r>
          </w:p>
        </w:tc>
        <w:tc>
          <w:tcPr>
            <w:tcW w:w="42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8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8200" w:type="dxa"/>
            <w:vAlign w:val="bottom"/>
            <w:vMerge w:val="restart"/>
          </w:tcPr>
          <w:p>
            <w:pPr>
              <w:ind w:left="620"/>
              <w:spacing w:after="0"/>
              <w:rPr>
                <w:sz w:val="20"/>
                <w:szCs w:val="20"/>
                <w:color w:val="auto"/>
              </w:rPr>
            </w:pPr>
            <w:r>
              <w:rPr>
                <w:rFonts w:ascii="Arial" w:cs="Arial" w:eastAsia="Arial" w:hAnsi="Arial"/>
                <w:sz w:val="18"/>
                <w:szCs w:val="18"/>
                <w:color w:val="auto"/>
              </w:rPr>
              <w:t>38,602 (1)</w:t>
            </w:r>
          </w:p>
        </w:tc>
        <w:tc>
          <w:tcPr>
            <w:tcW w:w="0" w:type="dxa"/>
            <w:vAlign w:val="bottom"/>
          </w:tcPr>
          <w:p>
            <w:pPr>
              <w:spacing w:after="0"/>
              <w:rPr>
                <w:sz w:val="1"/>
                <w:szCs w:val="1"/>
                <w:color w:val="auto"/>
              </w:rPr>
            </w:pPr>
          </w:p>
        </w:tc>
      </w:tr>
      <w:tr>
        <w:trPr>
          <w:trHeight w:val="136"/>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tcBorders>
              <w:bottom w:val="single" w:sz="8" w:color="auto"/>
            </w:tcBorders>
          </w:tcPr>
          <w:p>
            <w:pPr>
              <w:spacing w:after="0"/>
              <w:rPr>
                <w:sz w:val="11"/>
                <w:szCs w:val="11"/>
                <w:color w:val="auto"/>
              </w:rPr>
            </w:pPr>
          </w:p>
        </w:tc>
        <w:tc>
          <w:tcPr>
            <w:tcW w:w="82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280" w:type="dxa"/>
            <w:vAlign w:val="bottom"/>
            <w:tcBorders>
              <w:right w:val="single" w:sz="8" w:color="auto"/>
            </w:tcBorders>
            <w:vMerge w:val="continue"/>
          </w:tcPr>
          <w:p>
            <w:pPr>
              <w:spacing w:after="0"/>
              <w:rPr>
                <w:sz w:val="5"/>
                <w:szCs w:val="5"/>
                <w:color w:val="auto"/>
              </w:rPr>
            </w:pPr>
          </w:p>
        </w:tc>
        <w:tc>
          <w:tcPr>
            <w:tcW w:w="8620" w:type="dxa"/>
            <w:vAlign w:val="bottom"/>
            <w:gridSpan w:val="2"/>
            <w:vMerge w:val="restart"/>
          </w:tcPr>
          <w:p>
            <w:pPr>
              <w:ind w:left="220"/>
              <w:spacing w:after="0" w:line="195" w:lineRule="exact"/>
              <w:rPr>
                <w:sz w:val="20"/>
                <w:szCs w:val="20"/>
                <w:color w:val="auto"/>
              </w:rPr>
            </w:pPr>
            <w:r>
              <w:rPr>
                <w:rFonts w:ascii="Arial" w:cs="Arial" w:eastAsia="Arial" w:hAnsi="Arial"/>
                <w:sz w:val="18"/>
                <w:szCs w:val="18"/>
                <w:color w:val="auto"/>
              </w:rPr>
              <w:t>10Shared Dispositive Power</w:t>
            </w:r>
          </w:p>
        </w:tc>
        <w:tc>
          <w:tcPr>
            <w:tcW w:w="0" w:type="dxa"/>
            <w:vAlign w:val="bottom"/>
          </w:tcPr>
          <w:p>
            <w:pPr>
              <w:spacing w:after="0"/>
              <w:rPr>
                <w:sz w:val="1"/>
                <w:szCs w:val="1"/>
                <w:color w:val="auto"/>
              </w:rPr>
            </w:pPr>
          </w:p>
        </w:tc>
      </w:tr>
      <w:tr>
        <w:trPr>
          <w:trHeight w:val="135"/>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 With</w:t>
            </w:r>
          </w:p>
        </w:tc>
        <w:tc>
          <w:tcPr>
            <w:tcW w:w="8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280" w:type="dxa"/>
            <w:vAlign w:val="bottom"/>
            <w:tcBorders>
              <w:right w:val="single" w:sz="8" w:color="auto"/>
            </w:tcBorders>
            <w:vMerge w:val="continue"/>
          </w:tcPr>
          <w:p>
            <w:pPr>
              <w:spacing w:after="0"/>
              <w:rPr>
                <w:sz w:val="8"/>
                <w:szCs w:val="8"/>
                <w:color w:val="auto"/>
              </w:rPr>
            </w:pPr>
          </w:p>
        </w:tc>
        <w:tc>
          <w:tcPr>
            <w:tcW w:w="8620" w:type="dxa"/>
            <w:vAlign w:val="bottom"/>
            <w:gridSpan w:val="2"/>
            <w:vMerge w:val="restart"/>
          </w:tcPr>
          <w:p>
            <w:pPr>
              <w:ind w:left="1040"/>
              <w:spacing w:after="0"/>
              <w:rPr>
                <w:sz w:val="20"/>
                <w:szCs w:val="20"/>
                <w:color w:val="auto"/>
              </w:rPr>
            </w:pPr>
            <w:r>
              <w:rPr>
                <w:rFonts w:ascii="Arial" w:cs="Arial" w:eastAsia="Arial" w:hAnsi="Arial"/>
                <w:sz w:val="18"/>
                <w:szCs w:val="18"/>
                <w:color w:val="auto"/>
              </w:rPr>
              <w:t>1,158,638 (2)</w:t>
            </w:r>
          </w:p>
        </w:tc>
        <w:tc>
          <w:tcPr>
            <w:tcW w:w="0" w:type="dxa"/>
            <w:vAlign w:val="bottom"/>
          </w:tcPr>
          <w:p>
            <w:pPr>
              <w:spacing w:after="0"/>
              <w:rPr>
                <w:sz w:val="1"/>
                <w:szCs w:val="1"/>
                <w:color w:val="auto"/>
              </w:rPr>
            </w:pPr>
          </w:p>
        </w:tc>
      </w:tr>
      <w:tr>
        <w:trPr>
          <w:trHeight w:val="135"/>
        </w:trPr>
        <w:tc>
          <w:tcPr>
            <w:tcW w:w="1280" w:type="dxa"/>
            <w:vAlign w:val="bottom"/>
            <w:tcBorders>
              <w:bottom w:val="single" w:sz="8" w:color="auto"/>
              <w:right w:val="single" w:sz="8" w:color="auto"/>
            </w:tcBorders>
          </w:tcPr>
          <w:p>
            <w:pPr>
              <w:spacing w:after="0"/>
              <w:rPr>
                <w:sz w:val="11"/>
                <w:szCs w:val="11"/>
                <w:color w:val="auto"/>
              </w:rPr>
            </w:pPr>
          </w:p>
        </w:tc>
        <w:tc>
          <w:tcPr>
            <w:tcW w:w="862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9900" w:type="dxa"/>
            <w:vAlign w:val="bottom"/>
            <w:gridSpan w:val="3"/>
          </w:tcPr>
          <w:p>
            <w:pPr>
              <w:ind w:left="620"/>
              <w:spacing w:after="0" w:line="195" w:lineRule="exact"/>
              <w:rPr>
                <w:sz w:val="20"/>
                <w:szCs w:val="20"/>
                <w:color w:val="auto"/>
              </w:rPr>
            </w:pPr>
            <w:r>
              <w:rPr>
                <w:rFonts w:ascii="Arial" w:cs="Arial" w:eastAsia="Arial" w:hAnsi="Arial"/>
                <w:sz w:val="18"/>
                <w:szCs w:val="18"/>
                <w:color w:val="auto"/>
              </w:rPr>
              <w:t>11Aggregate Amount Beneficially Owned by Each Reporting Person</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1,197,240</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color w:val="auto"/>
              </w:rPr>
              <w:t>12Check if the Aggregate Amount in Row (11) Excludes Certain Shares (See Instructions) ›</w:t>
            </w:r>
          </w:p>
        </w:tc>
        <w:tc>
          <w:tcPr>
            <w:tcW w:w="0" w:type="dxa"/>
            <w:vAlign w:val="bottom"/>
          </w:tcPr>
          <w:p>
            <w:pPr>
              <w:spacing w:after="0"/>
              <w:rPr>
                <w:sz w:val="1"/>
                <w:szCs w:val="1"/>
                <w:color w:val="auto"/>
              </w:rPr>
            </w:pPr>
          </w:p>
        </w:tc>
      </w:tr>
      <w:tr>
        <w:trPr>
          <w:trHeight w:val="195"/>
        </w:trPr>
        <w:tc>
          <w:tcPr>
            <w:tcW w:w="9900" w:type="dxa"/>
            <w:vAlign w:val="bottom"/>
            <w:gridSpan w:val="3"/>
          </w:tcPr>
          <w:p>
            <w:pPr>
              <w:ind w:left="420"/>
              <w:spacing w:after="0" w:line="195" w:lineRule="exact"/>
              <w:rPr>
                <w:sz w:val="20"/>
                <w:szCs w:val="20"/>
                <w:color w:val="auto"/>
              </w:rPr>
            </w:pPr>
            <w:r>
              <w:rPr>
                <w:rFonts w:ascii="Arial" w:cs="Arial" w:eastAsia="Arial" w:hAnsi="Arial"/>
                <w:sz w:val="18"/>
                <w:szCs w:val="18"/>
                <w:color w:val="auto"/>
              </w:rPr>
              <w:t>13Percentage of Class Represented by Amount in Row (11)</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95"/>
        </w:trPr>
        <w:tc>
          <w:tcPr>
            <w:tcW w:w="9900" w:type="dxa"/>
            <w:vAlign w:val="bottom"/>
            <w:gridSpan w:val="3"/>
          </w:tcPr>
          <w:p>
            <w:pPr>
              <w:ind w:left="420"/>
              <w:spacing w:after="0" w:line="195" w:lineRule="exact"/>
              <w:rPr>
                <w:sz w:val="20"/>
                <w:szCs w:val="20"/>
                <w:color w:val="auto"/>
              </w:rPr>
            </w:pPr>
            <w:r>
              <w:rPr>
                <w:rFonts w:ascii="Arial" w:cs="Arial" w:eastAsia="Arial" w:hAnsi="Arial"/>
                <w:sz w:val="18"/>
                <w:szCs w:val="18"/>
                <w:color w:val="auto"/>
              </w:rPr>
              <w:t>14Type of Reporting Person (See Instructions)</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499" w:firstLine="8"/>
        <w:spacing w:after="0" w:line="251" w:lineRule="auto"/>
        <w:tabs>
          <w:tab w:leader="none" w:pos="329" w:val="left"/>
        </w:tabs>
        <w:numPr>
          <w:ilvl w:val="0"/>
          <w:numId w:val="1"/>
        </w:numPr>
        <w:rPr>
          <w:rFonts w:ascii="Arial" w:cs="Arial" w:eastAsia="Arial" w:hAnsi="Arial"/>
          <w:sz w:val="22"/>
          <w:szCs w:val="22"/>
          <w:color w:val="auto"/>
        </w:rPr>
      </w:pPr>
      <w:r>
        <w:rPr>
          <w:rFonts w:ascii="Arial" w:cs="Arial" w:eastAsia="Arial" w:hAnsi="Arial"/>
          <w:sz w:val="22"/>
          <w:szCs w:val="22"/>
          <w:color w:val="auto"/>
        </w:rPr>
        <w:t>Consists of 8,602 shares held in Mr. Bagley’s IRA and 30,000 shares held in Mr. Bagley’s profit sharing plan.</w:t>
      </w:r>
    </w:p>
    <w:p>
      <w:pPr>
        <w:spacing w:after="0" w:line="200" w:lineRule="exact"/>
        <w:rPr>
          <w:rFonts w:ascii="Arial" w:cs="Arial" w:eastAsia="Arial" w:hAnsi="Arial"/>
          <w:sz w:val="22"/>
          <w:szCs w:val="22"/>
          <w:color w:val="auto"/>
        </w:rPr>
      </w:pPr>
    </w:p>
    <w:p>
      <w:pPr>
        <w:jc w:val="both"/>
        <w:ind w:right="479" w:firstLine="8"/>
        <w:spacing w:after="0" w:line="249" w:lineRule="auto"/>
        <w:tabs>
          <w:tab w:leader="none" w:pos="321" w:val="left"/>
        </w:tabs>
        <w:numPr>
          <w:ilvl w:val="0"/>
          <w:numId w:val="1"/>
        </w:numPr>
        <w:rPr>
          <w:rFonts w:ascii="Arial" w:cs="Arial" w:eastAsia="Arial" w:hAnsi="Arial"/>
          <w:sz w:val="21"/>
          <w:szCs w:val="21"/>
          <w:color w:val="auto"/>
        </w:rPr>
      </w:pPr>
      <w:r>
        <w:rPr>
          <w:rFonts w:ascii="Arial" w:cs="Arial" w:eastAsia="Arial" w:hAnsi="Arial"/>
          <w:sz w:val="21"/>
          <w:szCs w:val="21"/>
          <w:color w:val="auto"/>
        </w:rPr>
        <w:t>Consists of 358,638 shares that Mr. Bagley has shared voting and dispositive power over as a result of his position as co-trustee of the revocable trusts in which these shares are held and 800,000 shares that Mr. Bagley has shared voting and dispositive power over as a result of his position as co-trustee of the E. Dallin Bagley Irrevocable Trust. The shares held by the E. Dallin Bagley Irrevocable Trust are also deemed to be beneficially owned by the other trustees of said trust.</w:t>
      </w:r>
    </w:p>
    <w:p>
      <w:pPr>
        <w:spacing w:after="0" w:line="200" w:lineRule="exact"/>
        <w:rPr>
          <w:sz w:val="20"/>
          <w:szCs w:val="20"/>
          <w:color w:val="auto"/>
        </w:rPr>
      </w:pPr>
    </w:p>
    <w:p>
      <w:pPr>
        <w:spacing w:after="0" w:line="249"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6174740" cy="94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6288405" cy="383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88405" cy="3835400"/>
                    </a:xfrm>
                    <a:prstGeom prst="rect">
                      <a:avLst/>
                    </a:prstGeom>
                    <a:noFill/>
                  </pic:spPr>
                </pic:pic>
              </a:graphicData>
            </a:graphic>
          </wp:anchor>
        </w:drawing>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1Names of Reporting Persons.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Lisa B. Higley</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2Check the Appropriate Box if a Member of a Group (See Instructions)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0"/>
                <w:szCs w:val="10"/>
                <w:color w:val="auto"/>
              </w:rPr>
              <w:t>X</w:t>
            </w:r>
            <w:r>
              <w:rPr>
                <w:rFonts w:ascii="Arial" w:cs="Arial" w:eastAsia="Arial" w:hAnsi="Arial"/>
                <w:sz w:val="18"/>
                <w:szCs w:val="18"/>
                <w:color w:val="auto"/>
              </w:rPr>
              <w:t xml:space="preserve"> </w:t>
            </w:r>
            <w:r>
              <w:rPr>
                <w:rFonts w:ascii="Arial" w:cs="Arial" w:eastAsia="Arial" w:hAnsi="Arial"/>
                <w:sz w:val="10"/>
                <w:szCs w:val="10"/>
                <w:color w:val="FFFFFF"/>
              </w:rPr>
              <w:t>.</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0"/>
                <w:szCs w:val="10"/>
                <w:color w:val="FFFFFF"/>
              </w:rPr>
              <w:t>.</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3SEC Use Only</w:t>
            </w:r>
          </w:p>
        </w:tc>
        <w:tc>
          <w:tcPr>
            <w:tcW w:w="0" w:type="dxa"/>
            <w:vAlign w:val="bottom"/>
          </w:tcPr>
          <w:p>
            <w:pPr>
              <w:spacing w:after="0"/>
              <w:rPr>
                <w:sz w:val="1"/>
                <w:szCs w:val="1"/>
                <w:color w:val="auto"/>
              </w:rPr>
            </w:pPr>
          </w:p>
        </w:tc>
      </w:tr>
      <w:tr>
        <w:trPr>
          <w:trHeight w:val="195"/>
        </w:trPr>
        <w:tc>
          <w:tcPr>
            <w:tcW w:w="990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4Source of Funds</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5"/>
        </w:trPr>
        <w:tc>
          <w:tcPr>
            <w:tcW w:w="990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5Check if Disclosure of Legal Proceedings is Required Pursuant to Items 2(d) or 2(e)</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5"/>
        </w:trPr>
        <w:tc>
          <w:tcPr>
            <w:tcW w:w="990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6Citizenship or Place of Organization</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95"/>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16"/>
                <w:szCs w:val="16"/>
                <w:color w:val="auto"/>
              </w:rPr>
            </w:pPr>
          </w:p>
        </w:tc>
        <w:tc>
          <w:tcPr>
            <w:tcW w:w="8200" w:type="dxa"/>
            <w:vAlign w:val="bottom"/>
          </w:tcPr>
          <w:p>
            <w:pPr>
              <w:spacing w:after="0" w:line="195" w:lineRule="exact"/>
              <w:rPr>
                <w:sz w:val="20"/>
                <w:szCs w:val="20"/>
                <w:color w:val="auto"/>
              </w:rPr>
            </w:pPr>
            <w:r>
              <w:rPr>
                <w:rFonts w:ascii="Arial" w:cs="Arial" w:eastAsia="Arial" w:hAnsi="Arial"/>
                <w:sz w:val="18"/>
                <w:szCs w:val="18"/>
                <w:color w:val="auto"/>
              </w:rPr>
              <w:t>7Sole Voting Power</w:t>
            </w: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8200" w:type="dxa"/>
            <w:vAlign w:val="bottom"/>
            <w:vMerge w:val="restart"/>
          </w:tcPr>
          <w:p>
            <w:pPr>
              <w:ind w:left="620"/>
              <w:spacing w:after="0"/>
              <w:rPr>
                <w:sz w:val="20"/>
                <w:szCs w:val="20"/>
                <w:color w:val="auto"/>
              </w:rPr>
            </w:pPr>
            <w:r>
              <w:rPr>
                <w:rFonts w:ascii="Arial" w:cs="Arial" w:eastAsia="Arial" w:hAnsi="Arial"/>
                <w:sz w:val="18"/>
                <w:szCs w:val="18"/>
                <w:color w:val="auto"/>
              </w:rPr>
              <w:t>7,475</w:t>
            </w:r>
          </w:p>
        </w:tc>
        <w:tc>
          <w:tcPr>
            <w:tcW w:w="0" w:type="dxa"/>
            <w:vAlign w:val="bottom"/>
          </w:tcPr>
          <w:p>
            <w:pPr>
              <w:spacing w:after="0"/>
              <w:rPr>
                <w:sz w:val="1"/>
                <w:szCs w:val="1"/>
                <w:color w:val="auto"/>
              </w:rPr>
            </w:pPr>
          </w:p>
        </w:tc>
      </w:tr>
      <w:tr>
        <w:trPr>
          <w:trHeight w:val="109"/>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9"/>
                <w:szCs w:val="9"/>
                <w:color w:val="auto"/>
              </w:rPr>
            </w:pPr>
          </w:p>
        </w:tc>
        <w:tc>
          <w:tcPr>
            <w:tcW w:w="82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80" w:type="dxa"/>
            <w:vAlign w:val="bottom"/>
            <w:tcBorders>
              <w:right w:val="single" w:sz="8" w:color="auto"/>
            </w:tcBorders>
            <w:vMerge w:val="continue"/>
          </w:tcPr>
          <w:p>
            <w:pPr>
              <w:spacing w:after="0"/>
              <w:rPr>
                <w:sz w:val="7"/>
                <w:szCs w:val="7"/>
                <w:color w:val="auto"/>
              </w:rPr>
            </w:pPr>
          </w:p>
        </w:tc>
        <w:tc>
          <w:tcPr>
            <w:tcW w:w="420" w:type="dxa"/>
            <w:vAlign w:val="bottom"/>
          </w:tcPr>
          <w:p>
            <w:pPr>
              <w:spacing w:after="0"/>
              <w:rPr>
                <w:sz w:val="7"/>
                <w:szCs w:val="7"/>
                <w:color w:val="auto"/>
              </w:rPr>
            </w:pPr>
          </w:p>
        </w:tc>
        <w:tc>
          <w:tcPr>
            <w:tcW w:w="8200" w:type="dxa"/>
            <w:vAlign w:val="bottom"/>
            <w:vMerge w:val="restart"/>
          </w:tcPr>
          <w:p>
            <w:pPr>
              <w:spacing w:after="0" w:line="195" w:lineRule="exact"/>
              <w:rPr>
                <w:sz w:val="20"/>
                <w:szCs w:val="20"/>
                <w:color w:val="auto"/>
              </w:rPr>
            </w:pPr>
            <w:r>
              <w:rPr>
                <w:rFonts w:ascii="Arial" w:cs="Arial" w:eastAsia="Arial" w:hAnsi="Arial"/>
                <w:sz w:val="18"/>
                <w:szCs w:val="18"/>
                <w:color w:val="auto"/>
              </w:rPr>
              <w:t>8Shared Voting Power</w:t>
            </w: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continue"/>
          </w:tcPr>
          <w:p>
            <w:pPr>
              <w:spacing w:after="0"/>
              <w:rPr>
                <w:sz w:val="9"/>
                <w:szCs w:val="9"/>
                <w:color w:val="auto"/>
              </w:rPr>
            </w:pPr>
          </w:p>
        </w:tc>
        <w:tc>
          <w:tcPr>
            <w:tcW w:w="420" w:type="dxa"/>
            <w:vAlign w:val="bottom"/>
          </w:tcPr>
          <w:p>
            <w:pPr>
              <w:spacing w:after="0"/>
              <w:rPr>
                <w:sz w:val="9"/>
                <w:szCs w:val="9"/>
                <w:color w:val="auto"/>
              </w:rPr>
            </w:pPr>
          </w:p>
        </w:tc>
        <w:tc>
          <w:tcPr>
            <w:tcW w:w="8200" w:type="dxa"/>
            <w:vAlign w:val="bottom"/>
            <w:vMerge w:val="restart"/>
          </w:tcPr>
          <w:p>
            <w:pPr>
              <w:ind w:left="620"/>
              <w:spacing w:after="0"/>
              <w:rPr>
                <w:sz w:val="20"/>
                <w:szCs w:val="20"/>
                <w:color w:val="auto"/>
              </w:rPr>
            </w:pPr>
            <w:r>
              <w:rPr>
                <w:rFonts w:ascii="Arial" w:cs="Arial" w:eastAsia="Arial" w:hAnsi="Arial"/>
                <w:sz w:val="18"/>
                <w:szCs w:val="18"/>
                <w:color w:val="auto"/>
              </w:rPr>
              <w:t>800,000 (1)</w:t>
            </w: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tcBorders>
          </w:tcPr>
          <w:p>
            <w:pPr>
              <w:spacing w:after="0"/>
              <w:rPr>
                <w:sz w:val="10"/>
                <w:szCs w:val="10"/>
                <w:color w:val="auto"/>
              </w:rPr>
            </w:pPr>
          </w:p>
        </w:tc>
        <w:tc>
          <w:tcPr>
            <w:tcW w:w="8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80" w:type="dxa"/>
            <w:vAlign w:val="bottom"/>
            <w:tcBorders>
              <w:right w:val="single" w:sz="8" w:color="auto"/>
            </w:tcBorders>
            <w:vMerge w:val="continue"/>
          </w:tcPr>
          <w:p>
            <w:pPr>
              <w:spacing w:after="0"/>
              <w:rPr>
                <w:sz w:val="6"/>
                <w:szCs w:val="6"/>
                <w:color w:val="auto"/>
              </w:rPr>
            </w:pPr>
          </w:p>
        </w:tc>
        <w:tc>
          <w:tcPr>
            <w:tcW w:w="420" w:type="dxa"/>
            <w:vAlign w:val="bottom"/>
          </w:tcPr>
          <w:p>
            <w:pPr>
              <w:spacing w:after="0"/>
              <w:rPr>
                <w:sz w:val="6"/>
                <w:szCs w:val="6"/>
                <w:color w:val="auto"/>
              </w:rPr>
            </w:pPr>
          </w:p>
        </w:tc>
        <w:tc>
          <w:tcPr>
            <w:tcW w:w="8200" w:type="dxa"/>
            <w:vAlign w:val="bottom"/>
            <w:vMerge w:val="restart"/>
          </w:tcPr>
          <w:p>
            <w:pPr>
              <w:spacing w:after="0" w:line="195" w:lineRule="exact"/>
              <w:rPr>
                <w:sz w:val="20"/>
                <w:szCs w:val="20"/>
                <w:color w:val="auto"/>
              </w:rPr>
            </w:pPr>
            <w:r>
              <w:rPr>
                <w:rFonts w:ascii="Arial" w:cs="Arial" w:eastAsia="Arial" w:hAnsi="Arial"/>
                <w:sz w:val="18"/>
                <w:szCs w:val="18"/>
                <w:color w:val="auto"/>
              </w:rPr>
              <w:t>9Sole Dispositive Power</w:t>
            </w: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Each</w:t>
            </w:r>
          </w:p>
        </w:tc>
        <w:tc>
          <w:tcPr>
            <w:tcW w:w="42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8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8200" w:type="dxa"/>
            <w:vAlign w:val="bottom"/>
            <w:vMerge w:val="restart"/>
          </w:tcPr>
          <w:p>
            <w:pPr>
              <w:ind w:left="620"/>
              <w:spacing w:after="0"/>
              <w:rPr>
                <w:sz w:val="20"/>
                <w:szCs w:val="20"/>
                <w:color w:val="auto"/>
              </w:rPr>
            </w:pPr>
            <w:r>
              <w:rPr>
                <w:rFonts w:ascii="Arial" w:cs="Arial" w:eastAsia="Arial" w:hAnsi="Arial"/>
                <w:sz w:val="18"/>
                <w:szCs w:val="18"/>
                <w:color w:val="auto"/>
              </w:rPr>
              <w:t>7,475</w:t>
            </w:r>
          </w:p>
        </w:tc>
        <w:tc>
          <w:tcPr>
            <w:tcW w:w="0" w:type="dxa"/>
            <w:vAlign w:val="bottom"/>
          </w:tcPr>
          <w:p>
            <w:pPr>
              <w:spacing w:after="0"/>
              <w:rPr>
                <w:sz w:val="1"/>
                <w:szCs w:val="1"/>
                <w:color w:val="auto"/>
              </w:rPr>
            </w:pPr>
          </w:p>
        </w:tc>
      </w:tr>
      <w:tr>
        <w:trPr>
          <w:trHeight w:val="136"/>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tcBorders>
              <w:bottom w:val="single" w:sz="8" w:color="auto"/>
            </w:tcBorders>
          </w:tcPr>
          <w:p>
            <w:pPr>
              <w:spacing w:after="0"/>
              <w:rPr>
                <w:sz w:val="11"/>
                <w:szCs w:val="11"/>
                <w:color w:val="auto"/>
              </w:rPr>
            </w:pPr>
          </w:p>
        </w:tc>
        <w:tc>
          <w:tcPr>
            <w:tcW w:w="82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280" w:type="dxa"/>
            <w:vAlign w:val="bottom"/>
            <w:tcBorders>
              <w:right w:val="single" w:sz="8" w:color="auto"/>
            </w:tcBorders>
            <w:vMerge w:val="continue"/>
          </w:tcPr>
          <w:p>
            <w:pPr>
              <w:spacing w:after="0"/>
              <w:rPr>
                <w:sz w:val="5"/>
                <w:szCs w:val="5"/>
                <w:color w:val="auto"/>
              </w:rPr>
            </w:pPr>
          </w:p>
        </w:tc>
        <w:tc>
          <w:tcPr>
            <w:tcW w:w="8620" w:type="dxa"/>
            <w:vAlign w:val="bottom"/>
            <w:gridSpan w:val="2"/>
            <w:vMerge w:val="restart"/>
          </w:tcPr>
          <w:p>
            <w:pPr>
              <w:ind w:left="220"/>
              <w:spacing w:after="0" w:line="195" w:lineRule="exact"/>
              <w:rPr>
                <w:sz w:val="20"/>
                <w:szCs w:val="20"/>
                <w:color w:val="auto"/>
              </w:rPr>
            </w:pPr>
            <w:r>
              <w:rPr>
                <w:rFonts w:ascii="Arial" w:cs="Arial" w:eastAsia="Arial" w:hAnsi="Arial"/>
                <w:sz w:val="18"/>
                <w:szCs w:val="18"/>
                <w:color w:val="auto"/>
              </w:rPr>
              <w:t>10Shared Dispositive Power</w:t>
            </w:r>
          </w:p>
        </w:tc>
        <w:tc>
          <w:tcPr>
            <w:tcW w:w="0" w:type="dxa"/>
            <w:vAlign w:val="bottom"/>
          </w:tcPr>
          <w:p>
            <w:pPr>
              <w:spacing w:after="0"/>
              <w:rPr>
                <w:sz w:val="1"/>
                <w:szCs w:val="1"/>
                <w:color w:val="auto"/>
              </w:rPr>
            </w:pPr>
          </w:p>
        </w:tc>
      </w:tr>
      <w:tr>
        <w:trPr>
          <w:trHeight w:val="135"/>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 With</w:t>
            </w:r>
          </w:p>
        </w:tc>
        <w:tc>
          <w:tcPr>
            <w:tcW w:w="8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280" w:type="dxa"/>
            <w:vAlign w:val="bottom"/>
            <w:tcBorders>
              <w:right w:val="single" w:sz="8" w:color="auto"/>
            </w:tcBorders>
            <w:vMerge w:val="continue"/>
          </w:tcPr>
          <w:p>
            <w:pPr>
              <w:spacing w:after="0"/>
              <w:rPr>
                <w:sz w:val="8"/>
                <w:szCs w:val="8"/>
                <w:color w:val="auto"/>
              </w:rPr>
            </w:pPr>
          </w:p>
        </w:tc>
        <w:tc>
          <w:tcPr>
            <w:tcW w:w="8620" w:type="dxa"/>
            <w:vAlign w:val="bottom"/>
            <w:gridSpan w:val="2"/>
            <w:vMerge w:val="restart"/>
          </w:tcPr>
          <w:p>
            <w:pPr>
              <w:ind w:left="1040"/>
              <w:spacing w:after="0"/>
              <w:rPr>
                <w:sz w:val="20"/>
                <w:szCs w:val="20"/>
                <w:color w:val="auto"/>
              </w:rPr>
            </w:pPr>
            <w:r>
              <w:rPr>
                <w:rFonts w:ascii="Arial" w:cs="Arial" w:eastAsia="Arial" w:hAnsi="Arial"/>
                <w:sz w:val="18"/>
                <w:szCs w:val="18"/>
                <w:color w:val="auto"/>
              </w:rPr>
              <w:t>800,000 (1)</w:t>
            </w:r>
          </w:p>
        </w:tc>
        <w:tc>
          <w:tcPr>
            <w:tcW w:w="0" w:type="dxa"/>
            <w:vAlign w:val="bottom"/>
          </w:tcPr>
          <w:p>
            <w:pPr>
              <w:spacing w:after="0"/>
              <w:rPr>
                <w:sz w:val="1"/>
                <w:szCs w:val="1"/>
                <w:color w:val="auto"/>
              </w:rPr>
            </w:pPr>
          </w:p>
        </w:tc>
      </w:tr>
      <w:tr>
        <w:trPr>
          <w:trHeight w:val="135"/>
        </w:trPr>
        <w:tc>
          <w:tcPr>
            <w:tcW w:w="1280" w:type="dxa"/>
            <w:vAlign w:val="bottom"/>
            <w:tcBorders>
              <w:bottom w:val="single" w:sz="8" w:color="auto"/>
              <w:right w:val="single" w:sz="8" w:color="auto"/>
            </w:tcBorders>
          </w:tcPr>
          <w:p>
            <w:pPr>
              <w:spacing w:after="0"/>
              <w:rPr>
                <w:sz w:val="11"/>
                <w:szCs w:val="11"/>
                <w:color w:val="auto"/>
              </w:rPr>
            </w:pPr>
          </w:p>
        </w:tc>
        <w:tc>
          <w:tcPr>
            <w:tcW w:w="862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9900" w:type="dxa"/>
            <w:vAlign w:val="bottom"/>
            <w:gridSpan w:val="3"/>
          </w:tcPr>
          <w:p>
            <w:pPr>
              <w:ind w:left="620"/>
              <w:spacing w:after="0" w:line="195" w:lineRule="exact"/>
              <w:rPr>
                <w:sz w:val="20"/>
                <w:szCs w:val="20"/>
                <w:color w:val="auto"/>
              </w:rPr>
            </w:pPr>
            <w:r>
              <w:rPr>
                <w:rFonts w:ascii="Arial" w:cs="Arial" w:eastAsia="Arial" w:hAnsi="Arial"/>
                <w:sz w:val="18"/>
                <w:szCs w:val="18"/>
                <w:color w:val="auto"/>
              </w:rPr>
              <w:t>11Aggregate Amount Beneficially Owned by Each Reporting Person</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807,475</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color w:val="auto"/>
              </w:rPr>
              <w:t>12Check if the Aggregate Amount in Row (11) Excludes Certain Shares (See Instructions) ›</w:t>
            </w:r>
          </w:p>
        </w:tc>
        <w:tc>
          <w:tcPr>
            <w:tcW w:w="0" w:type="dxa"/>
            <w:vAlign w:val="bottom"/>
          </w:tcPr>
          <w:p>
            <w:pPr>
              <w:spacing w:after="0"/>
              <w:rPr>
                <w:sz w:val="1"/>
                <w:szCs w:val="1"/>
                <w:color w:val="auto"/>
              </w:rPr>
            </w:pPr>
          </w:p>
        </w:tc>
      </w:tr>
      <w:tr>
        <w:trPr>
          <w:trHeight w:val="195"/>
        </w:trPr>
        <w:tc>
          <w:tcPr>
            <w:tcW w:w="9900" w:type="dxa"/>
            <w:vAlign w:val="bottom"/>
            <w:gridSpan w:val="3"/>
          </w:tcPr>
          <w:p>
            <w:pPr>
              <w:ind w:left="420"/>
              <w:spacing w:after="0" w:line="195" w:lineRule="exact"/>
              <w:rPr>
                <w:sz w:val="20"/>
                <w:szCs w:val="20"/>
                <w:color w:val="auto"/>
              </w:rPr>
            </w:pPr>
            <w:r>
              <w:rPr>
                <w:rFonts w:ascii="Arial" w:cs="Arial" w:eastAsia="Arial" w:hAnsi="Arial"/>
                <w:sz w:val="18"/>
                <w:szCs w:val="18"/>
                <w:color w:val="auto"/>
              </w:rPr>
              <w:t>13Percentage of Class Represented by Amount in Row (11)</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5"/>
        </w:trPr>
        <w:tc>
          <w:tcPr>
            <w:tcW w:w="9900" w:type="dxa"/>
            <w:vAlign w:val="bottom"/>
            <w:gridSpan w:val="3"/>
          </w:tcPr>
          <w:p>
            <w:pPr>
              <w:ind w:left="420"/>
              <w:spacing w:after="0" w:line="195" w:lineRule="exact"/>
              <w:rPr>
                <w:sz w:val="20"/>
                <w:szCs w:val="20"/>
                <w:color w:val="auto"/>
              </w:rPr>
            </w:pPr>
            <w:r>
              <w:rPr>
                <w:rFonts w:ascii="Arial" w:cs="Arial" w:eastAsia="Arial" w:hAnsi="Arial"/>
                <w:sz w:val="18"/>
                <w:szCs w:val="18"/>
                <w:color w:val="auto"/>
              </w:rPr>
              <w:t>14Type of Reporting Person (See Instructions)</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479" w:firstLine="8"/>
        <w:spacing w:after="0" w:line="297" w:lineRule="auto"/>
        <w:tabs>
          <w:tab w:leader="none" w:pos="313" w:val="left"/>
        </w:tabs>
        <w:numPr>
          <w:ilvl w:val="0"/>
          <w:numId w:val="2"/>
        </w:numPr>
        <w:rPr>
          <w:rFonts w:ascii="Arial" w:cs="Arial" w:eastAsia="Arial" w:hAnsi="Arial"/>
          <w:sz w:val="19"/>
          <w:szCs w:val="19"/>
          <w:color w:val="auto"/>
        </w:rPr>
      </w:pPr>
      <w:r>
        <w:rPr>
          <w:rFonts w:ascii="Arial" w:cs="Arial" w:eastAsia="Arial" w:hAnsi="Arial"/>
          <w:sz w:val="19"/>
          <w:szCs w:val="19"/>
          <w:color w:val="auto"/>
        </w:rPr>
        <w:t>Consists of 800,000 shares of common stock that Lisa B. Higley is deemed to beneficially own because she has shared voting power and shared dispositive power as a co-trustee of the E. Dallin Bagley Irrevocable Trust. These shares are also deemed to be beneficially owned by the other trustees of said trusts.</w:t>
      </w:r>
    </w:p>
    <w:p>
      <w:pPr>
        <w:spacing w:after="0" w:line="200" w:lineRule="exact"/>
        <w:rPr>
          <w:sz w:val="20"/>
          <w:szCs w:val="20"/>
          <w:color w:val="auto"/>
        </w:rPr>
      </w:pPr>
    </w:p>
    <w:p>
      <w:pPr>
        <w:spacing w:after="0" w:line="204"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6174740" cy="94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841" w:right="1440"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6288405" cy="383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88405" cy="3835400"/>
                    </a:xfrm>
                    <a:prstGeom prst="rect">
                      <a:avLst/>
                    </a:prstGeom>
                    <a:noFill/>
                  </pic:spPr>
                </pic:pic>
              </a:graphicData>
            </a:graphic>
          </wp:anchor>
        </w:drawing>
      </w:r>
    </w:p>
    <w:p>
      <w:pPr>
        <w:spacing w:after="0" w:line="240" w:lineRule="exact"/>
        <w:rPr>
          <w:sz w:val="20"/>
          <w:szCs w:val="20"/>
          <w:color w:val="auto"/>
        </w:rPr>
      </w:pPr>
    </w:p>
    <w:p>
      <w:pPr>
        <w:jc w:val="right"/>
        <w:ind w:right="7499"/>
        <w:spacing w:after="0"/>
        <w:rPr>
          <w:sz w:val="20"/>
          <w:szCs w:val="20"/>
          <w:color w:val="auto"/>
        </w:rPr>
      </w:pPr>
      <w:r>
        <w:rPr>
          <w:rFonts w:ascii="Arial" w:cs="Arial" w:eastAsia="Arial" w:hAnsi="Arial"/>
          <w:sz w:val="18"/>
          <w:szCs w:val="18"/>
          <w:color w:val="auto"/>
        </w:rPr>
        <w:t>1Names of Reporting Persons.</w:t>
      </w:r>
    </w:p>
    <w:p>
      <w:pPr>
        <w:spacing w:after="0" w:line="23" w:lineRule="exact"/>
        <w:rPr>
          <w:sz w:val="20"/>
          <w:szCs w:val="20"/>
          <w:color w:val="auto"/>
        </w:rPr>
      </w:pPr>
    </w:p>
    <w:p>
      <w:pPr>
        <w:jc w:val="right"/>
        <w:ind w:right="7539"/>
        <w:spacing w:after="0"/>
        <w:rPr>
          <w:sz w:val="20"/>
          <w:szCs w:val="20"/>
          <w:color w:val="auto"/>
        </w:rPr>
      </w:pPr>
      <w:r>
        <w:rPr>
          <w:rFonts w:ascii="Arial" w:cs="Arial" w:eastAsia="Arial" w:hAnsi="Arial"/>
          <w:sz w:val="18"/>
          <w:szCs w:val="18"/>
          <w:color w:val="auto"/>
        </w:rPr>
        <w:t>Carolyn C. Bagley</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2Check the Appropriate Box if a Member of a Group (See Instructions)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0"/>
          <w:szCs w:val="10"/>
          <w:color w:val="auto"/>
        </w:rPr>
        <w:t>X</w:t>
      </w:r>
      <w:r>
        <w:rPr>
          <w:rFonts w:ascii="Arial" w:cs="Arial" w:eastAsia="Arial" w:hAnsi="Arial"/>
          <w:sz w:val="18"/>
          <w:szCs w:val="18"/>
          <w:color w:val="auto"/>
        </w:rPr>
        <w:t xml:space="preserve"> </w:t>
      </w:r>
      <w:r>
        <w:rPr>
          <w:rFonts w:ascii="Arial" w:cs="Arial" w:eastAsia="Arial" w:hAnsi="Arial"/>
          <w:sz w:val="10"/>
          <w:szCs w:val="10"/>
          <w:color w:val="FFFFFF"/>
        </w:rPr>
        <w:t>.</w:t>
      </w:r>
    </w:p>
    <w:p>
      <w:pPr>
        <w:spacing w:after="0" w:line="8" w:lineRule="exact"/>
        <w:rPr>
          <w:sz w:val="20"/>
          <w:szCs w:val="20"/>
          <w:color w:val="auto"/>
        </w:rPr>
      </w:pPr>
    </w:p>
    <w:p>
      <w:pPr>
        <w:ind w:left="1580" w:hanging="251"/>
        <w:spacing w:after="0"/>
        <w:tabs>
          <w:tab w:leader="none" w:pos="1580" w:val="left"/>
        </w:tabs>
        <w:numPr>
          <w:ilvl w:val="0"/>
          <w:numId w:val="3"/>
        </w:numPr>
        <w:rPr>
          <w:rFonts w:ascii="Arial" w:cs="Arial" w:eastAsia="Arial" w:hAnsi="Arial"/>
          <w:sz w:val="18"/>
          <w:szCs w:val="18"/>
          <w:color w:val="auto"/>
        </w:rPr>
      </w:pPr>
      <w:r>
        <w:rPr>
          <w:rFonts w:ascii="Arial" w:cs="Arial" w:eastAsia="Arial" w:hAnsi="Arial"/>
          <w:sz w:val="1"/>
          <w:szCs w:val="1"/>
          <w:color w:val="auto"/>
        </w:rPr>
        <w:drawing>
          <wp:inline distT="0" distB="0" distL="0" distR="0">
            <wp:extent cx="107315" cy="1073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7315" cy="107315"/>
                    </a:xfrm>
                    <a:prstGeom prst="rect">
                      <a:avLst/>
                    </a:prstGeom>
                    <a:noFill/>
                    <a:ln>
                      <a:noFill/>
                    </a:ln>
                  </pic:spPr>
                </pic:pic>
              </a:graphicData>
            </a:graphic>
          </wp:inline>
        </w:drawing>
        <w:drawing>
          <wp:inline distT="0" distB="0" distL="0" distR="0">
            <wp:extent cx="12700" cy="1073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07315"/>
                    </a:xfrm>
                    <a:prstGeom prst="rect">
                      <a:avLst/>
                    </a:prstGeom>
                    <a:noFill/>
                    <a:ln>
                      <a:noFill/>
                    </a:ln>
                  </pic:spPr>
                </pic:pic>
              </a:graphicData>
            </a:graphic>
          </wp:inline>
        </w:drawing>
      </w:r>
      <w:r>
        <w:rPr>
          <w:rFonts w:ascii="Arial" w:cs="Arial" w:eastAsia="Arial" w:hAnsi="Arial"/>
          <w:sz w:val="11"/>
          <w:szCs w:val="11"/>
          <w:color w:val="FFFFFF"/>
        </w:rPr>
        <w:t>.</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4Source of Funds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Not applicable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5Check if Disclosure of Legal Proceedings is Required Pursuant to Items 2(d) or 2(e)</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Not applicable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6Citizenship or Place of Organization</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U.S.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Borders>
              <w:top w:val="single" w:sz="8" w:color="auto"/>
            </w:tcBorders>
          </w:tcPr>
          <w:p>
            <w:pPr>
              <w:spacing w:after="0"/>
              <w:rPr>
                <w:sz w:val="16"/>
                <w:szCs w:val="16"/>
                <w:color w:val="auto"/>
              </w:rPr>
            </w:pPr>
          </w:p>
        </w:tc>
        <w:tc>
          <w:tcPr>
            <w:tcW w:w="8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7Sole Voting Power</w:t>
            </w: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8200" w:type="dxa"/>
            <w:vAlign w:val="bottom"/>
            <w:vMerge w:val="restart"/>
          </w:tcPr>
          <w:p>
            <w:pPr>
              <w:ind w:left="620"/>
              <w:spacing w:after="0"/>
              <w:rPr>
                <w:sz w:val="20"/>
                <w:szCs w:val="20"/>
                <w:color w:val="auto"/>
              </w:rPr>
            </w:pPr>
            <w:r>
              <w:rPr>
                <w:rFonts w:ascii="Arial" w:cs="Arial" w:eastAsia="Arial" w:hAnsi="Arial"/>
                <w:sz w:val="18"/>
                <w:szCs w:val="18"/>
                <w:color w:val="auto"/>
              </w:rPr>
              <w:t>126,166</w:t>
            </w:r>
          </w:p>
        </w:tc>
        <w:tc>
          <w:tcPr>
            <w:tcW w:w="0" w:type="dxa"/>
            <w:vAlign w:val="bottom"/>
          </w:tcPr>
          <w:p>
            <w:pPr>
              <w:spacing w:after="0"/>
              <w:rPr>
                <w:sz w:val="1"/>
                <w:szCs w:val="1"/>
                <w:color w:val="auto"/>
              </w:rPr>
            </w:pPr>
          </w:p>
        </w:tc>
      </w:tr>
      <w:tr>
        <w:trPr>
          <w:trHeight w:val="109"/>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9"/>
                <w:szCs w:val="9"/>
                <w:color w:val="auto"/>
              </w:rPr>
            </w:pPr>
          </w:p>
        </w:tc>
        <w:tc>
          <w:tcPr>
            <w:tcW w:w="82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80" w:type="dxa"/>
            <w:vAlign w:val="bottom"/>
            <w:tcBorders>
              <w:right w:val="single" w:sz="8" w:color="auto"/>
            </w:tcBorders>
            <w:vMerge w:val="continue"/>
          </w:tcPr>
          <w:p>
            <w:pPr>
              <w:spacing w:after="0"/>
              <w:rPr>
                <w:sz w:val="7"/>
                <w:szCs w:val="7"/>
                <w:color w:val="auto"/>
              </w:rPr>
            </w:pPr>
          </w:p>
        </w:tc>
        <w:tc>
          <w:tcPr>
            <w:tcW w:w="420" w:type="dxa"/>
            <w:vAlign w:val="bottom"/>
          </w:tcPr>
          <w:p>
            <w:pPr>
              <w:spacing w:after="0"/>
              <w:rPr>
                <w:sz w:val="7"/>
                <w:szCs w:val="7"/>
                <w:color w:val="auto"/>
              </w:rPr>
            </w:pPr>
          </w:p>
        </w:tc>
        <w:tc>
          <w:tcPr>
            <w:tcW w:w="8200" w:type="dxa"/>
            <w:vAlign w:val="bottom"/>
            <w:vMerge w:val="restart"/>
          </w:tcPr>
          <w:p>
            <w:pPr>
              <w:spacing w:after="0" w:line="195" w:lineRule="exact"/>
              <w:rPr>
                <w:sz w:val="20"/>
                <w:szCs w:val="20"/>
                <w:color w:val="auto"/>
              </w:rPr>
            </w:pPr>
            <w:r>
              <w:rPr>
                <w:rFonts w:ascii="Arial" w:cs="Arial" w:eastAsia="Arial" w:hAnsi="Arial"/>
                <w:sz w:val="18"/>
                <w:szCs w:val="18"/>
                <w:color w:val="auto"/>
              </w:rPr>
              <w:t>8Shared Voting Power</w:t>
            </w: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continue"/>
          </w:tcPr>
          <w:p>
            <w:pPr>
              <w:spacing w:after="0"/>
              <w:rPr>
                <w:sz w:val="9"/>
                <w:szCs w:val="9"/>
                <w:color w:val="auto"/>
              </w:rPr>
            </w:pPr>
          </w:p>
        </w:tc>
        <w:tc>
          <w:tcPr>
            <w:tcW w:w="420" w:type="dxa"/>
            <w:vAlign w:val="bottom"/>
          </w:tcPr>
          <w:p>
            <w:pPr>
              <w:spacing w:after="0"/>
              <w:rPr>
                <w:sz w:val="9"/>
                <w:szCs w:val="9"/>
                <w:color w:val="auto"/>
              </w:rPr>
            </w:pPr>
          </w:p>
        </w:tc>
        <w:tc>
          <w:tcPr>
            <w:tcW w:w="8200" w:type="dxa"/>
            <w:vAlign w:val="bottom"/>
            <w:vMerge w:val="restart"/>
          </w:tcPr>
          <w:p>
            <w:pPr>
              <w:ind w:left="620"/>
              <w:spacing w:after="0"/>
              <w:rPr>
                <w:sz w:val="20"/>
                <w:szCs w:val="20"/>
                <w:color w:val="auto"/>
              </w:rPr>
            </w:pPr>
            <w:r>
              <w:rPr>
                <w:rFonts w:ascii="Arial" w:cs="Arial" w:eastAsia="Arial" w:hAnsi="Arial"/>
                <w:sz w:val="18"/>
                <w:szCs w:val="18"/>
                <w:color w:val="auto"/>
              </w:rPr>
              <w:t>800,000 (1)</w:t>
            </w: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tcBorders>
          </w:tcPr>
          <w:p>
            <w:pPr>
              <w:spacing w:after="0"/>
              <w:rPr>
                <w:sz w:val="10"/>
                <w:szCs w:val="10"/>
                <w:color w:val="auto"/>
              </w:rPr>
            </w:pPr>
          </w:p>
        </w:tc>
        <w:tc>
          <w:tcPr>
            <w:tcW w:w="8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80" w:type="dxa"/>
            <w:vAlign w:val="bottom"/>
            <w:tcBorders>
              <w:right w:val="single" w:sz="8" w:color="auto"/>
            </w:tcBorders>
            <w:vMerge w:val="continue"/>
          </w:tcPr>
          <w:p>
            <w:pPr>
              <w:spacing w:after="0"/>
              <w:rPr>
                <w:sz w:val="6"/>
                <w:szCs w:val="6"/>
                <w:color w:val="auto"/>
              </w:rPr>
            </w:pPr>
          </w:p>
        </w:tc>
        <w:tc>
          <w:tcPr>
            <w:tcW w:w="420" w:type="dxa"/>
            <w:vAlign w:val="bottom"/>
          </w:tcPr>
          <w:p>
            <w:pPr>
              <w:spacing w:after="0"/>
              <w:rPr>
                <w:sz w:val="6"/>
                <w:szCs w:val="6"/>
                <w:color w:val="auto"/>
              </w:rPr>
            </w:pPr>
          </w:p>
        </w:tc>
        <w:tc>
          <w:tcPr>
            <w:tcW w:w="8200" w:type="dxa"/>
            <w:vAlign w:val="bottom"/>
            <w:vMerge w:val="restart"/>
          </w:tcPr>
          <w:p>
            <w:pPr>
              <w:spacing w:after="0" w:line="195" w:lineRule="exact"/>
              <w:rPr>
                <w:sz w:val="20"/>
                <w:szCs w:val="20"/>
                <w:color w:val="auto"/>
              </w:rPr>
            </w:pPr>
            <w:r>
              <w:rPr>
                <w:rFonts w:ascii="Arial" w:cs="Arial" w:eastAsia="Arial" w:hAnsi="Arial"/>
                <w:sz w:val="18"/>
                <w:szCs w:val="18"/>
                <w:color w:val="auto"/>
              </w:rPr>
              <w:t>9Sole Dispositive Power</w:t>
            </w: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Each</w:t>
            </w:r>
          </w:p>
        </w:tc>
        <w:tc>
          <w:tcPr>
            <w:tcW w:w="42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8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8200" w:type="dxa"/>
            <w:vAlign w:val="bottom"/>
            <w:vMerge w:val="restart"/>
          </w:tcPr>
          <w:p>
            <w:pPr>
              <w:ind w:left="620"/>
              <w:spacing w:after="0"/>
              <w:rPr>
                <w:sz w:val="20"/>
                <w:szCs w:val="20"/>
                <w:color w:val="auto"/>
              </w:rPr>
            </w:pPr>
            <w:r>
              <w:rPr>
                <w:rFonts w:ascii="Arial" w:cs="Arial" w:eastAsia="Arial" w:hAnsi="Arial"/>
                <w:sz w:val="18"/>
                <w:szCs w:val="18"/>
                <w:color w:val="auto"/>
              </w:rPr>
              <w:t>126,166</w:t>
            </w:r>
          </w:p>
        </w:tc>
        <w:tc>
          <w:tcPr>
            <w:tcW w:w="0" w:type="dxa"/>
            <w:vAlign w:val="bottom"/>
          </w:tcPr>
          <w:p>
            <w:pPr>
              <w:spacing w:after="0"/>
              <w:rPr>
                <w:sz w:val="1"/>
                <w:szCs w:val="1"/>
                <w:color w:val="auto"/>
              </w:rPr>
            </w:pPr>
          </w:p>
        </w:tc>
      </w:tr>
      <w:tr>
        <w:trPr>
          <w:trHeight w:val="136"/>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tcBorders>
              <w:bottom w:val="single" w:sz="8" w:color="auto"/>
            </w:tcBorders>
          </w:tcPr>
          <w:p>
            <w:pPr>
              <w:spacing w:after="0"/>
              <w:rPr>
                <w:sz w:val="11"/>
                <w:szCs w:val="11"/>
                <w:color w:val="auto"/>
              </w:rPr>
            </w:pPr>
          </w:p>
        </w:tc>
        <w:tc>
          <w:tcPr>
            <w:tcW w:w="82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280" w:type="dxa"/>
            <w:vAlign w:val="bottom"/>
            <w:tcBorders>
              <w:right w:val="single" w:sz="8" w:color="auto"/>
            </w:tcBorders>
            <w:vMerge w:val="continue"/>
          </w:tcPr>
          <w:p>
            <w:pPr>
              <w:spacing w:after="0"/>
              <w:rPr>
                <w:sz w:val="5"/>
                <w:szCs w:val="5"/>
                <w:color w:val="auto"/>
              </w:rPr>
            </w:pPr>
          </w:p>
        </w:tc>
        <w:tc>
          <w:tcPr>
            <w:tcW w:w="8620" w:type="dxa"/>
            <w:vAlign w:val="bottom"/>
            <w:gridSpan w:val="2"/>
            <w:vMerge w:val="restart"/>
          </w:tcPr>
          <w:p>
            <w:pPr>
              <w:ind w:left="220"/>
              <w:spacing w:after="0" w:line="195" w:lineRule="exact"/>
              <w:rPr>
                <w:sz w:val="20"/>
                <w:szCs w:val="20"/>
                <w:color w:val="auto"/>
              </w:rPr>
            </w:pPr>
            <w:r>
              <w:rPr>
                <w:rFonts w:ascii="Arial" w:cs="Arial" w:eastAsia="Arial" w:hAnsi="Arial"/>
                <w:sz w:val="18"/>
                <w:szCs w:val="18"/>
                <w:color w:val="auto"/>
              </w:rPr>
              <w:t>10Shared Dispositive Power</w:t>
            </w:r>
          </w:p>
        </w:tc>
        <w:tc>
          <w:tcPr>
            <w:tcW w:w="0" w:type="dxa"/>
            <w:vAlign w:val="bottom"/>
          </w:tcPr>
          <w:p>
            <w:pPr>
              <w:spacing w:after="0"/>
              <w:rPr>
                <w:sz w:val="1"/>
                <w:szCs w:val="1"/>
                <w:color w:val="auto"/>
              </w:rPr>
            </w:pPr>
          </w:p>
        </w:tc>
      </w:tr>
      <w:tr>
        <w:trPr>
          <w:trHeight w:val="135"/>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 With</w:t>
            </w:r>
          </w:p>
        </w:tc>
        <w:tc>
          <w:tcPr>
            <w:tcW w:w="8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280" w:type="dxa"/>
            <w:vAlign w:val="bottom"/>
            <w:tcBorders>
              <w:right w:val="single" w:sz="8" w:color="auto"/>
            </w:tcBorders>
            <w:vMerge w:val="continue"/>
          </w:tcPr>
          <w:p>
            <w:pPr>
              <w:spacing w:after="0"/>
              <w:rPr>
                <w:sz w:val="8"/>
                <w:szCs w:val="8"/>
                <w:color w:val="auto"/>
              </w:rPr>
            </w:pPr>
          </w:p>
        </w:tc>
        <w:tc>
          <w:tcPr>
            <w:tcW w:w="8620" w:type="dxa"/>
            <w:vAlign w:val="bottom"/>
            <w:gridSpan w:val="2"/>
            <w:vMerge w:val="restart"/>
          </w:tcPr>
          <w:p>
            <w:pPr>
              <w:ind w:left="1040"/>
              <w:spacing w:after="0"/>
              <w:rPr>
                <w:sz w:val="20"/>
                <w:szCs w:val="20"/>
                <w:color w:val="auto"/>
              </w:rPr>
            </w:pPr>
            <w:r>
              <w:rPr>
                <w:rFonts w:ascii="Arial" w:cs="Arial" w:eastAsia="Arial" w:hAnsi="Arial"/>
                <w:sz w:val="18"/>
                <w:szCs w:val="18"/>
                <w:color w:val="auto"/>
              </w:rPr>
              <w:t>800,000 (1)</w:t>
            </w:r>
          </w:p>
        </w:tc>
        <w:tc>
          <w:tcPr>
            <w:tcW w:w="0" w:type="dxa"/>
            <w:vAlign w:val="bottom"/>
          </w:tcPr>
          <w:p>
            <w:pPr>
              <w:spacing w:after="0"/>
              <w:rPr>
                <w:sz w:val="1"/>
                <w:szCs w:val="1"/>
                <w:color w:val="auto"/>
              </w:rPr>
            </w:pPr>
          </w:p>
        </w:tc>
      </w:tr>
      <w:tr>
        <w:trPr>
          <w:trHeight w:val="135"/>
        </w:trPr>
        <w:tc>
          <w:tcPr>
            <w:tcW w:w="1280" w:type="dxa"/>
            <w:vAlign w:val="bottom"/>
            <w:tcBorders>
              <w:bottom w:val="single" w:sz="8" w:color="auto"/>
              <w:right w:val="single" w:sz="8" w:color="auto"/>
            </w:tcBorders>
          </w:tcPr>
          <w:p>
            <w:pPr>
              <w:spacing w:after="0"/>
              <w:rPr>
                <w:sz w:val="11"/>
                <w:szCs w:val="11"/>
                <w:color w:val="auto"/>
              </w:rPr>
            </w:pPr>
          </w:p>
        </w:tc>
        <w:tc>
          <w:tcPr>
            <w:tcW w:w="862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9900" w:type="dxa"/>
            <w:vAlign w:val="bottom"/>
            <w:gridSpan w:val="3"/>
          </w:tcPr>
          <w:p>
            <w:pPr>
              <w:ind w:left="620"/>
              <w:spacing w:after="0" w:line="195" w:lineRule="exact"/>
              <w:rPr>
                <w:sz w:val="20"/>
                <w:szCs w:val="20"/>
                <w:color w:val="auto"/>
              </w:rPr>
            </w:pPr>
            <w:r>
              <w:rPr>
                <w:rFonts w:ascii="Arial" w:cs="Arial" w:eastAsia="Arial" w:hAnsi="Arial"/>
                <w:sz w:val="18"/>
                <w:szCs w:val="18"/>
                <w:color w:val="auto"/>
              </w:rPr>
              <w:t>11Aggregate Amount Beneficially Owned by Each Reporting Person</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926,166</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auto"/>
            </w:tcBorders>
            <w:gridSpan w:val="3"/>
          </w:tcPr>
          <w:p>
            <w:pPr>
              <w:ind w:left="420"/>
              <w:spacing w:after="0" w:line="207" w:lineRule="exact"/>
              <w:rPr>
                <w:sz w:val="20"/>
                <w:szCs w:val="20"/>
                <w:color w:val="auto"/>
              </w:rPr>
            </w:pPr>
            <w:r>
              <w:rPr>
                <w:rFonts w:ascii="Arial" w:cs="Arial" w:eastAsia="Arial" w:hAnsi="Arial"/>
                <w:sz w:val="18"/>
                <w:szCs w:val="18"/>
                <w:color w:val="auto"/>
              </w:rPr>
              <w:t xml:space="preserve">12Check if the Aggregate Amount in Row (11) Excludes Certain Shares (See Instructions)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5"/>
        </w:trPr>
        <w:tc>
          <w:tcPr>
            <w:tcW w:w="9900" w:type="dxa"/>
            <w:vAlign w:val="bottom"/>
            <w:gridSpan w:val="3"/>
          </w:tcPr>
          <w:p>
            <w:pPr>
              <w:ind w:left="420"/>
              <w:spacing w:after="0" w:line="195" w:lineRule="exact"/>
              <w:rPr>
                <w:sz w:val="20"/>
                <w:szCs w:val="20"/>
                <w:color w:val="auto"/>
              </w:rPr>
            </w:pPr>
            <w:r>
              <w:rPr>
                <w:rFonts w:ascii="Arial" w:cs="Arial" w:eastAsia="Arial" w:hAnsi="Arial"/>
                <w:sz w:val="18"/>
                <w:szCs w:val="18"/>
                <w:color w:val="auto"/>
              </w:rPr>
              <w:t>13Percentage of Class Represented by Amount in Row (11)</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195"/>
        </w:trPr>
        <w:tc>
          <w:tcPr>
            <w:tcW w:w="9900" w:type="dxa"/>
            <w:vAlign w:val="bottom"/>
            <w:gridSpan w:val="3"/>
          </w:tcPr>
          <w:p>
            <w:pPr>
              <w:ind w:left="420"/>
              <w:spacing w:after="0" w:line="195" w:lineRule="exact"/>
              <w:rPr>
                <w:sz w:val="20"/>
                <w:szCs w:val="20"/>
                <w:color w:val="auto"/>
              </w:rPr>
            </w:pPr>
            <w:r>
              <w:rPr>
                <w:rFonts w:ascii="Arial" w:cs="Arial" w:eastAsia="Arial" w:hAnsi="Arial"/>
                <w:sz w:val="18"/>
                <w:szCs w:val="18"/>
                <w:color w:val="auto"/>
              </w:rPr>
              <w:t>14Type of Reporting Person (See Instructions)</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499" w:firstLine="8"/>
        <w:spacing w:after="0" w:line="297" w:lineRule="auto"/>
        <w:tabs>
          <w:tab w:leader="none" w:pos="312" w:val="left"/>
        </w:tabs>
        <w:numPr>
          <w:ilvl w:val="0"/>
          <w:numId w:val="4"/>
        </w:numPr>
        <w:rPr>
          <w:rFonts w:ascii="Arial" w:cs="Arial" w:eastAsia="Arial" w:hAnsi="Arial"/>
          <w:sz w:val="19"/>
          <w:szCs w:val="19"/>
          <w:color w:val="auto"/>
        </w:rPr>
      </w:pPr>
      <w:r>
        <w:rPr>
          <w:rFonts w:ascii="Arial" w:cs="Arial" w:eastAsia="Arial" w:hAnsi="Arial"/>
          <w:sz w:val="19"/>
          <w:szCs w:val="19"/>
          <w:color w:val="auto"/>
        </w:rPr>
        <w:t>Consists of 800,000 shares of common stock that Carolyn C. Bagley is deemed to beneficially own because she has shared voting power and shared dispositive power as a co-trustee of the E. Dallin Bagley Irrevocable Trust. These shares are also deemed to be beneficially owned by the other trustees of said trust.</w:t>
      </w:r>
    </w:p>
    <w:p>
      <w:pPr>
        <w:spacing w:after="0" w:line="161" w:lineRule="exact"/>
        <w:rPr>
          <w:rFonts w:ascii="Arial" w:cs="Arial" w:eastAsia="Arial" w:hAnsi="Arial"/>
          <w:sz w:val="19"/>
          <w:szCs w:val="19"/>
          <w:color w:val="auto"/>
        </w:rPr>
      </w:pPr>
    </w:p>
    <w:p>
      <w:pPr>
        <w:jc w:val="both"/>
        <w:ind w:right="479" w:firstLine="8"/>
        <w:spacing w:after="0"/>
        <w:tabs>
          <w:tab w:leader="none" w:pos="32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Excludes 1,833,960 shares of common stock and options to purchase 834 shares of common stock that are owed by Edward Dallin Bagley, Carolyn C. Bagley’s husband, for which Carolyn C. Bagley disclaims beneficial ownership.</w:t>
      </w:r>
    </w:p>
    <w:p>
      <w:pPr>
        <w:spacing w:after="0" w:line="200" w:lineRule="exact"/>
        <w:rPr>
          <w:sz w:val="20"/>
          <w:szCs w:val="20"/>
          <w:color w:val="auto"/>
        </w:rPr>
      </w:pPr>
    </w:p>
    <w:p>
      <w:pPr>
        <w:spacing w:after="0" w:line="257"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6174740" cy="94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CUSIP No. 185060100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6288405" cy="383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88405" cy="3835400"/>
                    </a:xfrm>
                    <a:prstGeom prst="rect">
                      <a:avLst/>
                    </a:prstGeom>
                    <a:noFill/>
                  </pic:spPr>
                </pic:pic>
              </a:graphicData>
            </a:graphic>
          </wp:anchor>
        </w:drawing>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1Names of Reporting Persons.</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Amanda B. Krejci</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2Check the Appropriate Box if a Member of a Group (See Instructions)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8620" w:type="dxa"/>
            <w:vAlign w:val="bottom"/>
            <w:gridSpan w:val="2"/>
          </w:tcPr>
          <w:p>
            <w:pPr>
              <w:ind w:left="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0"/>
                <w:szCs w:val="10"/>
                <w:color w:val="auto"/>
              </w:rPr>
              <w:t>X</w:t>
            </w:r>
            <w:r>
              <w:rPr>
                <w:rFonts w:ascii="Arial" w:cs="Arial" w:eastAsia="Arial" w:hAnsi="Arial"/>
                <w:sz w:val="18"/>
                <w:szCs w:val="18"/>
                <w:color w:val="auto"/>
              </w:rPr>
              <w:t xml:space="preserve"> </w:t>
            </w:r>
            <w:r>
              <w:rPr>
                <w:rFonts w:ascii="Arial" w:cs="Arial" w:eastAsia="Arial" w:hAnsi="Arial"/>
                <w:sz w:val="10"/>
                <w:szCs w:val="10"/>
                <w:color w:val="FFFFFF"/>
              </w:rPr>
              <w:t>.</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0"/>
                <w:szCs w:val="10"/>
                <w:color w:val="FFFFFF"/>
              </w:rPr>
              <w:t>.</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3SEC Use Only</w:t>
            </w:r>
          </w:p>
        </w:tc>
        <w:tc>
          <w:tcPr>
            <w:tcW w:w="0" w:type="dxa"/>
            <w:vAlign w:val="bottom"/>
          </w:tcPr>
          <w:p>
            <w:pPr>
              <w:spacing w:after="0"/>
              <w:rPr>
                <w:sz w:val="1"/>
                <w:szCs w:val="1"/>
                <w:color w:val="auto"/>
              </w:rPr>
            </w:pPr>
          </w:p>
        </w:tc>
      </w:tr>
      <w:tr>
        <w:trPr>
          <w:trHeight w:val="195"/>
        </w:trPr>
        <w:tc>
          <w:tcPr>
            <w:tcW w:w="990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4Source of Funds</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5"/>
        </w:trPr>
        <w:tc>
          <w:tcPr>
            <w:tcW w:w="990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5Check if Disclosure of Legal Proceedings is Required Pursuant to Items 2(d) or 2(e)</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5"/>
        </w:trPr>
        <w:tc>
          <w:tcPr>
            <w:tcW w:w="9900" w:type="dxa"/>
            <w:vAlign w:val="bottom"/>
            <w:gridSpan w:val="3"/>
          </w:tcPr>
          <w:p>
            <w:pPr>
              <w:ind w:left="520"/>
              <w:spacing w:after="0" w:line="195" w:lineRule="exact"/>
              <w:rPr>
                <w:sz w:val="20"/>
                <w:szCs w:val="20"/>
                <w:color w:val="auto"/>
              </w:rPr>
            </w:pPr>
            <w:r>
              <w:rPr>
                <w:rFonts w:ascii="Arial" w:cs="Arial" w:eastAsia="Arial" w:hAnsi="Arial"/>
                <w:sz w:val="18"/>
                <w:szCs w:val="18"/>
                <w:color w:val="auto"/>
              </w:rPr>
              <w:t>6Citizenship or Place of Organization</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195"/>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16"/>
                <w:szCs w:val="16"/>
                <w:color w:val="auto"/>
              </w:rPr>
            </w:pPr>
          </w:p>
        </w:tc>
        <w:tc>
          <w:tcPr>
            <w:tcW w:w="8200" w:type="dxa"/>
            <w:vAlign w:val="bottom"/>
          </w:tcPr>
          <w:p>
            <w:pPr>
              <w:spacing w:after="0" w:line="195" w:lineRule="exact"/>
              <w:rPr>
                <w:sz w:val="20"/>
                <w:szCs w:val="20"/>
                <w:color w:val="auto"/>
              </w:rPr>
            </w:pPr>
            <w:r>
              <w:rPr>
                <w:rFonts w:ascii="Arial" w:cs="Arial" w:eastAsia="Arial" w:hAnsi="Arial"/>
                <w:sz w:val="18"/>
                <w:szCs w:val="18"/>
                <w:color w:val="auto"/>
              </w:rPr>
              <w:t>7Sole Voting Power</w:t>
            </w: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8200" w:type="dxa"/>
            <w:vAlign w:val="bottom"/>
            <w:vMerge w:val="restart"/>
          </w:tcPr>
          <w:p>
            <w:pPr>
              <w:ind w:left="62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109"/>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4"/>
              </w:rPr>
              <w:t>Shares</w:t>
            </w:r>
          </w:p>
        </w:tc>
        <w:tc>
          <w:tcPr>
            <w:tcW w:w="420" w:type="dxa"/>
            <w:vAlign w:val="bottom"/>
            <w:tcBorders>
              <w:bottom w:val="single" w:sz="8" w:color="auto"/>
            </w:tcBorders>
          </w:tcPr>
          <w:p>
            <w:pPr>
              <w:spacing w:after="0"/>
              <w:rPr>
                <w:sz w:val="9"/>
                <w:szCs w:val="9"/>
                <w:color w:val="auto"/>
              </w:rPr>
            </w:pPr>
          </w:p>
        </w:tc>
        <w:tc>
          <w:tcPr>
            <w:tcW w:w="82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280" w:type="dxa"/>
            <w:vAlign w:val="bottom"/>
            <w:tcBorders>
              <w:right w:val="single" w:sz="8" w:color="auto"/>
            </w:tcBorders>
            <w:vMerge w:val="continue"/>
          </w:tcPr>
          <w:p>
            <w:pPr>
              <w:spacing w:after="0"/>
              <w:rPr>
                <w:sz w:val="7"/>
                <w:szCs w:val="7"/>
                <w:color w:val="auto"/>
              </w:rPr>
            </w:pPr>
          </w:p>
        </w:tc>
        <w:tc>
          <w:tcPr>
            <w:tcW w:w="420" w:type="dxa"/>
            <w:vAlign w:val="bottom"/>
          </w:tcPr>
          <w:p>
            <w:pPr>
              <w:spacing w:after="0"/>
              <w:rPr>
                <w:sz w:val="7"/>
                <w:szCs w:val="7"/>
                <w:color w:val="auto"/>
              </w:rPr>
            </w:pPr>
          </w:p>
        </w:tc>
        <w:tc>
          <w:tcPr>
            <w:tcW w:w="8200" w:type="dxa"/>
            <w:vAlign w:val="bottom"/>
            <w:vMerge w:val="restart"/>
          </w:tcPr>
          <w:p>
            <w:pPr>
              <w:spacing w:after="0" w:line="195" w:lineRule="exact"/>
              <w:rPr>
                <w:sz w:val="20"/>
                <w:szCs w:val="20"/>
                <w:color w:val="auto"/>
              </w:rPr>
            </w:pPr>
            <w:r>
              <w:rPr>
                <w:rFonts w:ascii="Arial" w:cs="Arial" w:eastAsia="Arial" w:hAnsi="Arial"/>
                <w:sz w:val="18"/>
                <w:szCs w:val="18"/>
                <w:color w:val="auto"/>
              </w:rPr>
              <w:t>8Shared Voting Power</w:t>
            </w: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Beneficially</w:t>
            </w:r>
          </w:p>
        </w:tc>
        <w:tc>
          <w:tcPr>
            <w:tcW w:w="420" w:type="dxa"/>
            <w:vAlign w:val="bottom"/>
          </w:tcPr>
          <w:p>
            <w:pPr>
              <w:spacing w:after="0"/>
              <w:rPr>
                <w:sz w:val="9"/>
                <w:szCs w:val="9"/>
                <w:color w:val="auto"/>
              </w:rPr>
            </w:pPr>
          </w:p>
        </w:tc>
        <w:tc>
          <w:tcPr>
            <w:tcW w:w="8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tcBorders>
              <w:right w:val="single" w:sz="8" w:color="auto"/>
            </w:tcBorders>
            <w:vMerge w:val="continue"/>
          </w:tcPr>
          <w:p>
            <w:pPr>
              <w:spacing w:after="0"/>
              <w:rPr>
                <w:sz w:val="9"/>
                <w:szCs w:val="9"/>
                <w:color w:val="auto"/>
              </w:rPr>
            </w:pPr>
          </w:p>
        </w:tc>
        <w:tc>
          <w:tcPr>
            <w:tcW w:w="420" w:type="dxa"/>
            <w:vAlign w:val="bottom"/>
          </w:tcPr>
          <w:p>
            <w:pPr>
              <w:spacing w:after="0"/>
              <w:rPr>
                <w:sz w:val="9"/>
                <w:szCs w:val="9"/>
                <w:color w:val="auto"/>
              </w:rPr>
            </w:pPr>
          </w:p>
        </w:tc>
        <w:tc>
          <w:tcPr>
            <w:tcW w:w="8200" w:type="dxa"/>
            <w:vAlign w:val="bottom"/>
            <w:vMerge w:val="restart"/>
          </w:tcPr>
          <w:p>
            <w:pPr>
              <w:ind w:left="620"/>
              <w:spacing w:after="0"/>
              <w:rPr>
                <w:sz w:val="20"/>
                <w:szCs w:val="20"/>
                <w:color w:val="auto"/>
              </w:rPr>
            </w:pPr>
            <w:r>
              <w:rPr>
                <w:rFonts w:ascii="Arial" w:cs="Arial" w:eastAsia="Arial" w:hAnsi="Arial"/>
                <w:sz w:val="18"/>
                <w:szCs w:val="18"/>
                <w:color w:val="auto"/>
              </w:rPr>
              <w:t>800,000 (1)</w:t>
            </w: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Owned by</w:t>
            </w:r>
          </w:p>
        </w:tc>
        <w:tc>
          <w:tcPr>
            <w:tcW w:w="420" w:type="dxa"/>
            <w:vAlign w:val="bottom"/>
            <w:tcBorders>
              <w:bottom w:val="single" w:sz="8" w:color="auto"/>
            </w:tcBorders>
          </w:tcPr>
          <w:p>
            <w:pPr>
              <w:spacing w:after="0"/>
              <w:rPr>
                <w:sz w:val="10"/>
                <w:szCs w:val="10"/>
                <w:color w:val="auto"/>
              </w:rPr>
            </w:pPr>
          </w:p>
        </w:tc>
        <w:tc>
          <w:tcPr>
            <w:tcW w:w="8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280" w:type="dxa"/>
            <w:vAlign w:val="bottom"/>
            <w:tcBorders>
              <w:right w:val="single" w:sz="8" w:color="auto"/>
            </w:tcBorders>
            <w:vMerge w:val="continue"/>
          </w:tcPr>
          <w:p>
            <w:pPr>
              <w:spacing w:after="0"/>
              <w:rPr>
                <w:sz w:val="6"/>
                <w:szCs w:val="6"/>
                <w:color w:val="auto"/>
              </w:rPr>
            </w:pPr>
          </w:p>
        </w:tc>
        <w:tc>
          <w:tcPr>
            <w:tcW w:w="420" w:type="dxa"/>
            <w:vAlign w:val="bottom"/>
          </w:tcPr>
          <w:p>
            <w:pPr>
              <w:spacing w:after="0"/>
              <w:rPr>
                <w:sz w:val="6"/>
                <w:szCs w:val="6"/>
                <w:color w:val="auto"/>
              </w:rPr>
            </w:pPr>
          </w:p>
        </w:tc>
        <w:tc>
          <w:tcPr>
            <w:tcW w:w="8200" w:type="dxa"/>
            <w:vAlign w:val="bottom"/>
            <w:vMerge w:val="restart"/>
          </w:tcPr>
          <w:p>
            <w:pPr>
              <w:spacing w:after="0" w:line="195" w:lineRule="exact"/>
              <w:rPr>
                <w:sz w:val="20"/>
                <w:szCs w:val="20"/>
                <w:color w:val="auto"/>
              </w:rPr>
            </w:pPr>
            <w:r>
              <w:rPr>
                <w:rFonts w:ascii="Arial" w:cs="Arial" w:eastAsia="Arial" w:hAnsi="Arial"/>
                <w:sz w:val="18"/>
                <w:szCs w:val="18"/>
                <w:color w:val="auto"/>
              </w:rPr>
              <w:t>9Sole Dispositive Power</w:t>
            </w:r>
          </w:p>
        </w:tc>
        <w:tc>
          <w:tcPr>
            <w:tcW w:w="0" w:type="dxa"/>
            <w:vAlign w:val="bottom"/>
          </w:tcPr>
          <w:p>
            <w:pPr>
              <w:spacing w:after="0"/>
              <w:rPr>
                <w:sz w:val="1"/>
                <w:szCs w:val="1"/>
                <w:color w:val="auto"/>
              </w:rPr>
            </w:pPr>
          </w:p>
        </w:tc>
      </w:tr>
      <w:tr>
        <w:trPr>
          <w:trHeight w:val="122"/>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Each</w:t>
            </w:r>
          </w:p>
        </w:tc>
        <w:tc>
          <w:tcPr>
            <w:tcW w:w="42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80" w:type="dxa"/>
            <w:vAlign w:val="bottom"/>
            <w:tcBorders>
              <w:right w:val="single" w:sz="8" w:color="auto"/>
            </w:tcBorders>
            <w:vMerge w:val="continue"/>
          </w:tcPr>
          <w:p>
            <w:pPr>
              <w:spacing w:after="0"/>
              <w:rPr>
                <w:sz w:val="8"/>
                <w:szCs w:val="8"/>
                <w:color w:val="auto"/>
              </w:rPr>
            </w:pPr>
          </w:p>
        </w:tc>
        <w:tc>
          <w:tcPr>
            <w:tcW w:w="420" w:type="dxa"/>
            <w:vAlign w:val="bottom"/>
          </w:tcPr>
          <w:p>
            <w:pPr>
              <w:spacing w:after="0"/>
              <w:rPr>
                <w:sz w:val="8"/>
                <w:szCs w:val="8"/>
                <w:color w:val="auto"/>
              </w:rPr>
            </w:pPr>
          </w:p>
        </w:tc>
        <w:tc>
          <w:tcPr>
            <w:tcW w:w="8200" w:type="dxa"/>
            <w:vAlign w:val="bottom"/>
            <w:vMerge w:val="restart"/>
          </w:tcPr>
          <w:p>
            <w:pPr>
              <w:ind w:left="620"/>
              <w:spacing w:after="0"/>
              <w:rPr>
                <w:sz w:val="20"/>
                <w:szCs w:val="20"/>
                <w:color w:val="auto"/>
              </w:rPr>
            </w:pPr>
            <w:r>
              <w:rPr>
                <w:rFonts w:ascii="Arial" w:cs="Arial" w:eastAsia="Arial" w:hAnsi="Arial"/>
                <w:sz w:val="18"/>
                <w:szCs w:val="18"/>
                <w:color w:val="auto"/>
              </w:rPr>
              <w:t>4,436</w:t>
            </w:r>
          </w:p>
        </w:tc>
        <w:tc>
          <w:tcPr>
            <w:tcW w:w="0" w:type="dxa"/>
            <w:vAlign w:val="bottom"/>
          </w:tcPr>
          <w:p>
            <w:pPr>
              <w:spacing w:after="0"/>
              <w:rPr>
                <w:sz w:val="1"/>
                <w:szCs w:val="1"/>
                <w:color w:val="auto"/>
              </w:rPr>
            </w:pPr>
          </w:p>
        </w:tc>
      </w:tr>
      <w:tr>
        <w:trPr>
          <w:trHeight w:val="136"/>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Reporting</w:t>
            </w:r>
          </w:p>
        </w:tc>
        <w:tc>
          <w:tcPr>
            <w:tcW w:w="420" w:type="dxa"/>
            <w:vAlign w:val="bottom"/>
            <w:tcBorders>
              <w:bottom w:val="single" w:sz="8" w:color="auto"/>
            </w:tcBorders>
          </w:tcPr>
          <w:p>
            <w:pPr>
              <w:spacing w:after="0"/>
              <w:rPr>
                <w:sz w:val="11"/>
                <w:szCs w:val="11"/>
                <w:color w:val="auto"/>
              </w:rPr>
            </w:pPr>
          </w:p>
        </w:tc>
        <w:tc>
          <w:tcPr>
            <w:tcW w:w="82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280" w:type="dxa"/>
            <w:vAlign w:val="bottom"/>
            <w:tcBorders>
              <w:right w:val="single" w:sz="8" w:color="auto"/>
            </w:tcBorders>
            <w:vMerge w:val="continue"/>
          </w:tcPr>
          <w:p>
            <w:pPr>
              <w:spacing w:after="0"/>
              <w:rPr>
                <w:sz w:val="5"/>
                <w:szCs w:val="5"/>
                <w:color w:val="auto"/>
              </w:rPr>
            </w:pPr>
          </w:p>
        </w:tc>
        <w:tc>
          <w:tcPr>
            <w:tcW w:w="8620" w:type="dxa"/>
            <w:vAlign w:val="bottom"/>
            <w:gridSpan w:val="2"/>
            <w:vMerge w:val="restart"/>
          </w:tcPr>
          <w:p>
            <w:pPr>
              <w:ind w:left="220"/>
              <w:spacing w:after="0" w:line="195" w:lineRule="exact"/>
              <w:rPr>
                <w:sz w:val="20"/>
                <w:szCs w:val="20"/>
                <w:color w:val="auto"/>
              </w:rPr>
            </w:pPr>
            <w:r>
              <w:rPr>
                <w:rFonts w:ascii="Arial" w:cs="Arial" w:eastAsia="Arial" w:hAnsi="Arial"/>
                <w:sz w:val="18"/>
                <w:szCs w:val="18"/>
                <w:color w:val="auto"/>
              </w:rPr>
              <w:t>10Shared Dispositive Power</w:t>
            </w:r>
          </w:p>
        </w:tc>
        <w:tc>
          <w:tcPr>
            <w:tcW w:w="0" w:type="dxa"/>
            <w:vAlign w:val="bottom"/>
          </w:tcPr>
          <w:p>
            <w:pPr>
              <w:spacing w:after="0"/>
              <w:rPr>
                <w:sz w:val="1"/>
                <w:szCs w:val="1"/>
                <w:color w:val="auto"/>
              </w:rPr>
            </w:pPr>
          </w:p>
        </w:tc>
      </w:tr>
      <w:tr>
        <w:trPr>
          <w:trHeight w:val="135"/>
        </w:trPr>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Person With</w:t>
            </w:r>
          </w:p>
        </w:tc>
        <w:tc>
          <w:tcPr>
            <w:tcW w:w="8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280" w:type="dxa"/>
            <w:vAlign w:val="bottom"/>
            <w:tcBorders>
              <w:right w:val="single" w:sz="8" w:color="auto"/>
            </w:tcBorders>
            <w:vMerge w:val="continue"/>
          </w:tcPr>
          <w:p>
            <w:pPr>
              <w:spacing w:after="0"/>
              <w:rPr>
                <w:sz w:val="8"/>
                <w:szCs w:val="8"/>
                <w:color w:val="auto"/>
              </w:rPr>
            </w:pPr>
          </w:p>
        </w:tc>
        <w:tc>
          <w:tcPr>
            <w:tcW w:w="8620" w:type="dxa"/>
            <w:vAlign w:val="bottom"/>
            <w:gridSpan w:val="2"/>
            <w:vMerge w:val="restart"/>
          </w:tcPr>
          <w:p>
            <w:pPr>
              <w:ind w:left="1040"/>
              <w:spacing w:after="0"/>
              <w:rPr>
                <w:sz w:val="20"/>
                <w:szCs w:val="20"/>
                <w:color w:val="auto"/>
              </w:rPr>
            </w:pPr>
            <w:r>
              <w:rPr>
                <w:rFonts w:ascii="Arial" w:cs="Arial" w:eastAsia="Arial" w:hAnsi="Arial"/>
                <w:sz w:val="18"/>
                <w:szCs w:val="18"/>
                <w:color w:val="auto"/>
              </w:rPr>
              <w:t>800,000 (1)</w:t>
            </w:r>
          </w:p>
        </w:tc>
        <w:tc>
          <w:tcPr>
            <w:tcW w:w="0" w:type="dxa"/>
            <w:vAlign w:val="bottom"/>
          </w:tcPr>
          <w:p>
            <w:pPr>
              <w:spacing w:after="0"/>
              <w:rPr>
                <w:sz w:val="1"/>
                <w:szCs w:val="1"/>
                <w:color w:val="auto"/>
              </w:rPr>
            </w:pPr>
          </w:p>
        </w:tc>
      </w:tr>
      <w:tr>
        <w:trPr>
          <w:trHeight w:val="135"/>
        </w:trPr>
        <w:tc>
          <w:tcPr>
            <w:tcW w:w="1280" w:type="dxa"/>
            <w:vAlign w:val="bottom"/>
            <w:tcBorders>
              <w:bottom w:val="single" w:sz="8" w:color="auto"/>
              <w:right w:val="single" w:sz="8" w:color="auto"/>
            </w:tcBorders>
          </w:tcPr>
          <w:p>
            <w:pPr>
              <w:spacing w:after="0"/>
              <w:rPr>
                <w:sz w:val="11"/>
                <w:szCs w:val="11"/>
                <w:color w:val="auto"/>
              </w:rPr>
            </w:pPr>
          </w:p>
        </w:tc>
        <w:tc>
          <w:tcPr>
            <w:tcW w:w="862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9900" w:type="dxa"/>
            <w:vAlign w:val="bottom"/>
            <w:gridSpan w:val="3"/>
          </w:tcPr>
          <w:p>
            <w:pPr>
              <w:ind w:left="620"/>
              <w:spacing w:after="0" w:line="195" w:lineRule="exact"/>
              <w:rPr>
                <w:sz w:val="20"/>
                <w:szCs w:val="20"/>
                <w:color w:val="auto"/>
              </w:rPr>
            </w:pPr>
            <w:r>
              <w:rPr>
                <w:rFonts w:ascii="Arial" w:cs="Arial" w:eastAsia="Arial" w:hAnsi="Arial"/>
                <w:sz w:val="18"/>
                <w:szCs w:val="18"/>
                <w:color w:val="auto"/>
              </w:rPr>
              <w:t>11Aggregate Amount Beneficially Owned by Each Reporting Person</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804,436</w:t>
            </w:r>
          </w:p>
        </w:tc>
        <w:tc>
          <w:tcPr>
            <w:tcW w:w="0" w:type="dxa"/>
            <w:vAlign w:val="bottom"/>
          </w:tcPr>
          <w:p>
            <w:pPr>
              <w:spacing w:after="0"/>
              <w:rPr>
                <w:sz w:val="1"/>
                <w:szCs w:val="1"/>
                <w:color w:val="auto"/>
              </w:rPr>
            </w:pPr>
          </w:p>
        </w:tc>
      </w:tr>
      <w:tr>
        <w:trPr>
          <w:trHeight w:val="210"/>
        </w:trPr>
        <w:tc>
          <w:tcPr>
            <w:tcW w:w="9900" w:type="dxa"/>
            <w:vAlign w:val="bottom"/>
            <w:tcBorders>
              <w:bottom w:val="single" w:sz="8" w:color="auto"/>
            </w:tcBorders>
            <w:gridSpan w:val="3"/>
          </w:tcPr>
          <w:p>
            <w:pPr>
              <w:ind w:left="420"/>
              <w:spacing w:after="0"/>
              <w:rPr>
                <w:sz w:val="20"/>
                <w:szCs w:val="20"/>
                <w:color w:val="auto"/>
              </w:rPr>
            </w:pPr>
            <w:r>
              <w:rPr>
                <w:rFonts w:ascii="Arial" w:cs="Arial" w:eastAsia="Arial" w:hAnsi="Arial"/>
                <w:sz w:val="18"/>
                <w:szCs w:val="18"/>
                <w:color w:val="auto"/>
              </w:rPr>
              <w:t>12Check if the Aggregate Amount in Row (11) Excludes Certain Shares (See Instructions) ›</w:t>
            </w:r>
          </w:p>
        </w:tc>
        <w:tc>
          <w:tcPr>
            <w:tcW w:w="0" w:type="dxa"/>
            <w:vAlign w:val="bottom"/>
          </w:tcPr>
          <w:p>
            <w:pPr>
              <w:spacing w:after="0"/>
              <w:rPr>
                <w:sz w:val="1"/>
                <w:szCs w:val="1"/>
                <w:color w:val="auto"/>
              </w:rPr>
            </w:pPr>
          </w:p>
        </w:tc>
      </w:tr>
      <w:tr>
        <w:trPr>
          <w:trHeight w:val="195"/>
        </w:trPr>
        <w:tc>
          <w:tcPr>
            <w:tcW w:w="9900" w:type="dxa"/>
            <w:vAlign w:val="bottom"/>
            <w:gridSpan w:val="3"/>
          </w:tcPr>
          <w:p>
            <w:pPr>
              <w:ind w:left="420"/>
              <w:spacing w:after="0" w:line="195" w:lineRule="exact"/>
              <w:rPr>
                <w:sz w:val="20"/>
                <w:szCs w:val="20"/>
                <w:color w:val="auto"/>
              </w:rPr>
            </w:pPr>
            <w:r>
              <w:rPr>
                <w:rFonts w:ascii="Arial" w:cs="Arial" w:eastAsia="Arial" w:hAnsi="Arial"/>
                <w:sz w:val="18"/>
                <w:szCs w:val="18"/>
                <w:color w:val="auto"/>
              </w:rPr>
              <w:t>13Percentage of Class Represented by Amount in Row (11)</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5"/>
        </w:trPr>
        <w:tc>
          <w:tcPr>
            <w:tcW w:w="9900" w:type="dxa"/>
            <w:vAlign w:val="bottom"/>
            <w:gridSpan w:val="3"/>
          </w:tcPr>
          <w:p>
            <w:pPr>
              <w:ind w:left="420"/>
              <w:spacing w:after="0" w:line="195" w:lineRule="exact"/>
              <w:rPr>
                <w:sz w:val="20"/>
                <w:szCs w:val="20"/>
                <w:color w:val="auto"/>
              </w:rPr>
            </w:pPr>
            <w:r>
              <w:rPr>
                <w:rFonts w:ascii="Arial" w:cs="Arial" w:eastAsia="Arial" w:hAnsi="Arial"/>
                <w:sz w:val="18"/>
                <w:szCs w:val="18"/>
                <w:color w:val="auto"/>
              </w:rPr>
              <w:t>14Type of Reporting Person (See Instructions)</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spacing w:after="0"/>
              <w:rPr>
                <w:sz w:val="20"/>
                <w:szCs w:val="20"/>
                <w:color w:val="auto"/>
              </w:rPr>
            </w:pPr>
          </w:p>
        </w:tc>
        <w:tc>
          <w:tcPr>
            <w:tcW w:w="8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499" w:firstLine="8"/>
        <w:spacing w:after="0" w:line="297" w:lineRule="auto"/>
        <w:tabs>
          <w:tab w:leader="none" w:pos="315" w:val="left"/>
        </w:tabs>
        <w:numPr>
          <w:ilvl w:val="0"/>
          <w:numId w:val="5"/>
        </w:numPr>
        <w:rPr>
          <w:rFonts w:ascii="Arial" w:cs="Arial" w:eastAsia="Arial" w:hAnsi="Arial"/>
          <w:sz w:val="19"/>
          <w:szCs w:val="19"/>
          <w:color w:val="auto"/>
        </w:rPr>
      </w:pPr>
      <w:r>
        <w:rPr>
          <w:rFonts w:ascii="Arial" w:cs="Arial" w:eastAsia="Arial" w:hAnsi="Arial"/>
          <w:sz w:val="19"/>
          <w:szCs w:val="19"/>
          <w:color w:val="auto"/>
        </w:rPr>
        <w:t>Consists of 800,000 shares of common stock that Amanda B. Krejci is deemed to beneficially own because she has shared voting power and shared dispositive power as a co-trustee of the E. Dallin Bagley Irrevocable Trust. These shares are also deemed to be beneficially owned by the other trustees of said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6174740" cy="946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 Security and Issuer</w:t>
      </w:r>
    </w:p>
    <w:p>
      <w:pPr>
        <w:spacing w:after="0" w:line="239" w:lineRule="exact"/>
        <w:rPr>
          <w:sz w:val="20"/>
          <w:szCs w:val="20"/>
          <w:color w:val="auto"/>
        </w:rPr>
      </w:pPr>
    </w:p>
    <w:p>
      <w:pPr>
        <w:jc w:val="both"/>
        <w:ind w:right="479" w:firstLine="648"/>
        <w:spacing w:after="0" w:line="258" w:lineRule="auto"/>
        <w:rPr>
          <w:sz w:val="20"/>
          <w:szCs w:val="20"/>
          <w:color w:val="auto"/>
        </w:rPr>
      </w:pPr>
      <w:r>
        <w:rPr>
          <w:rFonts w:ascii="Arial" w:cs="Arial" w:eastAsia="Arial" w:hAnsi="Arial"/>
          <w:sz w:val="21"/>
          <w:szCs w:val="21"/>
          <w:color w:val="auto"/>
        </w:rPr>
        <w:t>This statement on Schedule 13D relates to the shares of common stock, par value $.001 per share (the “Common Stock”), of ClearOne Inc., a Utah corporation (the “Company”). The Company’s principal executive offices are located at 5225 Wiley Post Way, Suite 500, Salt Lake City, Utah 84116.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Identity and Background</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 Name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statement is being jointly filed by E. Bryan Bagley, Lisa B. Higley, Carolyn C. Bagley and Amanda</w:t>
      </w:r>
    </w:p>
    <w:p>
      <w:pPr>
        <w:spacing w:after="0" w:line="43" w:lineRule="exact"/>
        <w:rPr>
          <w:sz w:val="20"/>
          <w:szCs w:val="20"/>
          <w:color w:val="auto"/>
        </w:rPr>
      </w:pPr>
    </w:p>
    <w:p>
      <w:pPr>
        <w:ind w:left="260" w:hanging="252"/>
        <w:spacing w:after="0"/>
        <w:tabs>
          <w:tab w:leader="none" w:pos="260" w:val="left"/>
        </w:tabs>
        <w:numPr>
          <w:ilvl w:val="0"/>
          <w:numId w:val="6"/>
        </w:numPr>
        <w:rPr>
          <w:rFonts w:ascii="Arial" w:cs="Arial" w:eastAsia="Arial" w:hAnsi="Arial"/>
          <w:sz w:val="22"/>
          <w:szCs w:val="22"/>
          <w:color w:val="auto"/>
        </w:rPr>
      </w:pPr>
      <w:r>
        <w:rPr>
          <w:rFonts w:ascii="Arial" w:cs="Arial" w:eastAsia="Arial" w:hAnsi="Arial"/>
          <w:sz w:val="22"/>
          <w:szCs w:val="22"/>
          <w:color w:val="auto"/>
        </w:rPr>
        <w:t>Krejci.</w:t>
      </w:r>
    </w:p>
    <w:p>
      <w:pPr>
        <w:spacing w:after="0" w:line="209" w:lineRule="exact"/>
        <w:rPr>
          <w:rFonts w:ascii="Arial" w:cs="Arial" w:eastAsia="Arial" w:hAnsi="Arial"/>
          <w:sz w:val="22"/>
          <w:szCs w:val="22"/>
          <w:color w:val="auto"/>
        </w:rPr>
      </w:pPr>
    </w:p>
    <w:p>
      <w:pPr>
        <w:ind w:left="980" w:hanging="324"/>
        <w:spacing w:after="0"/>
        <w:tabs>
          <w:tab w:leader="none" w:pos="980" w:val="left"/>
        </w:tabs>
        <w:numPr>
          <w:ilvl w:val="1"/>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Residence or business address</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 Bryan Bagley’s address is 1470 Arlington Drive, Salt Lake City, Utah 84103.</w:t>
      </w:r>
    </w:p>
    <w:p>
      <w:pPr>
        <w:ind w:left="660"/>
        <w:spacing w:after="0" w:line="238" w:lineRule="auto"/>
        <w:rPr>
          <w:sz w:val="20"/>
          <w:szCs w:val="20"/>
          <w:color w:val="auto"/>
        </w:rPr>
      </w:pPr>
      <w:r>
        <w:rPr>
          <w:rFonts w:ascii="Arial" w:cs="Arial" w:eastAsia="Arial" w:hAnsi="Arial"/>
          <w:sz w:val="22"/>
          <w:szCs w:val="22"/>
          <w:color w:val="auto"/>
        </w:rPr>
        <w:t>Lisa B. Higley’s address is 2224 Dallin Street, Salt Lake City, Utah 84109.</w:t>
      </w:r>
    </w:p>
    <w:p>
      <w:pPr>
        <w:ind w:left="660"/>
        <w:spacing w:after="0" w:line="230" w:lineRule="auto"/>
        <w:rPr>
          <w:sz w:val="20"/>
          <w:szCs w:val="20"/>
          <w:color w:val="auto"/>
        </w:rPr>
      </w:pPr>
      <w:r>
        <w:rPr>
          <w:rFonts w:ascii="Arial" w:cs="Arial" w:eastAsia="Arial" w:hAnsi="Arial"/>
          <w:sz w:val="22"/>
          <w:szCs w:val="22"/>
          <w:color w:val="auto"/>
        </w:rPr>
        <w:t>Carolyn C. Bagley’s address is 2350 Oakhill Drive, Salt Lake City, Utah 84121.</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Amanda B. Krejci’s address is 1847 Charleston Lane, Salt Lake City, Utah 84121.</w:t>
      </w:r>
    </w:p>
    <w:p>
      <w:pPr>
        <w:spacing w:after="0" w:line="209" w:lineRule="exact"/>
        <w:rPr>
          <w:sz w:val="20"/>
          <w:szCs w:val="20"/>
          <w:color w:val="auto"/>
        </w:rPr>
      </w:pPr>
    </w:p>
    <w:p>
      <w:pPr>
        <w:ind w:right="499" w:firstLine="656"/>
        <w:spacing w:after="0" w:line="256" w:lineRule="auto"/>
        <w:tabs>
          <w:tab w:leader="none" w:pos="958"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Present principal occupation or employment and the name, principal business and address of any corporation or other organization in which such employment is conducted</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E. Bryan Bagley is principally self-employed as an investor at the address listed in Item 2(b) above.</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Lisa B. Higley is principally self-employed as a CPA at the address listed in Item 2(b) above.</w:t>
      </w:r>
    </w:p>
    <w:p>
      <w:pPr>
        <w:ind w:left="660"/>
        <w:spacing w:after="0" w:line="230" w:lineRule="auto"/>
        <w:rPr>
          <w:sz w:val="20"/>
          <w:szCs w:val="20"/>
          <w:color w:val="auto"/>
        </w:rPr>
      </w:pPr>
      <w:r>
        <w:rPr>
          <w:rFonts w:ascii="Arial" w:cs="Arial" w:eastAsia="Arial" w:hAnsi="Arial"/>
          <w:sz w:val="22"/>
          <w:szCs w:val="22"/>
          <w:color w:val="auto"/>
        </w:rPr>
        <w:t>Carolyn C. Bagley is retired.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Amanda B. Krejci is principally self-employed as an investor at the address listed in Item 2(b) above.</w:t>
      </w:r>
    </w:p>
    <w:p>
      <w:pPr>
        <w:spacing w:after="0" w:line="244" w:lineRule="exact"/>
        <w:rPr>
          <w:sz w:val="20"/>
          <w:szCs w:val="20"/>
          <w:color w:val="auto"/>
        </w:rPr>
      </w:pPr>
    </w:p>
    <w:p>
      <w:pPr>
        <w:jc w:val="both"/>
        <w:ind w:right="479" w:firstLine="656"/>
        <w:spacing w:after="0" w:line="301" w:lineRule="auto"/>
        <w:tabs>
          <w:tab w:leader="none" w:pos="1011"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Whether or not, during the last five years, such person has been convicted in a criminal proceeding (excluding minor traffic violations or similar misdemeanors) and, if so, give the dates, nature of conviction, name and location of court, any penalty imposed, or other disposition of the case.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jc w:val="both"/>
        <w:ind w:right="499" w:firstLine="656"/>
        <w:spacing w:after="0" w:line="236" w:lineRule="auto"/>
        <w:tabs>
          <w:tab w:leader="none" w:pos="959"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Whether of not, during the last five years, such person was a party to a civil proceeding or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and, if so, identify and describe such proceedings and summarize the terms of such judgment, decree or final order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 Citizenship.</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reporting person is a citizen of the United States.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Source and Amount of Funds or Other Consideration</w:t>
      </w:r>
    </w:p>
    <w:p>
      <w:pPr>
        <w:spacing w:after="0" w:line="239" w:lineRule="exact"/>
        <w:rPr>
          <w:sz w:val="20"/>
          <w:szCs w:val="20"/>
          <w:color w:val="auto"/>
        </w:rPr>
      </w:pPr>
    </w:p>
    <w:p>
      <w:pPr>
        <w:ind w:right="479" w:firstLine="648"/>
        <w:spacing w:after="0" w:line="251" w:lineRule="auto"/>
        <w:rPr>
          <w:sz w:val="20"/>
          <w:szCs w:val="20"/>
          <w:color w:val="auto"/>
        </w:rPr>
      </w:pPr>
      <w:r>
        <w:rPr>
          <w:rFonts w:ascii="Arial" w:cs="Arial" w:eastAsia="Arial" w:hAnsi="Arial"/>
          <w:sz w:val="22"/>
          <w:szCs w:val="22"/>
          <w:color w:val="auto"/>
        </w:rPr>
        <w:t>The Common Stock was acquired by gift. The information in Item 5 is hereby incorporated by reference.</w:t>
      </w:r>
    </w:p>
    <w:p>
      <w:pPr>
        <w:sectPr>
          <w:pgSz w:w="11900" w:h="16838" w:orient="portrait"/>
          <w:cols w:equalWidth="0" w:num="1">
            <w:col w:w="10219"/>
          </w:cols>
          <w:pgMar w:left="240" w:top="5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617474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598"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color w:val="auto"/>
        </w:rPr>
        <w:t>Item 4. Purpose of Transaction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reporting persons acquired the Common Stock for investment purposes.</w:t>
      </w:r>
    </w:p>
    <w:p>
      <w:pPr>
        <w:spacing w:after="0" w:line="233" w:lineRule="exact"/>
        <w:rPr>
          <w:sz w:val="20"/>
          <w:szCs w:val="20"/>
          <w:color w:val="auto"/>
        </w:rPr>
      </w:pPr>
    </w:p>
    <w:p>
      <w:pPr>
        <w:jc w:val="both"/>
        <w:ind w:right="479" w:firstLine="648"/>
        <w:spacing w:after="0" w:line="271" w:lineRule="auto"/>
        <w:rPr>
          <w:sz w:val="20"/>
          <w:szCs w:val="20"/>
          <w:color w:val="auto"/>
        </w:rPr>
      </w:pPr>
      <w:r>
        <w:rPr>
          <w:rFonts w:ascii="Arial" w:cs="Arial" w:eastAsia="Arial" w:hAnsi="Arial"/>
          <w:sz w:val="19"/>
          <w:szCs w:val="19"/>
          <w:color w:val="auto"/>
        </w:rPr>
        <w:t>In pursuing such investment purposes, the reporting persons may further purchase, hold, vote, trade, dispose or otherwise deal in the Common Stock at such times, and in such manner, as each reporting person deems advisable to benefit from changes in market prices of the Common Stock, changes in the Issuer's operations, business strategy or prospects, or from sale or merger of the Issuer. To evaluate such alternatives, each reporting person may routinely monitor the Issuer's operations, prospects, business development, management, competitive and strategic matters, capital structure, and prevailing market conditions, as well as alternative investment opportunities, liquidity requirements of each such reporting person and other investment considerations. The reporting persons may discuss such matters with management or directors of the Issuer, other shareholders, industry analysts, investment and financing professionals, sources of credit and other investors. Such factors and discussions may materially affect, and result in, one or more reporting persons modifying his ownership of Common Stock, exchanging information with the Issuer pursuant to appropriate confidentiality or similar agreements, proposing changes in the Issuer's operations, governance, board of directors, capitalization, or in proposing one or more of the other actions described in subsections (a) through (j) of Item 4 of Schedule 13D.</w:t>
      </w:r>
    </w:p>
    <w:p>
      <w:pPr>
        <w:spacing w:after="0" w:line="200" w:lineRule="exact"/>
        <w:rPr>
          <w:sz w:val="20"/>
          <w:szCs w:val="20"/>
          <w:color w:val="auto"/>
        </w:rPr>
      </w:pPr>
    </w:p>
    <w:p>
      <w:pPr>
        <w:spacing w:after="0" w:line="239" w:lineRule="exact"/>
        <w:rPr>
          <w:sz w:val="20"/>
          <w:szCs w:val="20"/>
          <w:color w:val="auto"/>
        </w:rPr>
      </w:pPr>
    </w:p>
    <w:p>
      <w:pPr>
        <w:jc w:val="both"/>
        <w:ind w:right="499" w:firstLine="648"/>
        <w:spacing w:after="0" w:line="235" w:lineRule="auto"/>
        <w:rPr>
          <w:sz w:val="20"/>
          <w:szCs w:val="20"/>
          <w:color w:val="auto"/>
        </w:rPr>
      </w:pPr>
      <w:r>
        <w:rPr>
          <w:rFonts w:ascii="Arial" w:cs="Arial" w:eastAsia="Arial" w:hAnsi="Arial"/>
          <w:sz w:val="22"/>
          <w:szCs w:val="22"/>
          <w:color w:val="auto"/>
        </w:rPr>
        <w:t>Each reporting person reserves the right to formulate other plans and/or make other proposals, and take such actions with respect to the investment in the Issuer, including any or all of the actions set forth in paragraphs (a) through (j) of Item 4 of Schedule 13D, or acquire additional Common Stock or dispose of all the Common Stock beneficially owned by the reporting person, in the public market or privately negotiated transactions. Each reporting person may at any time reconsider and change his plans or proposals relating to the foregoing.</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Interest in Securities of the Issuer</w:t>
      </w:r>
    </w:p>
    <w:p>
      <w:pPr>
        <w:spacing w:after="0" w:line="239" w:lineRule="exact"/>
        <w:rPr>
          <w:sz w:val="20"/>
          <w:szCs w:val="20"/>
          <w:color w:val="auto"/>
        </w:rPr>
      </w:pPr>
    </w:p>
    <w:p>
      <w:pPr>
        <w:jc w:val="both"/>
        <w:ind w:right="499" w:firstLine="8"/>
        <w:spacing w:after="0"/>
        <w:tabs>
          <w:tab w:leader="none" w:pos="621" w:val="left"/>
        </w:tabs>
        <w:numPr>
          <w:ilvl w:val="0"/>
          <w:numId w:val="10"/>
        </w:numPr>
        <w:rPr>
          <w:rFonts w:ascii="Arial" w:cs="Arial" w:eastAsia="Arial" w:hAnsi="Arial"/>
          <w:sz w:val="22"/>
          <w:szCs w:val="22"/>
          <w:color w:val="auto"/>
        </w:rPr>
      </w:pPr>
      <w:r>
        <w:rPr>
          <w:rFonts w:ascii="Arial" w:cs="Arial" w:eastAsia="Arial" w:hAnsi="Arial"/>
          <w:sz w:val="22"/>
          <w:szCs w:val="22"/>
          <w:color w:val="auto"/>
        </w:rPr>
        <w:t>As of the date hereof, Carolyn C. Bagley, E. Bryan Bagley, Amanda B. Krejci and Lisa B. Higley act as co-trustees of the E. Dallin Bagley Irrevocable Trust (the “EDBIT”). 800,000 shares of Common Stock are owned in the EDBIT.</w:t>
      </w:r>
    </w:p>
    <w:p>
      <w:pPr>
        <w:spacing w:after="0" w:line="213" w:lineRule="exact"/>
        <w:rPr>
          <w:rFonts w:ascii="Arial" w:cs="Arial" w:eastAsia="Arial" w:hAnsi="Arial"/>
          <w:sz w:val="22"/>
          <w:szCs w:val="22"/>
          <w:color w:val="auto"/>
        </w:rPr>
      </w:pPr>
    </w:p>
    <w:p>
      <w:pPr>
        <w:jc w:val="both"/>
        <w:ind w:right="499" w:firstLine="656"/>
        <w:spacing w:after="0" w:line="277" w:lineRule="auto"/>
        <w:tabs>
          <w:tab w:leader="none" w:pos="969" w:val="left"/>
        </w:tabs>
        <w:numPr>
          <w:ilvl w:val="1"/>
          <w:numId w:val="10"/>
        </w:numPr>
        <w:rPr>
          <w:rFonts w:ascii="Arial" w:cs="Arial" w:eastAsia="Arial" w:hAnsi="Arial"/>
          <w:sz w:val="19"/>
          <w:szCs w:val="19"/>
          <w:color w:val="auto"/>
        </w:rPr>
      </w:pPr>
      <w:r>
        <w:rPr>
          <w:rFonts w:ascii="Arial" w:cs="Arial" w:eastAsia="Arial" w:hAnsi="Arial"/>
          <w:sz w:val="19"/>
          <w:szCs w:val="19"/>
          <w:color w:val="auto"/>
        </w:rPr>
        <w:t>Bryan Bagley is the beneficial owner of 1,197,240 shares of Common Stock, representing approximately 13.3% of the Issuer’s outstanding Common Stock based on the Issuer’s reported 8,989,153 outstanding shares of Common Stock as of November 4, 2013 as reported in the Issuer’s Definitive Proxy Statement. Mr. Bagely is the beneficial owner of 800,000 shares of Common Stock as a result of his position of co-trustee in the EDBIT, and beneficial owner, 358,638 shares as a result of his position of co-trustee of two revocable trusts, 8,602 shares held in Mr. Bagley’s IRA and 30,000 shares held in Mr. Bagley’s profit sharing plan. The shares held by the EDBIT are also deemed to be beneficially owned by the other trustees of said trust.</w:t>
      </w:r>
    </w:p>
    <w:p>
      <w:pPr>
        <w:spacing w:after="0" w:line="180" w:lineRule="exact"/>
        <w:rPr>
          <w:sz w:val="20"/>
          <w:szCs w:val="20"/>
          <w:color w:val="auto"/>
        </w:rPr>
      </w:pPr>
    </w:p>
    <w:p>
      <w:pPr>
        <w:jc w:val="both"/>
        <w:ind w:right="479" w:firstLine="648"/>
        <w:spacing w:after="0" w:line="282" w:lineRule="auto"/>
        <w:rPr>
          <w:sz w:val="20"/>
          <w:szCs w:val="20"/>
          <w:color w:val="auto"/>
        </w:rPr>
      </w:pPr>
      <w:r>
        <w:rPr>
          <w:rFonts w:ascii="Arial" w:cs="Arial" w:eastAsia="Arial" w:hAnsi="Arial"/>
          <w:sz w:val="19"/>
          <w:szCs w:val="19"/>
          <w:color w:val="auto"/>
        </w:rPr>
        <w:t>Lisa B. Higley is the beneficial owner of 807,475 shares of Common Stock, representing approximately 9.0% of the Issuer’s outstanding Common Stock based on the Issuer’s reported 8,989,153 outstanding shares of Common Stock as of November 4, 2013 as reported in the Issuer’s Definitive Proxy Statement. Ms. Higley is the beneficial owner of 800,000 shares of Common Stock as a result of her position of co-trustee in the EDBIT. The shares held by the EDBIT are also deemed to be beneficially owned by the other trustees of said trust.</w:t>
      </w:r>
    </w:p>
    <w:p>
      <w:pPr>
        <w:spacing w:after="0" w:line="175" w:lineRule="exact"/>
        <w:rPr>
          <w:sz w:val="20"/>
          <w:szCs w:val="20"/>
          <w:color w:val="auto"/>
        </w:rPr>
      </w:pPr>
    </w:p>
    <w:p>
      <w:pPr>
        <w:jc w:val="both"/>
        <w:ind w:right="499" w:firstLine="773"/>
        <w:spacing w:after="0" w:line="246" w:lineRule="auto"/>
        <w:rPr>
          <w:sz w:val="20"/>
          <w:szCs w:val="20"/>
          <w:color w:val="auto"/>
        </w:rPr>
      </w:pPr>
      <w:r>
        <w:rPr>
          <w:rFonts w:ascii="Arial" w:cs="Arial" w:eastAsia="Arial" w:hAnsi="Arial"/>
          <w:sz w:val="21"/>
          <w:szCs w:val="21"/>
          <w:color w:val="auto"/>
        </w:rPr>
        <w:t>Carolyn C. Bagley is the beneficial owner of 926,166 shares of Common Stock, representing approximately 10.3% of the Issuer’s outstanding Common Stock based on the Issuer’s reported 8,989,153 outstanding shares of Common Stock as of November 4, 2013 as reported in the Issuer’s Definitive Proxy Statement. Ms. Bagley is the beneficial owner of 800,000 of these shares as a result of her position of co-trustee in the EDBIT. The shares held by the EDBIT are also deemed to be beneficially owned by the other trustees of said trust. These figures exclude 1,833,960 shares of Common Stock and options to purchase 834 shares of Common Stock that are owed by Edward Dallin Bagley, Carolyn C. Bagley’s husband, for which Carolyn C. Bagley disclaims beneficial ownership.</w:t>
      </w:r>
    </w:p>
    <w:p>
      <w:pPr>
        <w:spacing w:after="0" w:line="208" w:lineRule="exact"/>
        <w:rPr>
          <w:sz w:val="20"/>
          <w:szCs w:val="20"/>
          <w:color w:val="auto"/>
        </w:rPr>
      </w:pPr>
    </w:p>
    <w:p>
      <w:pPr>
        <w:jc w:val="both"/>
        <w:ind w:right="479" w:firstLine="648"/>
        <w:spacing w:after="0" w:line="235" w:lineRule="auto"/>
        <w:rPr>
          <w:sz w:val="20"/>
          <w:szCs w:val="20"/>
          <w:color w:val="auto"/>
        </w:rPr>
      </w:pPr>
      <w:r>
        <w:rPr>
          <w:rFonts w:ascii="Arial" w:cs="Arial" w:eastAsia="Arial" w:hAnsi="Arial"/>
          <w:sz w:val="22"/>
          <w:szCs w:val="22"/>
          <w:color w:val="auto"/>
        </w:rPr>
        <w:t>Amanda B. Krejci is the beneficial owner of 804,436 shares of Common Stock, representing approximately 9.0% of the Issuer’s outstanding Common Stock based on the Issuer’s reported 8,989,153 outstanding shares of Common Stock as of November 4, 2013 as reported in the Issuer’s Definitive Proxy Statement. Ms. Krejci is the beneficial owner of 800,000 shares of Common Stock as a result of her position of co-trustee in the EDBIT. The shares held by the EDBIT are also deemed to be beneficially owned by the other trustees of said trust.</w:t>
      </w:r>
    </w:p>
    <w:p>
      <w:pPr>
        <w:sectPr>
          <w:pgSz w:w="11900" w:h="16838" w:orient="portrait"/>
          <w:cols w:equalWidth="0" w:num="1">
            <w:col w:w="10219"/>
          </w:cols>
          <w:pgMar w:left="240" w:top="841" w:right="144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47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219"/>
          </w:cols>
          <w:pgMar w:left="240" w:top="841" w:right="1440" w:bottom="0" w:gutter="0" w:footer="0" w:header="0"/>
          <w:type w:val="continuous"/>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174740" cy="946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ind w:left="648" w:hanging="648"/>
        <w:spacing w:after="0"/>
        <w:tabs>
          <w:tab w:leader="none" w:pos="648" w:val="left"/>
        </w:tabs>
        <w:numPr>
          <w:ilvl w:val="0"/>
          <w:numId w:val="11"/>
        </w:numPr>
        <w:rPr>
          <w:rFonts w:ascii="Arial" w:cs="Arial" w:eastAsia="Arial" w:hAnsi="Arial"/>
          <w:sz w:val="22"/>
          <w:szCs w:val="22"/>
          <w:color w:val="auto"/>
        </w:rPr>
      </w:pPr>
      <w:r>
        <w:rPr>
          <w:rFonts w:ascii="Arial" w:cs="Arial" w:eastAsia="Arial" w:hAnsi="Arial"/>
          <w:sz w:val="22"/>
          <w:szCs w:val="22"/>
          <w:color w:val="auto"/>
        </w:rPr>
        <w:t>Number of shares of Common Stock as to which E. Bryan Bagley has:</w:t>
      </w:r>
    </w:p>
    <w:p>
      <w:pPr>
        <w:spacing w:after="0" w:line="233" w:lineRule="exact"/>
        <w:rPr>
          <w:rFonts w:ascii="Arial" w:cs="Arial" w:eastAsia="Arial" w:hAnsi="Arial"/>
          <w:sz w:val="22"/>
          <w:szCs w:val="22"/>
          <w:color w:val="auto"/>
        </w:rPr>
      </w:pPr>
    </w:p>
    <w:p>
      <w:pPr>
        <w:ind w:left="948" w:hanging="264"/>
        <w:spacing w:after="0"/>
        <w:tabs>
          <w:tab w:leader="none" w:pos="948"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vote or direct the vote: 38,602</w:t>
      </w:r>
    </w:p>
    <w:p>
      <w:pPr>
        <w:spacing w:after="0" w:line="8" w:lineRule="exact"/>
        <w:rPr>
          <w:rFonts w:ascii="Arial" w:cs="Arial" w:eastAsia="Arial" w:hAnsi="Arial"/>
          <w:sz w:val="22"/>
          <w:szCs w:val="22"/>
          <w:color w:val="auto"/>
        </w:rPr>
      </w:pPr>
    </w:p>
    <w:p>
      <w:pPr>
        <w:ind w:left="1008" w:hanging="324"/>
        <w:spacing w:after="0" w:line="230" w:lineRule="auto"/>
        <w:tabs>
          <w:tab w:leader="none" w:pos="1008"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vote or direct the vote: 1,158,638</w:t>
      </w:r>
    </w:p>
    <w:p>
      <w:pPr>
        <w:ind w:left="1068" w:hanging="384"/>
        <w:spacing w:after="0" w:line="230" w:lineRule="auto"/>
        <w:tabs>
          <w:tab w:leader="none" w:pos="1068" w:val="left"/>
        </w:tabs>
        <w:numPr>
          <w:ilvl w:val="1"/>
          <w:numId w:val="11"/>
        </w:numPr>
        <w:rPr>
          <w:rFonts w:ascii="Arial" w:cs="Arial" w:eastAsia="Arial" w:hAnsi="Arial"/>
          <w:sz w:val="22"/>
          <w:szCs w:val="22"/>
          <w:color w:val="auto"/>
        </w:rPr>
      </w:pPr>
      <w:r>
        <w:rPr>
          <w:rFonts w:ascii="Arial" w:cs="Arial" w:eastAsia="Arial" w:hAnsi="Arial"/>
          <w:sz w:val="22"/>
          <w:szCs w:val="22"/>
          <w:color w:val="auto"/>
        </w:rPr>
        <w:t>Sole power to dispose or direct the disposition: 38,602</w:t>
      </w:r>
    </w:p>
    <w:p>
      <w:pPr>
        <w:ind w:left="1048" w:hanging="364"/>
        <w:spacing w:after="0"/>
        <w:tabs>
          <w:tab w:leader="none" w:pos="1048" w:val="left"/>
        </w:tabs>
        <w:numPr>
          <w:ilvl w:val="1"/>
          <w:numId w:val="11"/>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1,158,638</w:t>
      </w:r>
    </w:p>
    <w:p>
      <w:pPr>
        <w:spacing w:after="0" w:line="215" w:lineRule="exact"/>
        <w:rPr>
          <w:sz w:val="20"/>
          <w:szCs w:val="20"/>
          <w:color w:val="auto"/>
        </w:rPr>
      </w:pPr>
    </w:p>
    <w:p>
      <w:pPr>
        <w:ind w:left="688"/>
        <w:spacing w:after="0"/>
        <w:rPr>
          <w:sz w:val="20"/>
          <w:szCs w:val="20"/>
          <w:color w:val="auto"/>
        </w:rPr>
      </w:pPr>
      <w:r>
        <w:rPr>
          <w:rFonts w:ascii="Arial" w:cs="Arial" w:eastAsia="Arial" w:hAnsi="Arial"/>
          <w:sz w:val="22"/>
          <w:szCs w:val="22"/>
          <w:color w:val="auto"/>
        </w:rPr>
        <w:t>Number of shares of Common Stock as to which Lisa B. Higley has:</w:t>
      </w:r>
    </w:p>
    <w:p>
      <w:pPr>
        <w:spacing w:after="0" w:line="233" w:lineRule="exact"/>
        <w:rPr>
          <w:sz w:val="20"/>
          <w:szCs w:val="20"/>
          <w:color w:val="auto"/>
        </w:rPr>
      </w:pPr>
    </w:p>
    <w:p>
      <w:pPr>
        <w:ind w:left="948" w:hanging="264"/>
        <w:spacing w:after="0"/>
        <w:tabs>
          <w:tab w:leader="none" w:pos="948" w:val="left"/>
        </w:tabs>
        <w:numPr>
          <w:ilvl w:val="0"/>
          <w:numId w:val="12"/>
        </w:numPr>
        <w:rPr>
          <w:rFonts w:ascii="Arial" w:cs="Arial" w:eastAsia="Arial" w:hAnsi="Arial"/>
          <w:sz w:val="22"/>
          <w:szCs w:val="22"/>
          <w:color w:val="auto"/>
        </w:rPr>
      </w:pPr>
      <w:r>
        <w:rPr>
          <w:rFonts w:ascii="Arial" w:cs="Arial" w:eastAsia="Arial" w:hAnsi="Arial"/>
          <w:sz w:val="22"/>
          <w:szCs w:val="22"/>
          <w:color w:val="auto"/>
        </w:rPr>
        <w:t>Sole power to vote or direct the vote: 7,475</w:t>
      </w:r>
    </w:p>
    <w:p>
      <w:pPr>
        <w:spacing w:after="0" w:line="8" w:lineRule="exact"/>
        <w:rPr>
          <w:rFonts w:ascii="Arial" w:cs="Arial" w:eastAsia="Arial" w:hAnsi="Arial"/>
          <w:sz w:val="22"/>
          <w:szCs w:val="22"/>
          <w:color w:val="auto"/>
        </w:rPr>
      </w:pPr>
    </w:p>
    <w:p>
      <w:pPr>
        <w:ind w:left="1008" w:hanging="324"/>
        <w:spacing w:after="0" w:line="230" w:lineRule="auto"/>
        <w:tabs>
          <w:tab w:leader="none" w:pos="1008" w:val="left"/>
        </w:tabs>
        <w:numPr>
          <w:ilvl w:val="0"/>
          <w:numId w:val="12"/>
        </w:numPr>
        <w:rPr>
          <w:rFonts w:ascii="Arial" w:cs="Arial" w:eastAsia="Arial" w:hAnsi="Arial"/>
          <w:sz w:val="22"/>
          <w:szCs w:val="22"/>
          <w:color w:val="auto"/>
        </w:rPr>
      </w:pPr>
      <w:r>
        <w:rPr>
          <w:rFonts w:ascii="Arial" w:cs="Arial" w:eastAsia="Arial" w:hAnsi="Arial"/>
          <w:sz w:val="22"/>
          <w:szCs w:val="22"/>
          <w:color w:val="auto"/>
        </w:rPr>
        <w:t>Shared power to vote or direct the vote: 800,000</w:t>
      </w:r>
    </w:p>
    <w:p>
      <w:pPr>
        <w:ind w:left="1068" w:hanging="384"/>
        <w:spacing w:after="0" w:line="230" w:lineRule="auto"/>
        <w:tabs>
          <w:tab w:leader="none" w:pos="1068" w:val="left"/>
        </w:tabs>
        <w:numPr>
          <w:ilvl w:val="0"/>
          <w:numId w:val="12"/>
        </w:numPr>
        <w:rPr>
          <w:rFonts w:ascii="Arial" w:cs="Arial" w:eastAsia="Arial" w:hAnsi="Arial"/>
          <w:sz w:val="22"/>
          <w:szCs w:val="22"/>
          <w:color w:val="auto"/>
        </w:rPr>
      </w:pPr>
      <w:r>
        <w:rPr>
          <w:rFonts w:ascii="Arial" w:cs="Arial" w:eastAsia="Arial" w:hAnsi="Arial"/>
          <w:sz w:val="22"/>
          <w:szCs w:val="22"/>
          <w:color w:val="auto"/>
        </w:rPr>
        <w:t>Sole power to dispose or direct the disposition: 7,475</w:t>
      </w:r>
    </w:p>
    <w:p>
      <w:pPr>
        <w:ind w:left="1048" w:hanging="364"/>
        <w:spacing w:after="0"/>
        <w:tabs>
          <w:tab w:leader="none" w:pos="1048" w:val="left"/>
        </w:tabs>
        <w:numPr>
          <w:ilvl w:val="0"/>
          <w:numId w:val="12"/>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800,000</w:t>
      </w:r>
    </w:p>
    <w:p>
      <w:pPr>
        <w:spacing w:after="0" w:line="215" w:lineRule="exact"/>
        <w:rPr>
          <w:sz w:val="20"/>
          <w:szCs w:val="20"/>
          <w:color w:val="auto"/>
        </w:rPr>
      </w:pPr>
    </w:p>
    <w:p>
      <w:pPr>
        <w:ind w:left="688"/>
        <w:spacing w:after="0"/>
        <w:rPr>
          <w:sz w:val="20"/>
          <w:szCs w:val="20"/>
          <w:color w:val="auto"/>
        </w:rPr>
      </w:pPr>
      <w:r>
        <w:rPr>
          <w:rFonts w:ascii="Arial" w:cs="Arial" w:eastAsia="Arial" w:hAnsi="Arial"/>
          <w:sz w:val="22"/>
          <w:szCs w:val="22"/>
          <w:color w:val="auto"/>
        </w:rPr>
        <w:t>Number of shares of Common Stock as to which Carolyn C. Bagley has:</w:t>
      </w:r>
    </w:p>
    <w:p>
      <w:pPr>
        <w:spacing w:after="0" w:line="233" w:lineRule="exact"/>
        <w:rPr>
          <w:sz w:val="20"/>
          <w:szCs w:val="20"/>
          <w:color w:val="auto"/>
        </w:rPr>
      </w:pPr>
    </w:p>
    <w:p>
      <w:pPr>
        <w:ind w:left="948" w:hanging="264"/>
        <w:spacing w:after="0"/>
        <w:tabs>
          <w:tab w:leader="none" w:pos="948" w:val="left"/>
        </w:tabs>
        <w:numPr>
          <w:ilvl w:val="0"/>
          <w:numId w:val="13"/>
        </w:numPr>
        <w:rPr>
          <w:rFonts w:ascii="Arial" w:cs="Arial" w:eastAsia="Arial" w:hAnsi="Arial"/>
          <w:sz w:val="22"/>
          <w:szCs w:val="22"/>
          <w:color w:val="auto"/>
        </w:rPr>
      </w:pPr>
      <w:r>
        <w:rPr>
          <w:rFonts w:ascii="Arial" w:cs="Arial" w:eastAsia="Arial" w:hAnsi="Arial"/>
          <w:sz w:val="22"/>
          <w:szCs w:val="22"/>
          <w:color w:val="auto"/>
        </w:rPr>
        <w:t>Sole power to vote or direct the vote: 126,166</w:t>
      </w:r>
    </w:p>
    <w:p>
      <w:pPr>
        <w:spacing w:after="0" w:line="8" w:lineRule="exact"/>
        <w:rPr>
          <w:rFonts w:ascii="Arial" w:cs="Arial" w:eastAsia="Arial" w:hAnsi="Arial"/>
          <w:sz w:val="22"/>
          <w:szCs w:val="22"/>
          <w:color w:val="auto"/>
        </w:rPr>
      </w:pPr>
    </w:p>
    <w:p>
      <w:pPr>
        <w:ind w:left="1008" w:hanging="324"/>
        <w:spacing w:after="0" w:line="230" w:lineRule="auto"/>
        <w:tabs>
          <w:tab w:leader="none" w:pos="1008" w:val="left"/>
        </w:tabs>
        <w:numPr>
          <w:ilvl w:val="0"/>
          <w:numId w:val="13"/>
        </w:numPr>
        <w:rPr>
          <w:rFonts w:ascii="Arial" w:cs="Arial" w:eastAsia="Arial" w:hAnsi="Arial"/>
          <w:sz w:val="22"/>
          <w:szCs w:val="22"/>
          <w:color w:val="auto"/>
        </w:rPr>
      </w:pPr>
      <w:r>
        <w:rPr>
          <w:rFonts w:ascii="Arial" w:cs="Arial" w:eastAsia="Arial" w:hAnsi="Arial"/>
          <w:sz w:val="22"/>
          <w:szCs w:val="22"/>
          <w:color w:val="auto"/>
        </w:rPr>
        <w:t>Shared power to vote or direct the vote: 800,000 *</w:t>
      </w:r>
    </w:p>
    <w:p>
      <w:pPr>
        <w:ind w:left="1068" w:hanging="384"/>
        <w:spacing w:after="0" w:line="230" w:lineRule="auto"/>
        <w:tabs>
          <w:tab w:leader="none" w:pos="1068" w:val="left"/>
        </w:tabs>
        <w:numPr>
          <w:ilvl w:val="0"/>
          <w:numId w:val="13"/>
        </w:numPr>
        <w:rPr>
          <w:rFonts w:ascii="Arial" w:cs="Arial" w:eastAsia="Arial" w:hAnsi="Arial"/>
          <w:sz w:val="22"/>
          <w:szCs w:val="22"/>
          <w:color w:val="auto"/>
        </w:rPr>
      </w:pPr>
      <w:r>
        <w:rPr>
          <w:rFonts w:ascii="Arial" w:cs="Arial" w:eastAsia="Arial" w:hAnsi="Arial"/>
          <w:sz w:val="22"/>
          <w:szCs w:val="22"/>
          <w:color w:val="auto"/>
        </w:rPr>
        <w:t>Sole power to dispose or direct the disposition: 126,166</w:t>
      </w:r>
    </w:p>
    <w:p>
      <w:pPr>
        <w:ind w:left="1048" w:hanging="364"/>
        <w:spacing w:after="0"/>
        <w:tabs>
          <w:tab w:leader="none" w:pos="1048" w:val="left"/>
        </w:tabs>
        <w:numPr>
          <w:ilvl w:val="0"/>
          <w:numId w:val="13"/>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800,000 *</w:t>
      </w:r>
    </w:p>
    <w:p>
      <w:pPr>
        <w:spacing w:after="0" w:line="215" w:lineRule="exact"/>
        <w:rPr>
          <w:sz w:val="20"/>
          <w:szCs w:val="20"/>
          <w:color w:val="auto"/>
        </w:rPr>
      </w:pPr>
    </w:p>
    <w:p>
      <w:pPr>
        <w:jc w:val="both"/>
        <w:ind w:left="688" w:right="499" w:hanging="4"/>
        <w:spacing w:after="0"/>
        <w:tabs>
          <w:tab w:leader="none" w:pos="887"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These figures exclude 1,833,960 shares of Common Stock and options to purchase 834 shares of Common Stock that are owed by Edward Dallin Bagley, Carolyn C. Bagley’s husband, for which Carolyn C. Bagley disclaims beneficial ownership.</w:t>
      </w:r>
    </w:p>
    <w:p>
      <w:pPr>
        <w:spacing w:after="0" w:line="213" w:lineRule="exact"/>
        <w:rPr>
          <w:sz w:val="20"/>
          <w:szCs w:val="20"/>
          <w:color w:val="auto"/>
        </w:rPr>
      </w:pPr>
    </w:p>
    <w:p>
      <w:pPr>
        <w:ind w:left="688"/>
        <w:spacing w:after="0"/>
        <w:rPr>
          <w:sz w:val="20"/>
          <w:szCs w:val="20"/>
          <w:color w:val="auto"/>
        </w:rPr>
      </w:pPr>
      <w:r>
        <w:rPr>
          <w:rFonts w:ascii="Arial" w:cs="Arial" w:eastAsia="Arial" w:hAnsi="Arial"/>
          <w:sz w:val="22"/>
          <w:szCs w:val="22"/>
          <w:color w:val="auto"/>
        </w:rPr>
        <w:t>Number of shares of Common Stock as to which Amanda B. Krejci has:</w:t>
      </w:r>
    </w:p>
    <w:p>
      <w:pPr>
        <w:spacing w:after="0" w:line="233" w:lineRule="exact"/>
        <w:rPr>
          <w:sz w:val="20"/>
          <w:szCs w:val="20"/>
          <w:color w:val="auto"/>
        </w:rPr>
      </w:pPr>
    </w:p>
    <w:p>
      <w:pPr>
        <w:ind w:left="948" w:hanging="264"/>
        <w:spacing w:after="0"/>
        <w:tabs>
          <w:tab w:leader="none" w:pos="948" w:val="left"/>
        </w:tabs>
        <w:numPr>
          <w:ilvl w:val="1"/>
          <w:numId w:val="15"/>
        </w:numPr>
        <w:rPr>
          <w:rFonts w:ascii="Arial" w:cs="Arial" w:eastAsia="Arial" w:hAnsi="Arial"/>
          <w:sz w:val="22"/>
          <w:szCs w:val="22"/>
          <w:color w:val="auto"/>
        </w:rPr>
      </w:pPr>
      <w:r>
        <w:rPr>
          <w:rFonts w:ascii="Arial" w:cs="Arial" w:eastAsia="Arial" w:hAnsi="Arial"/>
          <w:sz w:val="22"/>
          <w:szCs w:val="22"/>
          <w:color w:val="auto"/>
        </w:rPr>
        <w:t>Sole power to vote or direct the vote: 4,436</w:t>
      </w:r>
    </w:p>
    <w:p>
      <w:pPr>
        <w:spacing w:after="0" w:line="8" w:lineRule="exact"/>
        <w:rPr>
          <w:rFonts w:ascii="Arial" w:cs="Arial" w:eastAsia="Arial" w:hAnsi="Arial"/>
          <w:sz w:val="22"/>
          <w:szCs w:val="22"/>
          <w:color w:val="auto"/>
        </w:rPr>
      </w:pPr>
    </w:p>
    <w:p>
      <w:pPr>
        <w:ind w:left="1008" w:hanging="324"/>
        <w:spacing w:after="0" w:line="230" w:lineRule="auto"/>
        <w:tabs>
          <w:tab w:leader="none" w:pos="1008" w:val="left"/>
        </w:tabs>
        <w:numPr>
          <w:ilvl w:val="1"/>
          <w:numId w:val="15"/>
        </w:numPr>
        <w:rPr>
          <w:rFonts w:ascii="Arial" w:cs="Arial" w:eastAsia="Arial" w:hAnsi="Arial"/>
          <w:sz w:val="22"/>
          <w:szCs w:val="22"/>
          <w:color w:val="auto"/>
        </w:rPr>
      </w:pPr>
      <w:r>
        <w:rPr>
          <w:rFonts w:ascii="Arial" w:cs="Arial" w:eastAsia="Arial" w:hAnsi="Arial"/>
          <w:sz w:val="22"/>
          <w:szCs w:val="22"/>
          <w:color w:val="auto"/>
        </w:rPr>
        <w:t>Shared power to vote or direct the vote: 800,000</w:t>
      </w:r>
    </w:p>
    <w:p>
      <w:pPr>
        <w:ind w:left="1068" w:hanging="384"/>
        <w:spacing w:after="0" w:line="230" w:lineRule="auto"/>
        <w:tabs>
          <w:tab w:leader="none" w:pos="1068" w:val="left"/>
        </w:tabs>
        <w:numPr>
          <w:ilvl w:val="1"/>
          <w:numId w:val="15"/>
        </w:numPr>
        <w:rPr>
          <w:rFonts w:ascii="Arial" w:cs="Arial" w:eastAsia="Arial" w:hAnsi="Arial"/>
          <w:sz w:val="22"/>
          <w:szCs w:val="22"/>
          <w:color w:val="auto"/>
        </w:rPr>
      </w:pPr>
      <w:r>
        <w:rPr>
          <w:rFonts w:ascii="Arial" w:cs="Arial" w:eastAsia="Arial" w:hAnsi="Arial"/>
          <w:sz w:val="22"/>
          <w:szCs w:val="22"/>
          <w:color w:val="auto"/>
        </w:rPr>
        <w:t>Sole power to dispose or direct the disposition: 4,436</w:t>
      </w:r>
    </w:p>
    <w:p>
      <w:pPr>
        <w:ind w:left="1048" w:hanging="364"/>
        <w:spacing w:after="0"/>
        <w:tabs>
          <w:tab w:leader="none" w:pos="1048" w:val="left"/>
        </w:tabs>
        <w:numPr>
          <w:ilvl w:val="1"/>
          <w:numId w:val="15"/>
        </w:numPr>
        <w:rPr>
          <w:rFonts w:ascii="Arial" w:cs="Arial" w:eastAsia="Arial" w:hAnsi="Arial"/>
          <w:sz w:val="22"/>
          <w:szCs w:val="22"/>
          <w:color w:val="auto"/>
        </w:rPr>
      </w:pPr>
      <w:r>
        <w:rPr>
          <w:rFonts w:ascii="Arial" w:cs="Arial" w:eastAsia="Arial" w:hAnsi="Arial"/>
          <w:sz w:val="22"/>
          <w:szCs w:val="22"/>
          <w:color w:val="auto"/>
        </w:rPr>
        <w:t>Shared power to dispose or direct the disposition: 800,000</w:t>
      </w:r>
    </w:p>
    <w:p>
      <w:pPr>
        <w:spacing w:after="0" w:line="215" w:lineRule="exact"/>
        <w:rPr>
          <w:rFonts w:ascii="Arial" w:cs="Arial" w:eastAsia="Arial" w:hAnsi="Arial"/>
          <w:sz w:val="22"/>
          <w:szCs w:val="22"/>
          <w:color w:val="auto"/>
        </w:rPr>
      </w:pPr>
    </w:p>
    <w:p>
      <w:pPr>
        <w:jc w:val="both"/>
        <w:ind w:left="28" w:right="479" w:firstLine="8"/>
        <w:spacing w:after="0" w:line="238" w:lineRule="auto"/>
        <w:tabs>
          <w:tab w:leader="none" w:pos="649" w:val="left"/>
        </w:tabs>
        <w:numPr>
          <w:ilvl w:val="0"/>
          <w:numId w:val="16"/>
        </w:numPr>
        <w:rPr>
          <w:rFonts w:ascii="Arial" w:cs="Arial" w:eastAsia="Arial" w:hAnsi="Arial"/>
          <w:sz w:val="22"/>
          <w:szCs w:val="22"/>
          <w:color w:val="auto"/>
        </w:rPr>
      </w:pPr>
      <w:r>
        <w:rPr>
          <w:rFonts w:ascii="Arial" w:cs="Arial" w:eastAsia="Arial" w:hAnsi="Arial"/>
          <w:sz w:val="22"/>
          <w:szCs w:val="22"/>
          <w:color w:val="auto"/>
        </w:rPr>
        <w:t>During the sixty (60) days immediately prior to the date of this Report, the reporting persons have engaged in the following transactions with respect to the Common Stock: (i) on November 5, 2013 E. Bryan Bagley, Lisa B. Higley, Carolyn C. Bagley and Amanda B. Krejci, as Trustees of the EDBIT in a private transaction acquired 800,000 shares of Common Stock as a gift.</w:t>
      </w:r>
    </w:p>
    <w:p>
      <w:pPr>
        <w:spacing w:after="0" w:line="212" w:lineRule="exact"/>
        <w:rPr>
          <w:rFonts w:ascii="Arial" w:cs="Arial" w:eastAsia="Arial" w:hAnsi="Arial"/>
          <w:sz w:val="22"/>
          <w:szCs w:val="22"/>
          <w:color w:val="auto"/>
        </w:rPr>
      </w:pPr>
    </w:p>
    <w:p>
      <w:pPr>
        <w:jc w:val="both"/>
        <w:ind w:left="28" w:right="499" w:firstLine="8"/>
        <w:spacing w:after="0"/>
        <w:tabs>
          <w:tab w:leader="none" w:pos="649" w:val="left"/>
        </w:tabs>
        <w:numPr>
          <w:ilvl w:val="0"/>
          <w:numId w:val="16"/>
        </w:numPr>
        <w:rPr>
          <w:rFonts w:ascii="Arial" w:cs="Arial" w:eastAsia="Arial" w:hAnsi="Arial"/>
          <w:sz w:val="22"/>
          <w:szCs w:val="22"/>
          <w:color w:val="auto"/>
        </w:rPr>
      </w:pPr>
      <w:r>
        <w:rPr>
          <w:rFonts w:ascii="Arial" w:cs="Arial" w:eastAsia="Arial" w:hAnsi="Arial"/>
          <w:sz w:val="22"/>
          <w:szCs w:val="22"/>
          <w:color w:val="auto"/>
        </w:rPr>
        <w:t>No person, other than the identified reporting persons, has the power to direct the receipt of dividends on and the proceeds of sales on the shares of Common Stock beneficially owned by the respective reporting persons.</w:t>
      </w:r>
    </w:p>
    <w:p>
      <w:pPr>
        <w:spacing w:after="0" w:line="213" w:lineRule="exact"/>
        <w:rPr>
          <w:rFonts w:ascii="Arial" w:cs="Arial" w:eastAsia="Arial" w:hAnsi="Arial"/>
          <w:sz w:val="22"/>
          <w:szCs w:val="22"/>
          <w:color w:val="auto"/>
        </w:rPr>
      </w:pPr>
    </w:p>
    <w:p>
      <w:pPr>
        <w:ind w:left="648" w:hanging="612"/>
        <w:spacing w:after="0"/>
        <w:tabs>
          <w:tab w:leader="none" w:pos="648" w:val="left"/>
        </w:tabs>
        <w:numPr>
          <w:ilvl w:val="0"/>
          <w:numId w:val="16"/>
        </w:numPr>
        <w:rPr>
          <w:rFonts w:ascii="Arial" w:cs="Arial" w:eastAsia="Arial" w:hAnsi="Arial"/>
          <w:sz w:val="22"/>
          <w:szCs w:val="22"/>
          <w:color w:val="auto"/>
        </w:rPr>
      </w:pPr>
      <w:r>
        <w:rPr>
          <w:rFonts w:ascii="Arial" w:cs="Arial" w:eastAsia="Arial" w:hAnsi="Arial"/>
          <w:sz w:val="22"/>
          <w:szCs w:val="22"/>
          <w:color w:val="auto"/>
        </w:rPr>
        <w:t>Not applicable.</w:t>
      </w:r>
    </w:p>
    <w:p>
      <w:pPr>
        <w:spacing w:after="0" w:line="227" w:lineRule="exact"/>
        <w:rPr>
          <w:sz w:val="20"/>
          <w:szCs w:val="20"/>
          <w:color w:val="auto"/>
        </w:rPr>
      </w:pPr>
    </w:p>
    <w:p>
      <w:pPr>
        <w:jc w:val="both"/>
        <w:ind w:left="28" w:right="499"/>
        <w:spacing w:after="0" w:line="256" w:lineRule="auto"/>
        <w:rPr>
          <w:sz w:val="20"/>
          <w:szCs w:val="20"/>
          <w:color w:val="auto"/>
        </w:rPr>
      </w:pPr>
      <w:r>
        <w:rPr>
          <w:rFonts w:ascii="Arial" w:cs="Arial" w:eastAsia="Arial" w:hAnsi="Arial"/>
          <w:sz w:val="22"/>
          <w:szCs w:val="22"/>
          <w:b w:val="1"/>
          <w:bCs w:val="1"/>
          <w:color w:val="auto"/>
        </w:rPr>
        <w:t>Item 6. Contracts, Arrangements, Understandings or Relationships With Respect to Securities of the Issuer</w:t>
      </w:r>
    </w:p>
    <w:p>
      <w:pPr>
        <w:spacing w:after="0" w:line="196" w:lineRule="exact"/>
        <w:rPr>
          <w:sz w:val="20"/>
          <w:szCs w:val="20"/>
          <w:color w:val="auto"/>
        </w:rPr>
      </w:pPr>
    </w:p>
    <w:p>
      <w:pPr>
        <w:jc w:val="both"/>
        <w:ind w:left="28" w:right="479" w:firstLine="648"/>
        <w:spacing w:after="0" w:line="248" w:lineRule="auto"/>
        <w:rPr>
          <w:sz w:val="20"/>
          <w:szCs w:val="20"/>
          <w:color w:val="auto"/>
        </w:rPr>
      </w:pPr>
      <w:r>
        <w:rPr>
          <w:rFonts w:ascii="Arial" w:cs="Arial" w:eastAsia="Arial" w:hAnsi="Arial"/>
          <w:sz w:val="21"/>
          <w:szCs w:val="21"/>
          <w:color w:val="auto"/>
        </w:rPr>
        <w:t>Except for the trust referenced above, the reporting persons do not have any contracts, arrangements, understandings or relationships (legal or otherwise) with any person with respect to any securities of the Company, including but not limited to transfer or voting of any of the securities of the Company, finder's fees, joint ventures, loan or option arrangements, puts or calls, guarantees of profits, division of profits or loss, or the giving or withholding of proxies, or a pledge or contingency the occurrence of which would give another person voting power over the securities of the Company.</w:t>
      </w:r>
    </w:p>
    <w:p>
      <w:pPr>
        <w:spacing w:after="0" w:line="198" w:lineRule="exact"/>
        <w:rPr>
          <w:sz w:val="20"/>
          <w:szCs w:val="20"/>
          <w:color w:val="auto"/>
        </w:rPr>
      </w:pPr>
    </w:p>
    <w:p>
      <w:pPr>
        <w:ind w:left="28"/>
        <w:spacing w:after="0"/>
        <w:rPr>
          <w:sz w:val="20"/>
          <w:szCs w:val="20"/>
          <w:color w:val="auto"/>
        </w:rPr>
      </w:pPr>
      <w:r>
        <w:rPr>
          <w:rFonts w:ascii="Arial" w:cs="Arial" w:eastAsia="Arial" w:hAnsi="Arial"/>
          <w:sz w:val="22"/>
          <w:szCs w:val="22"/>
          <w:b w:val="1"/>
          <w:bCs w:val="1"/>
          <w:color w:val="auto"/>
        </w:rPr>
        <w:t>Item 7. Materials to be Filed as Exhibits</w:t>
      </w:r>
    </w:p>
    <w:p>
      <w:pPr>
        <w:spacing w:after="0" w:line="239" w:lineRule="exact"/>
        <w:rPr>
          <w:sz w:val="20"/>
          <w:szCs w:val="20"/>
          <w:color w:val="auto"/>
        </w:rPr>
      </w:pPr>
    </w:p>
    <w:p>
      <w:pPr>
        <w:ind w:left="28"/>
        <w:spacing w:after="0"/>
        <w:tabs>
          <w:tab w:leader="none" w:pos="1287" w:val="left"/>
        </w:tabs>
        <w:rPr>
          <w:sz w:val="20"/>
          <w:szCs w:val="20"/>
          <w:color w:val="auto"/>
        </w:rPr>
      </w:pPr>
      <w:r>
        <w:rPr>
          <w:rFonts w:ascii="Arial" w:cs="Arial" w:eastAsia="Arial" w:hAnsi="Arial"/>
          <w:sz w:val="22"/>
          <w:szCs w:val="22"/>
          <w:color w:val="auto"/>
        </w:rPr>
        <w:t>Exhibit 1</w:t>
      </w:r>
      <w:r>
        <w:rPr>
          <w:sz w:val="20"/>
          <w:szCs w:val="20"/>
          <w:color w:val="auto"/>
        </w:rPr>
        <w:tab/>
      </w:r>
      <w:r>
        <w:rPr>
          <w:rFonts w:ascii="Arial" w:cs="Arial" w:eastAsia="Arial" w:hAnsi="Arial"/>
          <w:sz w:val="19"/>
          <w:szCs w:val="19"/>
          <w:color w:val="auto"/>
        </w:rPr>
        <w:t>Joint Filing Agreement</w:t>
      </w:r>
    </w:p>
    <w:p>
      <w:pPr>
        <w:sectPr>
          <w:pgSz w:w="11900" w:h="16838" w:orient="portrait"/>
          <w:cols w:equalWidth="0" w:num="1">
            <w:col w:w="10247"/>
          </w:cols>
          <w:pgMar w:left="212" w:top="847" w:right="1440" w:bottom="8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51"/>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266700</wp:posOffset>
            </wp:positionV>
            <wp:extent cx="6174740" cy="946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47"/>
          </w:cols>
          <w:pgMar w:left="212" w:top="847" w:right="1440" w:bottom="888" w:gutter="0" w:footer="0" w:header="0"/>
          <w:type w:val="continuous"/>
        </w:sectPr>
      </w:pPr>
    </w:p>
    <w:bookmarkStart w:id="9" w:name="page10"/>
    <w:bookmarkEnd w:id="9"/>
    <w:p>
      <w:pPr>
        <w:jc w:val="center"/>
        <w:ind w:right="47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right="499" w:firstLine="648"/>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20"/>
                <w:szCs w:val="20"/>
                <w:color w:val="auto"/>
              </w:rPr>
            </w:pPr>
            <w:r>
              <w:rPr>
                <w:rFonts w:ascii="Arial" w:cs="Arial" w:eastAsia="Arial" w:hAnsi="Arial"/>
                <w:sz w:val="18"/>
                <w:szCs w:val="18"/>
                <w:color w:val="auto"/>
              </w:rPr>
              <w:t>Dated: November 11, 2013</w:t>
            </w: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i w:val="1"/>
                <w:iCs w:val="1"/>
                <w:color w:val="auto"/>
                <w:w w:val="90"/>
              </w:rPr>
              <w:t>/s/ E. Bryan Bagley</w:t>
            </w:r>
          </w:p>
        </w:tc>
        <w:tc>
          <w:tcPr>
            <w:tcW w:w="140" w:type="dxa"/>
            <w:vAlign w:val="bottom"/>
            <w:gridSpan w:val="2"/>
          </w:tcPr>
          <w:p>
            <w:pPr>
              <w:spacing w:after="0"/>
              <w:rPr>
                <w:sz w:val="17"/>
                <w:szCs w:val="17"/>
                <w:color w:val="auto"/>
              </w:rPr>
            </w:pPr>
          </w:p>
        </w:tc>
      </w:tr>
      <w:tr>
        <w:trPr>
          <w:trHeight w:val="237"/>
        </w:trPr>
        <w:tc>
          <w:tcPr>
            <w:tcW w:w="4000" w:type="dxa"/>
            <w:vAlign w:val="bottom"/>
          </w:tcPr>
          <w:p>
            <w:pPr>
              <w:spacing w:after="0"/>
              <w:rPr>
                <w:sz w:val="20"/>
                <w:szCs w:val="20"/>
                <w:color w:val="auto"/>
              </w:rPr>
            </w:pPr>
          </w:p>
        </w:tc>
        <w:tc>
          <w:tcPr>
            <w:tcW w:w="1640" w:type="dxa"/>
            <w:vAlign w:val="bottom"/>
            <w:gridSpan w:val="4"/>
          </w:tcPr>
          <w:p>
            <w:pPr>
              <w:spacing w:after="0"/>
              <w:rPr>
                <w:sz w:val="20"/>
                <w:szCs w:val="20"/>
                <w:color w:val="auto"/>
              </w:rPr>
            </w:pPr>
            <w:r>
              <w:rPr>
                <w:rFonts w:ascii="Arial" w:cs="Arial" w:eastAsia="Arial" w:hAnsi="Arial"/>
                <w:sz w:val="18"/>
                <w:szCs w:val="18"/>
                <w:color w:val="auto"/>
              </w:rPr>
              <w:t>E. Bryan Bagley</w:t>
            </w:r>
          </w:p>
        </w:tc>
      </w:tr>
      <w:tr>
        <w:trPr>
          <w:trHeight w:val="392"/>
        </w:trPr>
        <w:tc>
          <w:tcPr>
            <w:tcW w:w="4000" w:type="dxa"/>
            <w:vAlign w:val="bottom"/>
          </w:tcPr>
          <w:p>
            <w:pPr>
              <w:spacing w:after="0"/>
              <w:rPr>
                <w:sz w:val="20"/>
                <w:szCs w:val="20"/>
                <w:color w:val="auto"/>
              </w:rPr>
            </w:pPr>
            <w:r>
              <w:rPr>
                <w:rFonts w:ascii="Arial" w:cs="Arial" w:eastAsia="Arial" w:hAnsi="Arial"/>
                <w:sz w:val="18"/>
                <w:szCs w:val="18"/>
                <w:color w:val="auto"/>
              </w:rPr>
              <w:t>Dated: November 11, 2013</w:t>
            </w:r>
          </w:p>
        </w:tc>
        <w:tc>
          <w:tcPr>
            <w:tcW w:w="1640" w:type="dxa"/>
            <w:vAlign w:val="bottom"/>
            <w:gridSpan w:val="4"/>
          </w:tcPr>
          <w:p>
            <w:pPr>
              <w:ind w:left="100"/>
              <w:spacing w:after="0"/>
              <w:rPr>
                <w:sz w:val="20"/>
                <w:szCs w:val="20"/>
                <w:color w:val="auto"/>
              </w:rPr>
            </w:pPr>
            <w:r>
              <w:rPr>
                <w:rFonts w:ascii="Arial" w:cs="Arial" w:eastAsia="Arial" w:hAnsi="Arial"/>
                <w:sz w:val="18"/>
                <w:szCs w:val="18"/>
                <w:i w:val="1"/>
                <w:iCs w:val="1"/>
                <w:color w:val="auto"/>
              </w:rPr>
              <w:t>/s/ Lisa B. Higley</w:t>
            </w:r>
          </w:p>
        </w:tc>
      </w:tr>
      <w:tr>
        <w:trPr>
          <w:trHeight w:val="237"/>
        </w:trPr>
        <w:tc>
          <w:tcPr>
            <w:tcW w:w="40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Lisa B. Higley</w:t>
            </w:r>
          </w:p>
        </w:tc>
        <w:tc>
          <w:tcPr>
            <w:tcW w:w="300" w:type="dxa"/>
            <w:vAlign w:val="bottom"/>
            <w:gridSpan w:val="3"/>
          </w:tcPr>
          <w:p>
            <w:pPr>
              <w:spacing w:after="0"/>
              <w:rPr>
                <w:sz w:val="20"/>
                <w:szCs w:val="20"/>
                <w:color w:val="auto"/>
              </w:rPr>
            </w:pPr>
          </w:p>
        </w:tc>
      </w:tr>
      <w:tr>
        <w:trPr>
          <w:trHeight w:val="392"/>
        </w:trPr>
        <w:tc>
          <w:tcPr>
            <w:tcW w:w="4000" w:type="dxa"/>
            <w:vAlign w:val="bottom"/>
          </w:tcPr>
          <w:p>
            <w:pPr>
              <w:spacing w:after="0"/>
              <w:rPr>
                <w:sz w:val="20"/>
                <w:szCs w:val="20"/>
                <w:color w:val="auto"/>
              </w:rPr>
            </w:pPr>
            <w:r>
              <w:rPr>
                <w:rFonts w:ascii="Arial" w:cs="Arial" w:eastAsia="Arial" w:hAnsi="Arial"/>
                <w:sz w:val="18"/>
                <w:szCs w:val="18"/>
                <w:color w:val="auto"/>
              </w:rPr>
              <w:t>Dated: November 11, 2013</w:t>
            </w:r>
          </w:p>
        </w:tc>
        <w:tc>
          <w:tcPr>
            <w:tcW w:w="16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i w:val="1"/>
                <w:iCs w:val="1"/>
                <w:color w:val="auto"/>
                <w:w w:val="89"/>
              </w:rPr>
              <w:t>/s/ Carolyn C. Bagley</w:t>
            </w:r>
          </w:p>
        </w:tc>
      </w:tr>
      <w:tr>
        <w:trPr>
          <w:trHeight w:val="237"/>
        </w:trPr>
        <w:tc>
          <w:tcPr>
            <w:tcW w:w="4000" w:type="dxa"/>
            <w:vAlign w:val="bottom"/>
          </w:tcPr>
          <w:p>
            <w:pPr>
              <w:spacing w:after="0"/>
              <w:rPr>
                <w:sz w:val="20"/>
                <w:szCs w:val="20"/>
                <w:color w:val="auto"/>
              </w:rPr>
            </w:pPr>
          </w:p>
        </w:tc>
        <w:tc>
          <w:tcPr>
            <w:tcW w:w="1640" w:type="dxa"/>
            <w:vAlign w:val="bottom"/>
            <w:gridSpan w:val="4"/>
          </w:tcPr>
          <w:p>
            <w:pPr>
              <w:spacing w:after="0"/>
              <w:rPr>
                <w:sz w:val="20"/>
                <w:szCs w:val="20"/>
                <w:color w:val="auto"/>
              </w:rPr>
            </w:pPr>
            <w:r>
              <w:rPr>
                <w:rFonts w:ascii="Arial" w:cs="Arial" w:eastAsia="Arial" w:hAnsi="Arial"/>
                <w:sz w:val="18"/>
                <w:szCs w:val="18"/>
                <w:color w:val="auto"/>
              </w:rPr>
              <w:t>Carolyn C. Bagley</w:t>
            </w:r>
          </w:p>
        </w:tc>
      </w:tr>
      <w:tr>
        <w:trPr>
          <w:trHeight w:val="392"/>
        </w:trPr>
        <w:tc>
          <w:tcPr>
            <w:tcW w:w="4000" w:type="dxa"/>
            <w:vAlign w:val="bottom"/>
          </w:tcPr>
          <w:p>
            <w:pPr>
              <w:spacing w:after="0"/>
              <w:rPr>
                <w:sz w:val="20"/>
                <w:szCs w:val="20"/>
                <w:color w:val="auto"/>
              </w:rPr>
            </w:pPr>
            <w:r>
              <w:rPr>
                <w:rFonts w:ascii="Arial" w:cs="Arial" w:eastAsia="Arial" w:hAnsi="Arial"/>
                <w:sz w:val="18"/>
                <w:szCs w:val="18"/>
                <w:color w:val="auto"/>
              </w:rPr>
              <w:t>Dated: November 11, 2013</w:t>
            </w:r>
          </w:p>
        </w:tc>
        <w:tc>
          <w:tcPr>
            <w:tcW w:w="16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w w:val="90"/>
              </w:rPr>
              <w:t>/s/ Amanda B. Krejci</w:t>
            </w:r>
          </w:p>
        </w:tc>
        <w:tc>
          <w:tcPr>
            <w:tcW w:w="40" w:type="dxa"/>
            <w:vAlign w:val="bottom"/>
          </w:tcPr>
          <w:p>
            <w:pPr>
              <w:spacing w:after="0"/>
              <w:rPr>
                <w:sz w:val="24"/>
                <w:szCs w:val="24"/>
                <w:color w:val="auto"/>
              </w:rPr>
            </w:pPr>
          </w:p>
        </w:tc>
      </w:tr>
      <w:tr>
        <w:trPr>
          <w:trHeight w:val="237"/>
        </w:trPr>
        <w:tc>
          <w:tcPr>
            <w:tcW w:w="4000" w:type="dxa"/>
            <w:vAlign w:val="bottom"/>
          </w:tcPr>
          <w:p>
            <w:pPr>
              <w:spacing w:after="0"/>
              <w:rPr>
                <w:sz w:val="20"/>
                <w:szCs w:val="20"/>
                <w:color w:val="auto"/>
              </w:rPr>
            </w:pPr>
          </w:p>
        </w:tc>
        <w:tc>
          <w:tcPr>
            <w:tcW w:w="1640" w:type="dxa"/>
            <w:vAlign w:val="bottom"/>
            <w:gridSpan w:val="4"/>
          </w:tcPr>
          <w:p>
            <w:pPr>
              <w:spacing w:after="0"/>
              <w:rPr>
                <w:sz w:val="20"/>
                <w:szCs w:val="20"/>
                <w:color w:val="auto"/>
              </w:rPr>
            </w:pPr>
            <w:r>
              <w:rPr>
                <w:rFonts w:ascii="Arial" w:cs="Arial" w:eastAsia="Arial" w:hAnsi="Arial"/>
                <w:sz w:val="18"/>
                <w:szCs w:val="18"/>
                <w:color w:val="auto"/>
              </w:rPr>
              <w:t>Amanda B. Krejci</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6174740" cy="94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4740" cy="94615"/>
                    </a:xfrm>
                    <a:prstGeom prst="rect">
                      <a:avLst/>
                    </a:prstGeom>
                    <a:noFill/>
                  </pic:spPr>
                </pic:pic>
              </a:graphicData>
            </a:graphic>
          </wp:anchor>
        </w:drawing>
      </w:r>
    </w:p>
    <w:p>
      <w:pPr>
        <w:sectPr>
          <w:pgSz w:w="11900" w:h="16838" w:orient="portrait"/>
          <w:cols w:equalWidth="0" w:num="1">
            <w:col w:w="10219"/>
          </w:cols>
          <w:pgMar w:left="240" w:top="841" w:right="1440" w:bottom="1440" w:gutter="0" w:footer="0" w:header="0"/>
        </w:sectPr>
      </w:pPr>
    </w:p>
    <w:bookmarkStart w:id="10" w:name="page11"/>
    <w:bookmarkEnd w:id="10"/>
    <w:p>
      <w:pPr>
        <w:jc w:val="center"/>
        <w:ind w:right="479"/>
        <w:spacing w:after="0"/>
        <w:rPr>
          <w:sz w:val="20"/>
          <w:szCs w:val="20"/>
          <w:color w:val="auto"/>
        </w:rPr>
      </w:pPr>
      <w:r>
        <w:rPr>
          <w:rFonts w:ascii="Arial" w:cs="Arial" w:eastAsia="Arial" w:hAnsi="Arial"/>
          <w:sz w:val="22"/>
          <w:szCs w:val="22"/>
          <w:b w:val="1"/>
          <w:bCs w:val="1"/>
          <w:color w:val="auto"/>
        </w:rPr>
        <w:t>Exhibit 1</w:t>
      </w:r>
    </w:p>
    <w:p>
      <w:pPr>
        <w:spacing w:after="0" w:line="234" w:lineRule="exact"/>
        <w:rPr>
          <w:sz w:val="20"/>
          <w:szCs w:val="20"/>
          <w:color w:val="auto"/>
        </w:rPr>
      </w:pPr>
    </w:p>
    <w:p>
      <w:pPr>
        <w:jc w:val="center"/>
        <w:ind w:right="479"/>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jc w:val="both"/>
        <w:ind w:right="499"/>
        <w:spacing w:after="0" w:line="251" w:lineRule="auto"/>
        <w:rPr>
          <w:sz w:val="20"/>
          <w:szCs w:val="20"/>
          <w:color w:val="auto"/>
        </w:rPr>
      </w:pPr>
      <w:r>
        <w:rPr>
          <w:rFonts w:ascii="Arial" w:cs="Arial" w:eastAsia="Arial" w:hAnsi="Arial"/>
          <w:sz w:val="22"/>
          <w:szCs w:val="22"/>
          <w:color w:val="auto"/>
        </w:rPr>
        <w:t>This Joint Filing Agreement, dated as of November 11, 2013, is by and among E. Bryan Bagley, Lisa B. Higley, Carolyn C. Bagley and Amanda B. Krejci (collectively, the “Filers”).</w:t>
      </w:r>
    </w:p>
    <w:p>
      <w:pPr>
        <w:spacing w:after="0" w:line="200" w:lineRule="exact"/>
        <w:rPr>
          <w:sz w:val="20"/>
          <w:szCs w:val="20"/>
          <w:color w:val="auto"/>
        </w:rPr>
      </w:pPr>
    </w:p>
    <w:p>
      <w:pPr>
        <w:jc w:val="both"/>
        <w:ind w:right="479"/>
        <w:spacing w:after="0"/>
        <w:rPr>
          <w:sz w:val="20"/>
          <w:szCs w:val="20"/>
          <w:color w:val="auto"/>
        </w:rPr>
      </w:pPr>
      <w:r>
        <w:rPr>
          <w:rFonts w:ascii="Arial" w:cs="Arial" w:eastAsia="Arial" w:hAnsi="Arial"/>
          <w:sz w:val="22"/>
          <w:szCs w:val="22"/>
          <w:color w:val="auto"/>
        </w:rPr>
        <w:t>Each of the Filers may be required to file with the United States Securities and Exchange Commission a statement on Schedule 13D with respect to shares of Common Stock, par value $.001 per share, of ClearOne Inc. beneficially owned by them from time to time.</w:t>
      </w:r>
    </w:p>
    <w:p>
      <w:pPr>
        <w:spacing w:after="0" w:line="213" w:lineRule="exact"/>
        <w:rPr>
          <w:sz w:val="20"/>
          <w:szCs w:val="20"/>
          <w:color w:val="auto"/>
        </w:rPr>
      </w:pPr>
    </w:p>
    <w:p>
      <w:pPr>
        <w:jc w:val="both"/>
        <w:ind w:right="499"/>
        <w:spacing w:after="0" w:line="238" w:lineRule="auto"/>
        <w:rPr>
          <w:sz w:val="20"/>
          <w:szCs w:val="20"/>
          <w:color w:val="auto"/>
        </w:rPr>
      </w:pPr>
      <w:r>
        <w:rPr>
          <w:rFonts w:ascii="Arial" w:cs="Arial" w:eastAsia="Arial" w:hAnsi="Arial"/>
          <w:sz w:val="22"/>
          <w:szCs w:val="22"/>
          <w:color w:val="auto"/>
        </w:rPr>
        <w:t>Pursuant to and in accordance with Rule 13(d)(1)(k) promulgated under the Securities Exchange Act of 1934, as amended, the Filers hereby agree to file a single statement on Schedule 13D (and any amendments thereto) on behalf of each of the Filers, and hereby further agree to file this Joint Filing Agreement as an exhibit to such statement, as required by such rule.</w:t>
      </w:r>
    </w:p>
    <w:p>
      <w:pPr>
        <w:spacing w:after="0" w:line="212" w:lineRule="exact"/>
        <w:rPr>
          <w:sz w:val="20"/>
          <w:szCs w:val="20"/>
          <w:color w:val="auto"/>
        </w:rPr>
      </w:pPr>
    </w:p>
    <w:p>
      <w:pPr>
        <w:jc w:val="both"/>
        <w:ind w:right="479"/>
        <w:spacing w:after="0" w:line="251" w:lineRule="auto"/>
        <w:rPr>
          <w:sz w:val="20"/>
          <w:szCs w:val="20"/>
          <w:color w:val="auto"/>
        </w:rPr>
      </w:pPr>
      <w:r>
        <w:rPr>
          <w:rFonts w:ascii="Arial" w:cs="Arial" w:eastAsia="Arial" w:hAnsi="Arial"/>
          <w:sz w:val="22"/>
          <w:szCs w:val="22"/>
          <w:color w:val="auto"/>
        </w:rPr>
        <w:t>This Joint Filing Agreement may be terminated by any of the Filers upon seven days prior written notice or such lesser period of notice as the Filers may mutually agree.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Executed and delivered as of the date first above written.</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20"/>
                <w:szCs w:val="20"/>
                <w:color w:val="auto"/>
              </w:rPr>
            </w:pPr>
            <w:r>
              <w:rPr>
                <w:rFonts w:ascii="Arial" w:cs="Arial" w:eastAsia="Arial" w:hAnsi="Arial"/>
                <w:sz w:val="18"/>
                <w:szCs w:val="18"/>
                <w:color w:val="auto"/>
              </w:rPr>
              <w:t>Dated: November 11, 2013</w:t>
            </w:r>
          </w:p>
        </w:tc>
        <w:tc>
          <w:tcPr>
            <w:tcW w:w="15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i w:val="1"/>
                <w:iCs w:val="1"/>
                <w:color w:val="auto"/>
                <w:w w:val="90"/>
              </w:rPr>
              <w:t>/s/ E. Bryan Bagley</w:t>
            </w:r>
          </w:p>
        </w:tc>
        <w:tc>
          <w:tcPr>
            <w:tcW w:w="140" w:type="dxa"/>
            <w:vAlign w:val="bottom"/>
            <w:gridSpan w:val="2"/>
          </w:tcPr>
          <w:p>
            <w:pPr>
              <w:spacing w:after="0"/>
              <w:rPr>
                <w:sz w:val="17"/>
                <w:szCs w:val="17"/>
                <w:color w:val="auto"/>
              </w:rPr>
            </w:pPr>
          </w:p>
        </w:tc>
      </w:tr>
      <w:tr>
        <w:trPr>
          <w:trHeight w:val="237"/>
        </w:trPr>
        <w:tc>
          <w:tcPr>
            <w:tcW w:w="4000" w:type="dxa"/>
            <w:vAlign w:val="bottom"/>
          </w:tcPr>
          <w:p>
            <w:pPr>
              <w:spacing w:after="0"/>
              <w:rPr>
                <w:sz w:val="20"/>
                <w:szCs w:val="20"/>
                <w:color w:val="auto"/>
              </w:rPr>
            </w:pPr>
          </w:p>
        </w:tc>
        <w:tc>
          <w:tcPr>
            <w:tcW w:w="1640" w:type="dxa"/>
            <w:vAlign w:val="bottom"/>
            <w:gridSpan w:val="4"/>
          </w:tcPr>
          <w:p>
            <w:pPr>
              <w:spacing w:after="0"/>
              <w:rPr>
                <w:sz w:val="20"/>
                <w:szCs w:val="20"/>
                <w:color w:val="auto"/>
              </w:rPr>
            </w:pPr>
            <w:r>
              <w:rPr>
                <w:rFonts w:ascii="Arial" w:cs="Arial" w:eastAsia="Arial" w:hAnsi="Arial"/>
                <w:sz w:val="18"/>
                <w:szCs w:val="18"/>
                <w:color w:val="auto"/>
              </w:rPr>
              <w:t>E. Bryan Bagley</w:t>
            </w:r>
          </w:p>
        </w:tc>
      </w:tr>
      <w:tr>
        <w:trPr>
          <w:trHeight w:val="392"/>
        </w:trPr>
        <w:tc>
          <w:tcPr>
            <w:tcW w:w="4000" w:type="dxa"/>
            <w:vAlign w:val="bottom"/>
          </w:tcPr>
          <w:p>
            <w:pPr>
              <w:spacing w:after="0"/>
              <w:rPr>
                <w:sz w:val="20"/>
                <w:szCs w:val="20"/>
                <w:color w:val="auto"/>
              </w:rPr>
            </w:pPr>
            <w:r>
              <w:rPr>
                <w:rFonts w:ascii="Arial" w:cs="Arial" w:eastAsia="Arial" w:hAnsi="Arial"/>
                <w:sz w:val="18"/>
                <w:szCs w:val="18"/>
                <w:color w:val="auto"/>
              </w:rPr>
              <w:t>Dated: November 11, 2013</w:t>
            </w:r>
          </w:p>
        </w:tc>
        <w:tc>
          <w:tcPr>
            <w:tcW w:w="1640" w:type="dxa"/>
            <w:vAlign w:val="bottom"/>
            <w:gridSpan w:val="4"/>
          </w:tcPr>
          <w:p>
            <w:pPr>
              <w:ind w:left="100"/>
              <w:spacing w:after="0"/>
              <w:rPr>
                <w:sz w:val="20"/>
                <w:szCs w:val="20"/>
                <w:color w:val="auto"/>
              </w:rPr>
            </w:pPr>
            <w:r>
              <w:rPr>
                <w:rFonts w:ascii="Arial" w:cs="Arial" w:eastAsia="Arial" w:hAnsi="Arial"/>
                <w:sz w:val="18"/>
                <w:szCs w:val="18"/>
                <w:i w:val="1"/>
                <w:iCs w:val="1"/>
                <w:color w:val="auto"/>
              </w:rPr>
              <w:t>/s/ Lisa B. Higley</w:t>
            </w:r>
          </w:p>
        </w:tc>
      </w:tr>
      <w:tr>
        <w:trPr>
          <w:trHeight w:val="237"/>
        </w:trPr>
        <w:tc>
          <w:tcPr>
            <w:tcW w:w="400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Lisa B. Higley</w:t>
            </w:r>
          </w:p>
        </w:tc>
        <w:tc>
          <w:tcPr>
            <w:tcW w:w="300" w:type="dxa"/>
            <w:vAlign w:val="bottom"/>
            <w:gridSpan w:val="3"/>
          </w:tcPr>
          <w:p>
            <w:pPr>
              <w:spacing w:after="0"/>
              <w:rPr>
                <w:sz w:val="20"/>
                <w:szCs w:val="20"/>
                <w:color w:val="auto"/>
              </w:rPr>
            </w:pPr>
          </w:p>
        </w:tc>
      </w:tr>
      <w:tr>
        <w:trPr>
          <w:trHeight w:val="392"/>
        </w:trPr>
        <w:tc>
          <w:tcPr>
            <w:tcW w:w="4000" w:type="dxa"/>
            <w:vAlign w:val="bottom"/>
          </w:tcPr>
          <w:p>
            <w:pPr>
              <w:spacing w:after="0"/>
              <w:rPr>
                <w:sz w:val="20"/>
                <w:szCs w:val="20"/>
                <w:color w:val="auto"/>
              </w:rPr>
            </w:pPr>
            <w:r>
              <w:rPr>
                <w:rFonts w:ascii="Arial" w:cs="Arial" w:eastAsia="Arial" w:hAnsi="Arial"/>
                <w:sz w:val="18"/>
                <w:szCs w:val="18"/>
                <w:color w:val="auto"/>
              </w:rPr>
              <w:t>Dated: November 11, 2013</w:t>
            </w:r>
          </w:p>
        </w:tc>
        <w:tc>
          <w:tcPr>
            <w:tcW w:w="16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i w:val="1"/>
                <w:iCs w:val="1"/>
                <w:color w:val="auto"/>
                <w:w w:val="89"/>
              </w:rPr>
              <w:t>/s/ Carolyn C. Bagley</w:t>
            </w:r>
          </w:p>
        </w:tc>
      </w:tr>
      <w:tr>
        <w:trPr>
          <w:trHeight w:val="237"/>
        </w:trPr>
        <w:tc>
          <w:tcPr>
            <w:tcW w:w="4000" w:type="dxa"/>
            <w:vAlign w:val="bottom"/>
          </w:tcPr>
          <w:p>
            <w:pPr>
              <w:spacing w:after="0"/>
              <w:rPr>
                <w:sz w:val="20"/>
                <w:szCs w:val="20"/>
                <w:color w:val="auto"/>
              </w:rPr>
            </w:pPr>
          </w:p>
        </w:tc>
        <w:tc>
          <w:tcPr>
            <w:tcW w:w="1640" w:type="dxa"/>
            <w:vAlign w:val="bottom"/>
            <w:gridSpan w:val="4"/>
          </w:tcPr>
          <w:p>
            <w:pPr>
              <w:spacing w:after="0"/>
              <w:rPr>
                <w:sz w:val="20"/>
                <w:szCs w:val="20"/>
                <w:color w:val="auto"/>
              </w:rPr>
            </w:pPr>
            <w:r>
              <w:rPr>
                <w:rFonts w:ascii="Arial" w:cs="Arial" w:eastAsia="Arial" w:hAnsi="Arial"/>
                <w:sz w:val="18"/>
                <w:szCs w:val="18"/>
                <w:color w:val="auto"/>
              </w:rPr>
              <w:t>Carolyn C. Bagley</w:t>
            </w:r>
          </w:p>
        </w:tc>
      </w:tr>
      <w:tr>
        <w:trPr>
          <w:trHeight w:val="392"/>
        </w:trPr>
        <w:tc>
          <w:tcPr>
            <w:tcW w:w="4000" w:type="dxa"/>
            <w:vAlign w:val="bottom"/>
          </w:tcPr>
          <w:p>
            <w:pPr>
              <w:spacing w:after="0"/>
              <w:rPr>
                <w:sz w:val="20"/>
                <w:szCs w:val="20"/>
                <w:color w:val="auto"/>
              </w:rPr>
            </w:pPr>
            <w:r>
              <w:rPr>
                <w:rFonts w:ascii="Arial" w:cs="Arial" w:eastAsia="Arial" w:hAnsi="Arial"/>
                <w:sz w:val="18"/>
                <w:szCs w:val="18"/>
                <w:color w:val="auto"/>
              </w:rPr>
              <w:t>Dated: November 11, 2013</w:t>
            </w:r>
          </w:p>
        </w:tc>
        <w:tc>
          <w:tcPr>
            <w:tcW w:w="16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i w:val="1"/>
                <w:iCs w:val="1"/>
                <w:color w:val="auto"/>
                <w:w w:val="90"/>
              </w:rPr>
              <w:t>/s/ Amanda B. Krejci</w:t>
            </w:r>
          </w:p>
        </w:tc>
        <w:tc>
          <w:tcPr>
            <w:tcW w:w="40" w:type="dxa"/>
            <w:vAlign w:val="bottom"/>
          </w:tcPr>
          <w:p>
            <w:pPr>
              <w:spacing w:after="0"/>
              <w:rPr>
                <w:sz w:val="24"/>
                <w:szCs w:val="24"/>
                <w:color w:val="auto"/>
              </w:rPr>
            </w:pPr>
          </w:p>
        </w:tc>
      </w:tr>
      <w:tr>
        <w:trPr>
          <w:trHeight w:val="237"/>
        </w:trPr>
        <w:tc>
          <w:tcPr>
            <w:tcW w:w="4000" w:type="dxa"/>
            <w:vAlign w:val="bottom"/>
          </w:tcPr>
          <w:p>
            <w:pPr>
              <w:spacing w:after="0"/>
              <w:rPr>
                <w:sz w:val="20"/>
                <w:szCs w:val="20"/>
                <w:color w:val="auto"/>
              </w:rPr>
            </w:pPr>
          </w:p>
        </w:tc>
        <w:tc>
          <w:tcPr>
            <w:tcW w:w="1640" w:type="dxa"/>
            <w:vAlign w:val="bottom"/>
            <w:gridSpan w:val="4"/>
          </w:tcPr>
          <w:p>
            <w:pPr>
              <w:spacing w:after="0"/>
              <w:rPr>
                <w:sz w:val="20"/>
                <w:szCs w:val="20"/>
                <w:color w:val="auto"/>
              </w:rPr>
            </w:pPr>
            <w:r>
              <w:rPr>
                <w:rFonts w:ascii="Arial" w:cs="Arial" w:eastAsia="Arial" w:hAnsi="Arial"/>
                <w:sz w:val="18"/>
                <w:szCs w:val="18"/>
                <w:color w:val="auto"/>
              </w:rPr>
              <w:t>Amanda B. Krejci</w:t>
            </w:r>
          </w:p>
        </w:tc>
      </w:tr>
    </w:tbl>
    <w:p>
      <w:pPr>
        <w:spacing w:after="0" w:line="1" w:lineRule="exact"/>
        <w:rPr>
          <w:sz w:val="20"/>
          <w:szCs w:val="20"/>
          <w:color w:val="auto"/>
        </w:rPr>
      </w:pPr>
    </w:p>
    <w:sectPr>
      <w:pgSz w:w="11900" w:h="16838" w:orient="portrait"/>
      <w:cols w:equalWidth="0" w:num="1">
        <w:col w:w="10219"/>
      </w:cols>
      <w:pgMar w:left="2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lowerLetter"/>
      <w:start w:val="2"/>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upperLetter"/>
      <w:start w:val="2"/>
    </w:lvl>
    <w:lvl w:ilvl="1">
      <w:lvlJc w:val="left"/>
      <w:lvlText w:val="(%2)"/>
      <w:numFmt w:val="lowerLetter"/>
      <w:start w:val="2"/>
    </w:lvl>
  </w:abstractNum>
  <w:abstractNum w:abstractNumId="6">
    <w:nsid w:val="1190CDE7"/>
    <w:multiLevelType w:val="hybridMultilevel"/>
    <w:lvl w:ilvl="0">
      <w:lvlJc w:val="left"/>
      <w:lvlText w:val="(%1)"/>
      <w:numFmt w:val="lowerLetter"/>
      <w:start w:val="3"/>
    </w:lvl>
  </w:abstractNum>
  <w:abstractNum w:abstractNumId="7">
    <w:nsid w:val="66EF438D"/>
    <w:multiLevelType w:val="hybridMultilevel"/>
    <w:lvl w:ilvl="0">
      <w:lvlJc w:val="left"/>
      <w:lvlText w:val="(%1)"/>
      <w:numFmt w:val="lowerLetter"/>
      <w:start w:val="4"/>
    </w:lvl>
  </w:abstractNum>
  <w:abstractNum w:abstractNumId="8">
    <w:nsid w:val="140E0F76"/>
    <w:multiLevelType w:val="hybridMultilevel"/>
    <w:lvl w:ilvl="0">
      <w:lvlJc w:val="left"/>
      <w:lvlText w:val="(%1)"/>
      <w:numFmt w:val="lowerLetter"/>
      <w:start w:val="5"/>
    </w:lvl>
  </w:abstractNum>
  <w:abstractNum w:abstractNumId="9">
    <w:nsid w:val="3352255A"/>
    <w:multiLevelType w:val="hybridMultilevel"/>
    <w:lvl w:ilvl="0">
      <w:lvlJc w:val="left"/>
      <w:lvlText w:val="(%1)"/>
      <w:numFmt w:val="lowerLetter"/>
      <w:start w:val="1"/>
    </w:lvl>
    <w:lvl w:ilvl="1">
      <w:lvlJc w:val="left"/>
      <w:lvlText w:val="%2."/>
      <w:numFmt w:val="upperLetter"/>
      <w:start w:val="5"/>
    </w:lvl>
  </w:abstractNum>
  <w:abstractNum w:abstractNumId="10">
    <w:nsid w:val="109CF92E"/>
    <w:multiLevelType w:val="hybridMultilevel"/>
    <w:lvl w:ilvl="0">
      <w:lvlJc w:val="left"/>
      <w:lvlText w:val="(%1)"/>
      <w:numFmt w:val="lowerLetter"/>
      <w:start w:val="2"/>
    </w:lvl>
    <w:lvl w:ilvl="1">
      <w:lvlJc w:val="left"/>
      <w:lvlText w:val="(%2)"/>
      <w:numFmt w:val="lowerRoman"/>
      <w:start w:val="1"/>
    </w:lvl>
  </w:abstractNum>
  <w:abstractNum w:abstractNumId="11">
    <w:nsid w:val="DED7263"/>
    <w:multiLevelType w:val="hybridMultilevel"/>
    <w:lvl w:ilvl="0">
      <w:lvlJc w:val="left"/>
      <w:lvlText w:val="(%1)"/>
      <w:numFmt w:val="lowerRoman"/>
      <w:start w:val="1"/>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lowerLetter"/>
      <w:start w:val="1"/>
    </w:lvl>
    <w:lvl w:ilvl="1">
      <w:lvlJc w:val="left"/>
      <w:lvlText w:val="(%2)"/>
      <w:numFmt w:val="lowerRoman"/>
      <w:start w:val="1"/>
    </w:lvl>
  </w:abstractNum>
  <w:abstractNum w:abstractNumId="15">
    <w:nsid w:val="6B68079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2019-12-06T03:22:39Z</dcterms:created>
  <dcterms:modified xsi:type="dcterms:W3CDTF">2019-12-06T03:22:39Z</dcterms:modified>
</cp:coreProperties>
</file>