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8-K/A</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19, 2010</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001-33660</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5225 Wiley Post Way, Suite 500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1"/>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3"/>
              </w:rPr>
              <w:t>Salt Lake City, Utah</w:t>
            </w:r>
          </w:p>
        </w:tc>
        <w:tc>
          <w:tcPr>
            <w:tcW w:w="2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9, 2009, ClearOne Communications, Inc. (the “Company” or “ClearOne”), filed a Current Report on Form 8-K (the “Original Form 8-K”) to report that it had completed the acquisition of NetStreams, Inc. This Current Report on Form 8-K/A is being filed solely to amend and supplement the Original Form 8-K to include the required Item 9.01(a) Financial Statements of Business Acquired and the required Item 9.01(b) Pro Forma Financial Information.</w:t>
      </w:r>
    </w:p>
    <w:p>
      <w:pPr>
        <w:spacing w:after="0" w:line="200" w:lineRule="exact"/>
        <w:rPr>
          <w:sz w:val="20"/>
          <w:szCs w:val="20"/>
          <w:color w:val="auto"/>
        </w:rPr>
      </w:pPr>
    </w:p>
    <w:p>
      <w:pPr>
        <w:spacing w:after="0" w:line="25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23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statements of business acquired.</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financial statements of NetStreams, Inc. are attached hereto as Exhibit 99.1 and is incorporated herein by reference.</w:t>
      </w:r>
    </w:p>
    <w:p>
      <w:pPr>
        <w:spacing w:after="0" w:line="252" w:lineRule="exact"/>
        <w:rPr>
          <w:rFonts w:ascii="Arial" w:cs="Arial" w:eastAsia="Arial" w:hAnsi="Arial"/>
          <w:sz w:val="18"/>
          <w:szCs w:val="18"/>
          <w:color w:val="auto"/>
        </w:rPr>
      </w:pPr>
    </w:p>
    <w:p>
      <w:pPr>
        <w:ind w:left="660" w:hanging="24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 forma financial information required is attached hereto as Exhibit 99.2 and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48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37"/>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480" w:type="dxa"/>
            <w:vAlign w:val="bottom"/>
          </w:tcPr>
          <w:p>
            <w:pPr>
              <w:spacing w:after="0"/>
              <w:rPr>
                <w:sz w:val="20"/>
                <w:szCs w:val="20"/>
                <w:color w:val="auto"/>
              </w:rPr>
            </w:pPr>
          </w:p>
        </w:tc>
        <w:tc>
          <w:tcPr>
            <w:tcW w:w="1000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Description</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5"/>
              </w:rPr>
              <w:t>Audited consolidated financial statements of NetStreams, Inc. for the years ending March 31, 2009 and 2008 and unaudited interim</w:t>
            </w:r>
          </w:p>
        </w:tc>
      </w:tr>
      <w:tr>
        <w:trPr>
          <w:trHeight w:val="216"/>
        </w:trPr>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3"/>
              </w:rPr>
              <w:t>consolidated financial statements of NetStreams, Inc. for the six month period ending September 30, 2009 and the comparative period</w:t>
            </w:r>
          </w:p>
        </w:tc>
      </w:tr>
      <w:tr>
        <w:trPr>
          <w:trHeight w:val="230"/>
        </w:trPr>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September 30, 2008.</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48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2"/>
              </w:rPr>
              <w:t>Unaudited pro forma condensed combined balance sheet as of September 30, 2009 and the unaudited pro forma condensed combined</w:t>
            </w:r>
          </w:p>
        </w:tc>
      </w:tr>
      <w:tr>
        <w:trPr>
          <w:trHeight w:val="230"/>
        </w:trPr>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of operations for the year ended June 30, 2009 and the three month period ended September 30, 2009.</w:t>
            </w:r>
          </w:p>
        </w:tc>
      </w:tr>
      <w:tr>
        <w:trPr>
          <w:trHeight w:val="608"/>
        </w:trPr>
        <w:tc>
          <w:tcPr>
            <w:tcW w:w="940" w:type="dxa"/>
            <w:vAlign w:val="bottom"/>
          </w:tcPr>
          <w:p>
            <w:pPr>
              <w:spacing w:after="0"/>
              <w:rPr>
                <w:sz w:val="24"/>
                <w:szCs w:val="24"/>
                <w:color w:val="auto"/>
              </w:rPr>
            </w:pPr>
          </w:p>
        </w:tc>
        <w:tc>
          <w:tcPr>
            <w:tcW w:w="10480" w:type="dxa"/>
            <w:vAlign w:val="bottom"/>
            <w:gridSpan w:val="2"/>
          </w:tcPr>
          <w:p>
            <w:pPr>
              <w:jc w:val="right"/>
              <w:ind w:right="5570"/>
              <w:spacing w:after="0"/>
              <w:rPr>
                <w:sz w:val="20"/>
                <w:szCs w:val="20"/>
                <w:color w:val="auto"/>
              </w:rPr>
            </w:pPr>
            <w:r>
              <w:rPr>
                <w:rFonts w:ascii="Arial" w:cs="Arial" w:eastAsia="Arial" w:hAnsi="Arial"/>
                <w:sz w:val="18"/>
                <w:szCs w:val="18"/>
                <w:color w:val="auto"/>
              </w:rPr>
              <w:t>2</w:t>
            </w:r>
          </w:p>
        </w:tc>
      </w:tr>
      <w:tr>
        <w:trPr>
          <w:trHeight w:val="118"/>
        </w:trPr>
        <w:tc>
          <w:tcPr>
            <w:tcW w:w="9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January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CEO and Chairman</w:t>
      </w: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240" w:top="756" w:right="43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AUDITORS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NetStreams, Inc.:</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balance sheets of NetStreams, Inc. (the “Company”) as of March 31, 2009 and 2008, and the related statements of operations, stockholders’ equity (deficit), and cash flows for the years then ended. The financial statements are the responsibility of the Company’s management. Our responsibility is to express an opinion on these financial statements based on our audits.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at March 31, 2009 and 2008, and the results of its operations and its cash flows for the years then ended, in conformity with accounting principles generally accepted in the United States of America.</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As discussed in Note 2 to the financial statements, the Company has incurred operating losses since inception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November 3, 2009, Netstreams, Inc. was acquired by ClearOne Communications, Inc.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PMB Helin Donovan, LLP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 PMB Helin Donovan,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except for Note 12, which is January 19,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NetStreams,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514,451</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2,593,843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1,946,149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1,949,821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356,259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268,696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3,535,482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6,161,807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247,059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319,954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207,860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3,782,541</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6,481,761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2,022,806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1,835,860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541,628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356,208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 term debt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5,064,434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2,192,068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5,873,455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Long term debt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1,940,824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2,222,918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1,956,261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7,005,258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4,414,986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7,829,716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Series B redeemable preferred stock; 8,708,334 shares authorized;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7,585,333 shares issued and outstanding; aggregate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liquidation preference of $18,200,000 as of March 31, 2009,</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 31, 2008 and September 30, 2009, respectively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17,302,860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17,302,860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Series A, A-1, and A-2 redeemable convertible preferred stock;</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9,364,535, 9,284,535 and 9,364,535 shares authorized; 7,507,869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shares issued and outstanding; aggregate liquidation preference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 $10,046,244, $9,346,902 and $10,515,033 as of March 31,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2009, March 31, 2008 and September 30, 2009, respectively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10,952,890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10,191,799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11,421,679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$0.001 par value; 24,500,000, 23,000,000 and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24,500,000 shares authorized; 1,965,101 shares issued and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as of March 31, 2009, March 31, 2008 and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September 30, 2009, respectively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1,341,617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(32,889,184)</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(26,771,466)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(35,847,042)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(3,222,717)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2,066,775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(5,667,974)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3,782,541</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6,481,761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2,161,742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NetStreams,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Statements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0"/>
              </w:rPr>
              <w:t>Six-Months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Year ended March 31,</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8,559,044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9,469,562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2,376,303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Cost of goods sold (excluding depreciation expense)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5,095,708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5,652,345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2,027,042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2,632,962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Gross margin</w:t>
            </w:r>
          </w:p>
        </w:tc>
        <w:tc>
          <w:tcPr>
            <w:tcW w:w="12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3,463,336</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3,817,217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349,261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7,820,196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9,940,361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2,462,268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4,367,840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Marketing and promotional expenses</w:t>
            </w: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724,148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51,588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8,647,519</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11,154,107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2,583,835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from operations</w:t>
            </w:r>
          </w:p>
        </w:tc>
        <w:tc>
          <w:tcPr>
            <w:tcW w:w="12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(5,184,183)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(7,336,890)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(2,234,574)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(2,571,737)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8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5,331</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129,649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Interest expense</w:t>
            </w: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(239,524)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(227,242)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560"/>
              <w:spacing w:after="0"/>
              <w:rPr>
                <w:sz w:val="20"/>
                <w:szCs w:val="20"/>
                <w:color w:val="auto"/>
              </w:rPr>
            </w:pPr>
            <w:r>
              <w:rPr>
                <w:rFonts w:ascii="Arial" w:cs="Arial" w:eastAsia="Arial" w:hAnsi="Arial"/>
                <w:sz w:val="18"/>
                <w:szCs w:val="18"/>
                <w:color w:val="auto"/>
              </w:rPr>
              <w:t>Total other expense</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(234,193)</w:t>
            </w: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(97,593)</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(254,495)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60"/>
              <w:spacing w:after="0"/>
              <w:rPr>
                <w:sz w:val="20"/>
                <w:szCs w:val="20"/>
                <w:color w:val="auto"/>
              </w:rPr>
            </w:pPr>
            <w:r>
              <w:rPr>
                <w:rFonts w:ascii="Arial" w:cs="Arial" w:eastAsia="Arial" w:hAnsi="Arial"/>
                <w:sz w:val="18"/>
                <w:szCs w:val="18"/>
                <w:color w:val="auto"/>
              </w:rPr>
              <w:t>Net loss before income taxes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(5,418,376)</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(7,434,483)</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(2,489,069)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(2,634,876)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560"/>
              <w:spacing w:after="0"/>
              <w:rPr>
                <w:sz w:val="20"/>
                <w:szCs w:val="20"/>
                <w:color w:val="auto"/>
              </w:rPr>
            </w:pPr>
            <w:r>
              <w:rPr>
                <w:rFonts w:ascii="Arial" w:cs="Arial" w:eastAsia="Arial" w:hAnsi="Arial"/>
                <w:sz w:val="18"/>
                <w:szCs w:val="18"/>
                <w:color w:val="auto"/>
              </w:rPr>
              <w:t>Income tax expense</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60"/>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(5,418,376)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(7,434,483)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(2,489,069)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(2,634,876)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60" w:type="dxa"/>
            <w:vAlign w:val="bottom"/>
            <w:gridSpan w:val="5"/>
          </w:tcPr>
          <w:p>
            <w:pPr>
              <w:jc w:val="center"/>
              <w:ind w:left="3830"/>
              <w:spacing w:after="0"/>
              <w:rPr>
                <w:sz w:val="20"/>
                <w:szCs w:val="20"/>
                <w:color w:val="auto"/>
              </w:rPr>
            </w:pPr>
            <w:r>
              <w:rPr>
                <w:rFonts w:ascii="Arial" w:cs="Arial" w:eastAsia="Arial" w:hAnsi="Arial"/>
                <w:sz w:val="18"/>
                <w:szCs w:val="18"/>
                <w:color w:val="auto"/>
                <w:w w:val="89"/>
              </w:rPr>
              <w:t>See accompanying notes to financial statements.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NetStreams,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5"/>
              </w:rPr>
              <w:t>Series B</w:t>
            </w:r>
          </w:p>
        </w:tc>
        <w:tc>
          <w:tcPr>
            <w:tcW w:w="22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7"/>
              </w:rPr>
              <w:t>Series A , A-1, and A-2</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Preferred Stock</w:t>
            </w:r>
          </w:p>
        </w:tc>
        <w:tc>
          <w:tcPr>
            <w:tcW w:w="22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Preferred Stock</w:t>
            </w: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Retained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0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w:t>
            </w: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March 31, 2007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5,500,000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$ 12,527,444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7,507,869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$ 9,955,174</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1,959,124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$ 1,275,458</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(19,336,983)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B</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and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A</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related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2,083,333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4,775,416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A</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with</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amendment</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 loan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Exercise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compensation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65,546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(7,434,483)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(7,434,483)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March 31, 2008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7,583,333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17,302,860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7,507,869</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10,191,799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1,965,101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1,341,617</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(26,771,466)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A-2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with</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61,749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Undeclared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699,342</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(699,342)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compensation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67,135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(5,418,376)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(5,418,376)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March 31, 2009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7,583,333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17,302,860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7,507,869</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10,952,890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1,965,101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1,408,752</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(32,889,184)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Undeclared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468,789</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(468,789)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compensation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43,812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(2,489,069)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(2,489,069)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Balances at</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56"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September 30,</w:t>
            </w: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2009</w:t>
            </w: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1280" w:type="dxa"/>
            <w:vAlign w:val="bottom"/>
          </w:tcPr>
          <w:p>
            <w:pPr>
              <w:ind w:left="240"/>
              <w:spacing w:after="0"/>
              <w:rPr>
                <w:sz w:val="20"/>
                <w:szCs w:val="20"/>
                <w:color w:val="auto"/>
              </w:rPr>
            </w:pPr>
            <w:r>
              <w:rPr>
                <w:rFonts w:ascii="Arial" w:cs="Arial" w:eastAsia="Arial" w:hAnsi="Arial"/>
                <w:sz w:val="18"/>
                <w:szCs w:val="18"/>
                <w:color w:val="auto"/>
              </w:rPr>
              <w:t>(unaudited)</w:t>
            </w:r>
          </w:p>
        </w:tc>
        <w:tc>
          <w:tcPr>
            <w:tcW w:w="1060" w:type="dxa"/>
            <w:vAlign w:val="bottom"/>
          </w:tcPr>
          <w:p>
            <w:pPr>
              <w:jc w:val="right"/>
              <w:ind w:right="50"/>
              <w:spacing w:after="0"/>
              <w:rPr>
                <w:sz w:val="20"/>
                <w:szCs w:val="20"/>
                <w:color w:val="auto"/>
              </w:rPr>
            </w:pPr>
            <w:r>
              <w:rPr>
                <w:rFonts w:ascii="Arial" w:cs="Arial" w:eastAsia="Arial" w:hAnsi="Arial"/>
                <w:sz w:val="18"/>
                <w:szCs w:val="18"/>
                <w:u w:val="single" w:color="auto"/>
                <w:color w:val="auto"/>
              </w:rPr>
              <w:t>7,583,333</w:t>
            </w:r>
          </w:p>
        </w:tc>
        <w:tc>
          <w:tcPr>
            <w:tcW w:w="1240" w:type="dxa"/>
            <w:vAlign w:val="bottom"/>
          </w:tcPr>
          <w:p>
            <w:pPr>
              <w:jc w:val="right"/>
              <w:ind w:right="110"/>
              <w:spacing w:after="0"/>
              <w:rPr>
                <w:sz w:val="20"/>
                <w:szCs w:val="20"/>
                <w:color w:val="auto"/>
              </w:rPr>
            </w:pPr>
            <w:r>
              <w:rPr>
                <w:rFonts w:ascii="Arial" w:cs="Arial" w:eastAsia="Arial" w:hAnsi="Arial"/>
                <w:sz w:val="18"/>
                <w:szCs w:val="18"/>
                <w:u w:val="single" w:color="auto"/>
                <w:color w:val="auto"/>
                <w:w w:val="97"/>
              </w:rPr>
              <w:t>$ 17,302,860</w:t>
            </w:r>
          </w:p>
        </w:tc>
        <w:tc>
          <w:tcPr>
            <w:tcW w:w="1020" w:type="dxa"/>
            <w:vAlign w:val="bottom"/>
          </w:tcPr>
          <w:p>
            <w:pPr>
              <w:jc w:val="right"/>
              <w:ind w:right="10"/>
              <w:spacing w:after="0"/>
              <w:rPr>
                <w:sz w:val="20"/>
                <w:szCs w:val="20"/>
                <w:color w:val="auto"/>
              </w:rPr>
            </w:pPr>
            <w:r>
              <w:rPr>
                <w:rFonts w:ascii="Arial" w:cs="Arial" w:eastAsia="Arial" w:hAnsi="Arial"/>
                <w:sz w:val="18"/>
                <w:szCs w:val="18"/>
                <w:u w:val="single" w:color="auto"/>
                <w:color w:val="auto"/>
              </w:rPr>
              <w:t>7,507,869</w:t>
            </w:r>
          </w:p>
        </w:tc>
        <w:tc>
          <w:tcPr>
            <w:tcW w:w="1220" w:type="dxa"/>
            <w:vAlign w:val="bottom"/>
          </w:tcPr>
          <w:p>
            <w:pPr>
              <w:jc w:val="right"/>
              <w:ind w:right="110"/>
              <w:spacing w:after="0"/>
              <w:rPr>
                <w:sz w:val="20"/>
                <w:szCs w:val="20"/>
                <w:color w:val="auto"/>
              </w:rPr>
            </w:pPr>
            <w:r>
              <w:rPr>
                <w:rFonts w:ascii="Arial" w:cs="Arial" w:eastAsia="Arial" w:hAnsi="Arial"/>
                <w:sz w:val="18"/>
                <w:szCs w:val="18"/>
                <w:u w:val="single" w:color="auto"/>
                <w:color w:val="auto"/>
                <w:w w:val="95"/>
              </w:rPr>
              <w:t>$ 11,421,679</w:t>
            </w:r>
          </w:p>
        </w:tc>
        <w:tc>
          <w:tcPr>
            <w:tcW w:w="1040" w:type="dxa"/>
            <w:vAlign w:val="bottom"/>
          </w:tcPr>
          <w:p>
            <w:pPr>
              <w:jc w:val="right"/>
              <w:ind w:right="30"/>
              <w:spacing w:after="0"/>
              <w:rPr>
                <w:sz w:val="20"/>
                <w:szCs w:val="20"/>
                <w:color w:val="auto"/>
              </w:rPr>
            </w:pPr>
            <w:r>
              <w:rPr>
                <w:rFonts w:ascii="Arial" w:cs="Arial" w:eastAsia="Arial" w:hAnsi="Arial"/>
                <w:sz w:val="18"/>
                <w:szCs w:val="18"/>
                <w:u w:val="single" w:color="auto"/>
                <w:color w:val="auto"/>
              </w:rPr>
              <w:t>1,965,101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1,965</w:t>
            </w:r>
          </w:p>
        </w:tc>
        <w:tc>
          <w:tcPr>
            <w:tcW w:w="1120" w:type="dxa"/>
            <w:vAlign w:val="bottom"/>
          </w:tcPr>
          <w:p>
            <w:pPr>
              <w:jc w:val="right"/>
              <w:ind w:right="30"/>
              <w:spacing w:after="0"/>
              <w:rPr>
                <w:sz w:val="20"/>
                <w:szCs w:val="20"/>
                <w:color w:val="auto"/>
              </w:rPr>
            </w:pPr>
            <w:r>
              <w:rPr>
                <w:rFonts w:ascii="Arial" w:cs="Arial" w:eastAsia="Arial" w:hAnsi="Arial"/>
                <w:sz w:val="18"/>
                <w:szCs w:val="18"/>
                <w:u w:val="single" w:color="auto"/>
                <w:color w:val="auto"/>
              </w:rPr>
              <w:t>$ 1,452,564</w:t>
            </w:r>
          </w:p>
        </w:tc>
        <w:tc>
          <w:tcPr>
            <w:tcW w:w="2280" w:type="dxa"/>
            <w:vAlign w:val="bottom"/>
          </w:tcPr>
          <w:p>
            <w:pPr>
              <w:jc w:val="right"/>
              <w:spacing w:after="0"/>
              <w:rPr>
                <w:sz w:val="20"/>
                <w:szCs w:val="20"/>
                <w:color w:val="auto"/>
              </w:rPr>
            </w:pPr>
            <w:r>
              <w:rPr>
                <w:rFonts w:ascii="Arial" w:cs="Arial" w:eastAsia="Arial" w:hAnsi="Arial"/>
                <w:sz w:val="18"/>
                <w:szCs w:val="18"/>
                <w:u w:val="single" w:color="auto"/>
                <w:color w:val="auto"/>
                <w:w w:val="96"/>
              </w:rPr>
              <w:t>$ (35,847,042</w:t>
            </w:r>
            <w:r>
              <w:rPr>
                <w:rFonts w:ascii="Arial" w:cs="Arial" w:eastAsia="Arial" w:hAnsi="Arial"/>
                <w:sz w:val="18"/>
                <w:szCs w:val="18"/>
                <w:color w:val="auto"/>
                <w:w w:val="96"/>
              </w:rPr>
              <w:t xml:space="preserve">)  </w:t>
            </w:r>
            <w:r>
              <w:rPr>
                <w:rFonts w:ascii="Arial" w:cs="Arial" w:eastAsia="Arial" w:hAnsi="Arial"/>
                <w:sz w:val="18"/>
                <w:szCs w:val="18"/>
                <w:u w:val="single" w:color="auto"/>
                <w:color w:val="auto"/>
                <w:w w:val="96"/>
              </w:rPr>
              <w:t>$ (5,667,974</w:t>
            </w:r>
            <w:r>
              <w:rPr>
                <w:rFonts w:ascii="Arial" w:cs="Arial" w:eastAsia="Arial" w:hAnsi="Arial"/>
                <w:sz w:val="18"/>
                <w:szCs w:val="18"/>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0</wp:posOffset>
            </wp:positionV>
            <wp:extent cx="63715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71590" cy="34290"/>
                    </a:xfrm>
                    <a:prstGeom prst="rect">
                      <a:avLst/>
                    </a:prstGeom>
                    <a:noFill/>
                  </pic:spPr>
                </pic:pic>
              </a:graphicData>
            </a:graphic>
          </wp:anchor>
        </w:drawing>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8"/>
          <w:szCs w:val="18"/>
          <w:b w:val="1"/>
          <w:bCs w:val="1"/>
          <w:color w:val="auto"/>
        </w:rPr>
        <w:t>NetStreams,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7"/>
          </w:tcPr>
          <w:p>
            <w:pPr>
              <w:ind w:left="100"/>
              <w:spacing w:after="0"/>
              <w:rPr>
                <w:sz w:val="20"/>
                <w:szCs w:val="20"/>
                <w:color w:val="auto"/>
              </w:rPr>
            </w:pPr>
            <w:r>
              <w:rPr>
                <w:rFonts w:ascii="Arial" w:cs="Arial" w:eastAsia="Arial" w:hAnsi="Arial"/>
                <w:sz w:val="18"/>
                <w:szCs w:val="18"/>
                <w:b w:val="1"/>
                <w:bCs w:val="1"/>
                <w:color w:val="auto"/>
                <w:w w:val="97"/>
              </w:rPr>
              <w:t>Six-Months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Year ended March 31,</w:t>
            </w:r>
          </w:p>
        </w:tc>
        <w:tc>
          <w:tcPr>
            <w:tcW w:w="100" w:type="dxa"/>
            <w:vAlign w:val="bottom"/>
          </w:tcPr>
          <w:p>
            <w:pPr>
              <w:spacing w:after="0"/>
              <w:rPr>
                <w:sz w:val="20"/>
                <w:szCs w:val="20"/>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(5,418,376)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(7,434,483)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(2,489,069)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Adjustments to reconcile net loss to net cash used in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48,400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 expense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65,546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Interest expense from issuance of warrants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11,625</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15,437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630,824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(300,899)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538,462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(1,046,114)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(87,563)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(221,511)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1,175,941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(631,259)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(309,670)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190,280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256,951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(4,326,194)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(8,011,165)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(1,374,790)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(1,791,637)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(30,280)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(107,668)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(107,668)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Proceeds from issuance of preferred stock and warrants,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related financing costs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5,000,416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debt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(2,222,918)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Proceeds from exercise of common stock options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2,277,082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4,978,931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(2,079,392)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(3,139,902)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2,593,843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5,733,745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514,451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2,593,843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514,451</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2,593,843</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385,841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1,026,307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164,242</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222,480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112,391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68,107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 cash investing and financing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Issuance of warrants to purchase Series A preferred stock in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conjunction with issuance of Series B preferred stock</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Issuance of warrants to purchase Series A-2 preferred stock in</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conjunction with issuance of debt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61,749</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Undeclared preferred stock dividends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699,342</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468,789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233,114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NetStreams, Inc. (the Company), a Delaware corporation, was founded in April 2004 and is headquartered in Austin, Texas. The Company sells multi-room audio systems, which allow for the distribution of music to multiple rooms in residences without the requirement of multiple stereo systems.</w:t>
      </w:r>
    </w:p>
    <w:p>
      <w:pPr>
        <w:spacing w:after="0" w:line="151"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On November 3, 2009, all of the outstanding stock of the Company was acquired by ClearOne Communications, Inc. (ClearOne), a publicly traded company (Note 12).</w:t>
      </w:r>
    </w:p>
    <w:p>
      <w:pPr>
        <w:spacing w:after="0" w:line="220"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256"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Company has experienced operating losses since inception as a result of efforts to market and develop its products. The Company plans to increase revenues and decrease operating costs as a percentage of revenues in order to achieve profitability and positive cash flows in the future. There can be no assurance that the Company will ever achieve or sustain profitability or positive cash flow from operations. To date, the Company has funded its activities primarily through private equity offerings, which have included sales of common and preferred stock, and the issuance of notes payable.</w:t>
      </w:r>
    </w:p>
    <w:p>
      <w:pPr>
        <w:spacing w:after="0" w:line="21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These factors, among others, raise substantial doubt about the Company’s ability to continue as a going concern. The financial statements do not include any adjustments that might result from the outcome of this uncertainty.</w:t>
      </w:r>
    </w:p>
    <w:p>
      <w:pPr>
        <w:spacing w:after="0" w:line="220"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rFonts w:ascii="Arial" w:cs="Arial" w:eastAsia="Arial" w:hAnsi="Arial"/>
          <w:sz w:val="18"/>
          <w:szCs w:val="18"/>
          <w:b w:val="1"/>
          <w:bCs w:val="1"/>
          <w:color w:val="auto"/>
        </w:rPr>
      </w:pPr>
    </w:p>
    <w:p>
      <w:pPr>
        <w:ind w:left="820" w:hanging="326"/>
        <w:spacing w:after="0" w:line="282" w:lineRule="auto"/>
        <w:tabs>
          <w:tab w:leader="none" w:pos="82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financial statements are prepared on the accrual basis in conformity with accounting principles generally accepted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United States of America.</w:t>
      </w:r>
    </w:p>
    <w:p>
      <w:pPr>
        <w:spacing w:after="0" w:line="188" w:lineRule="exact"/>
        <w:rPr>
          <w:rFonts w:ascii="Arial" w:cs="Arial" w:eastAsia="Arial" w:hAnsi="Arial"/>
          <w:sz w:val="18"/>
          <w:szCs w:val="18"/>
          <w:b w:val="1"/>
          <w:bCs w:val="1"/>
          <w:i w:val="1"/>
          <w:iCs w:val="1"/>
          <w:color w:val="auto"/>
        </w:rPr>
      </w:pPr>
    </w:p>
    <w:p>
      <w:pPr>
        <w:ind w:left="820" w:hanging="326"/>
        <w:spacing w:after="0" w:line="282" w:lineRule="auto"/>
        <w:tabs>
          <w:tab w:leader="none" w:pos="82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consist primarily of cash deposits and liquid investments with original maturities of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or less when purchased and are stated at cost.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30, 2009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accounts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514,451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Money market accounts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2,510,674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514,451</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2,593,843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820" w:hanging="326"/>
        <w:spacing w:after="0" w:line="259" w:lineRule="auto"/>
        <w:tabs>
          <w:tab w:leader="none" w:pos="8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Concentration of Credit Risk - </w:t>
      </w:r>
      <w:r>
        <w:rPr>
          <w:rFonts w:ascii="Arial" w:cs="Arial" w:eastAsia="Arial" w:hAnsi="Arial"/>
          <w:sz w:val="18"/>
          <w:szCs w:val="18"/>
          <w:color w:val="auto"/>
        </w:rPr>
        <w:t>Financial instruments that potentially subject the Company to credit risk are cash, cash equivalents and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The Company’s cash and cash equivalents are placed with high-credit, quality financial institutions and issuers. The Company has not experienced any losses in such accounts, and the Company does not believe it is exposed to any significant credit risk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256"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The Company extends credit to its customers in the normal course of business after performing an initial credit evaluation and maintains allowances for potential credit losses. The following customers represent significant percentages of revenue for the years ended and receivables as of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5"/>
              </w:rPr>
              <w:t>Revenue</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86"/>
              </w:rPr>
              <w:t>Receivables</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Customer</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Customer B</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C</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Customer D</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7"/>
        </w:trPr>
        <w:tc>
          <w:tcPr>
            <w:tcW w:w="60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customers represent significant percentages of revenue for the six-months ended September 30, 2009 and 2008 and receivables as of</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September 30,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74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Revenue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Receivables</w:t>
            </w:r>
          </w:p>
        </w:tc>
      </w:tr>
      <w:tr>
        <w:trPr>
          <w:trHeight w:val="223"/>
        </w:trPr>
        <w:tc>
          <w:tcPr>
            <w:tcW w:w="74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Customer</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Customer C</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7"/>
        </w:trPr>
        <w:tc>
          <w:tcPr>
            <w:tcW w:w="744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
        </w:trPr>
        <w:tc>
          <w:tcPr>
            <w:tcW w:w="74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820" w:hanging="326"/>
        <w:spacing w:after="0" w:line="255" w:lineRule="auto"/>
        <w:tabs>
          <w:tab w:leader="none" w:pos="8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comprised primarily of finished goods stated at the lower of cost (first-in, first out) or market through the use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valuation allowance. In order to assess the ultimate realization of inventories, the Company is required to make judgments as to future demand requirements compared to current or committed inventory levels. Allowance requirements generally increase as the projected demand requirement decreases due to market conditions, technological and product life cycle changes. The Company has recorded an inventory valuation allowance of $273,547 and $378,977 as of March 31, 2009 and 2008, respectively. The inventory allowance was $284,005 as of September 30, 2009 (unaudited).</w:t>
      </w:r>
    </w:p>
    <w:p>
      <w:pPr>
        <w:spacing w:after="0" w:line="220" w:lineRule="exact"/>
        <w:rPr>
          <w:rFonts w:ascii="Arial" w:cs="Arial" w:eastAsia="Arial" w:hAnsi="Arial"/>
          <w:sz w:val="18"/>
          <w:szCs w:val="18"/>
          <w:b w:val="1"/>
          <w:bCs w:val="1"/>
          <w:i w:val="1"/>
          <w:iCs w:val="1"/>
          <w:color w:val="auto"/>
        </w:rPr>
      </w:pPr>
    </w:p>
    <w:p>
      <w:pPr>
        <w:ind w:left="820" w:hanging="326"/>
        <w:spacing w:after="0" w:line="277" w:lineRule="auto"/>
        <w:tabs>
          <w:tab w:leader="none" w:pos="8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Property and Equipment - </w:t>
      </w:r>
      <w:r>
        <w:rPr>
          <w:rFonts w:ascii="Arial" w:cs="Arial" w:eastAsia="Arial" w:hAnsi="Arial"/>
          <w:sz w:val="18"/>
          <w:szCs w:val="18"/>
          <w:color w:val="auto"/>
        </w:rPr>
        <w:t>Property and equipment are carried at cost less accumulated depreciation. Depreciation of property and equipment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computed using the straight-line method over the useful lives of the assets, generally three to five years.</w:t>
      </w:r>
    </w:p>
    <w:p>
      <w:pPr>
        <w:spacing w:after="0" w:line="197" w:lineRule="exact"/>
        <w:rPr>
          <w:rFonts w:ascii="Arial" w:cs="Arial" w:eastAsia="Arial" w:hAnsi="Arial"/>
          <w:sz w:val="18"/>
          <w:szCs w:val="18"/>
          <w:b w:val="1"/>
          <w:bCs w:val="1"/>
          <w:i w:val="1"/>
          <w:iCs w:val="1"/>
          <w:color w:val="auto"/>
        </w:rPr>
      </w:pPr>
    </w:p>
    <w:p>
      <w:pPr>
        <w:jc w:val="both"/>
        <w:ind w:left="820" w:hanging="326"/>
        <w:spacing w:after="0" w:line="276" w:lineRule="auto"/>
        <w:tabs>
          <w:tab w:leader="none" w:pos="82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Impairment of Long-Lived Assets - </w:t>
      </w:r>
      <w:r>
        <w:rPr>
          <w:rFonts w:ascii="Arial" w:cs="Arial" w:eastAsia="Arial" w:hAnsi="Arial"/>
          <w:sz w:val="17"/>
          <w:szCs w:val="17"/>
          <w:color w:val="auto"/>
        </w:rPr>
        <w:t>Long-lived assets are reviewed for impairment whenever events or changes in circumstances indicate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 to sell.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8"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6" w:lineRule="exact"/>
        <w:rPr>
          <w:rFonts w:ascii="Arial" w:cs="Arial" w:eastAsia="Arial" w:hAnsi="Arial"/>
          <w:sz w:val="18"/>
          <w:szCs w:val="18"/>
          <w:b w:val="1"/>
          <w:bCs w:val="1"/>
          <w:color w:val="auto"/>
        </w:rPr>
      </w:pPr>
    </w:p>
    <w:p>
      <w:pPr>
        <w:jc w:val="both"/>
        <w:ind w:left="820" w:hanging="326"/>
        <w:spacing w:after="0" w:line="264" w:lineRule="auto"/>
        <w:tabs>
          <w:tab w:leader="none" w:pos="82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Fair Value of Financial Instruments – </w:t>
      </w:r>
      <w:r>
        <w:rPr>
          <w:rFonts w:ascii="Arial" w:cs="Arial" w:eastAsia="Arial" w:hAnsi="Arial"/>
          <w:sz w:val="18"/>
          <w:szCs w:val="18"/>
          <w:color w:val="auto"/>
        </w:rPr>
        <w:t>As of April 1, 2008, the Company implemented fair value measurements for its financial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that are measured and reported at fair value at each reporting period and non-financial assets and liabilities that are remeasured and reported at fair value at least annually.</w:t>
      </w:r>
    </w:p>
    <w:p>
      <w:pPr>
        <w:spacing w:after="0" w:line="208" w:lineRule="exact"/>
        <w:rPr>
          <w:rFonts w:ascii="Arial" w:cs="Arial" w:eastAsia="Arial" w:hAnsi="Arial"/>
          <w:sz w:val="18"/>
          <w:szCs w:val="18"/>
          <w:b w:val="1"/>
          <w:bCs w:val="1"/>
          <w:i w:val="1"/>
          <w:iCs w:val="1"/>
          <w:color w:val="auto"/>
        </w:rPr>
      </w:pPr>
    </w:p>
    <w:p>
      <w:pPr>
        <w:jc w:val="both"/>
        <w:ind w:left="82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general, fair values determined by Level 1 inputs utilize quoted prices (unadjusted) in active markets for identical assets or liabilities. Fair values determined by Level 2 inputs utilize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w:t>
      </w:r>
    </w:p>
    <w:p>
      <w:pPr>
        <w:spacing w:after="0" w:line="199" w:lineRule="exact"/>
        <w:rPr>
          <w:rFonts w:ascii="Arial" w:cs="Arial" w:eastAsia="Arial" w:hAnsi="Arial"/>
          <w:sz w:val="18"/>
          <w:szCs w:val="18"/>
          <w:b w:val="1"/>
          <w:bCs w:val="1"/>
          <w:i w:val="1"/>
          <w:iCs w:val="1"/>
          <w:color w:val="auto"/>
        </w:rPr>
      </w:pPr>
    </w:p>
    <w:p>
      <w:pPr>
        <w:jc w:val="both"/>
        <w:ind w:left="8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As of March 31, 2009 and September 30, 2009, the carrying value of the Company’s financial instruments, which include cash and cash equivalents, accounts receivable, accounts payable and other accrued expenses approximates their fair values due to their short maturities. Based on borrowing rates currently available to the Company for notes payable with similar terms, the carrying value of the Company’s long term debt approximates fair value.</w:t>
      </w:r>
    </w:p>
    <w:p>
      <w:pPr>
        <w:spacing w:after="0" w:line="213" w:lineRule="exact"/>
        <w:rPr>
          <w:rFonts w:ascii="Arial" w:cs="Arial" w:eastAsia="Arial" w:hAnsi="Arial"/>
          <w:sz w:val="18"/>
          <w:szCs w:val="18"/>
          <w:b w:val="1"/>
          <w:bCs w:val="1"/>
          <w:i w:val="1"/>
          <w:iCs w:val="1"/>
          <w:color w:val="auto"/>
        </w:rPr>
      </w:pPr>
    </w:p>
    <w:p>
      <w:pPr>
        <w:jc w:val="both"/>
        <w:ind w:left="820" w:hanging="326"/>
        <w:spacing w:after="0" w:line="255" w:lineRule="auto"/>
        <w:tabs>
          <w:tab w:leader="none" w:pos="82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The Company grants stock options to employees that allow them to purchase shares of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are also granted to members of the Board of Directors. The Company determines the fair value of stock options at the date of grant using the Black-Scholes valuation model. The cost is recognized as an expense over the employee’s requisite service period (generally the vesting period of the equity award). The Company recorded $67,135 and $65,546 in stock compensation expense for the years ended March 31, 2009 and 2008, respectively. The Company recorded $43,812 and $33,568 in stock compensation expense for the six-months ended September 30, 2009 and 2008, respectively (unaudited).</w:t>
      </w:r>
    </w:p>
    <w:p>
      <w:pPr>
        <w:spacing w:after="0" w:line="220" w:lineRule="exact"/>
        <w:rPr>
          <w:rFonts w:ascii="Arial" w:cs="Arial" w:eastAsia="Arial" w:hAnsi="Arial"/>
          <w:sz w:val="18"/>
          <w:szCs w:val="18"/>
          <w:b w:val="1"/>
          <w:bCs w:val="1"/>
          <w:i w:val="1"/>
          <w:iCs w:val="1"/>
          <w:color w:val="auto"/>
        </w:rPr>
      </w:pPr>
    </w:p>
    <w:p>
      <w:pPr>
        <w:jc w:val="both"/>
        <w:ind w:left="820" w:hanging="326"/>
        <w:spacing w:after="0" w:line="264" w:lineRule="auto"/>
        <w:tabs>
          <w:tab w:leader="none" w:pos="82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Advertising – </w:t>
      </w:r>
      <w:r>
        <w:rPr>
          <w:rFonts w:ascii="Arial" w:cs="Arial" w:eastAsia="Arial" w:hAnsi="Arial"/>
          <w:sz w:val="18"/>
          <w:szCs w:val="18"/>
          <w:color w:val="auto"/>
        </w:rPr>
        <w:t>All advertising costs are expensed as incurred. Advertising expenses were approximately $85,000 and $172,000 during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2009 and 2008, respectively. Advertising expenses were $23,919 and $71,951 during the six-months ended September 30, 2009 and 2008, respectively (unaudited).</w:t>
      </w:r>
    </w:p>
    <w:p>
      <w:pPr>
        <w:spacing w:after="0" w:line="208" w:lineRule="exact"/>
        <w:rPr>
          <w:rFonts w:ascii="Arial" w:cs="Arial" w:eastAsia="Arial" w:hAnsi="Arial"/>
          <w:sz w:val="18"/>
          <w:szCs w:val="18"/>
          <w:b w:val="1"/>
          <w:bCs w:val="1"/>
          <w:i w:val="1"/>
          <w:iCs w:val="1"/>
          <w:color w:val="auto"/>
        </w:rPr>
      </w:pPr>
    </w:p>
    <w:p>
      <w:pPr>
        <w:jc w:val="both"/>
        <w:ind w:left="820" w:right="20" w:hanging="326"/>
        <w:spacing w:after="0" w:line="264" w:lineRule="auto"/>
        <w:tabs>
          <w:tab w:leader="none" w:pos="82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requires management to make estimates and assumptions that affect the amounts reported in the financial statements and accompanying notes. Actual results could differ from those estimates.</w:t>
      </w:r>
    </w:p>
    <w:p>
      <w:pPr>
        <w:spacing w:after="0" w:line="208" w:lineRule="exact"/>
        <w:rPr>
          <w:rFonts w:ascii="Arial" w:cs="Arial" w:eastAsia="Arial" w:hAnsi="Arial"/>
          <w:sz w:val="18"/>
          <w:szCs w:val="18"/>
          <w:b w:val="1"/>
          <w:bCs w:val="1"/>
          <w:i w:val="1"/>
          <w:iCs w:val="1"/>
          <w:color w:val="auto"/>
        </w:rPr>
      </w:pPr>
    </w:p>
    <w:p>
      <w:pPr>
        <w:jc w:val="both"/>
        <w:ind w:left="820" w:hanging="326"/>
        <w:spacing w:after="0" w:line="264" w:lineRule="auto"/>
        <w:tabs>
          <w:tab w:leader="none" w:pos="82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Accounts Receivable and Allowance- </w:t>
      </w:r>
      <w:r>
        <w:rPr>
          <w:rFonts w:ascii="Arial" w:cs="Arial" w:eastAsia="Arial" w:hAnsi="Arial"/>
          <w:sz w:val="18"/>
          <w:szCs w:val="18"/>
          <w:color w:val="auto"/>
        </w:rPr>
        <w:t>Accounts receivable are recorded at cost. The Company periodically evaluates the adequacy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The allowance for doubtful accounts totaled $47,032 and $21,272 as of March 31, 2009 and 2008, respectively. The allowance for doubtful accounts totaled $76,023 as of September 30, 2009 (unaudited).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center"/>
        <w:ind w:right="33"/>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ind w:right="33"/>
        <w:spacing w:after="0"/>
        <w:rPr>
          <w:sz w:val="20"/>
          <w:szCs w:val="20"/>
          <w:color w:val="auto"/>
        </w:rPr>
      </w:pPr>
      <w:r>
        <w:rPr>
          <w:rFonts w:ascii="Arial" w:cs="Arial" w:eastAsia="Arial" w:hAnsi="Arial"/>
          <w:sz w:val="22"/>
          <w:szCs w:val="22"/>
          <w:color w:val="auto"/>
        </w:rPr>
        <w:t>Notes to Financial Statements</w:t>
      </w:r>
    </w:p>
    <w:p>
      <w:pPr>
        <w:spacing w:after="0" w:line="218" w:lineRule="exact"/>
        <w:rPr>
          <w:sz w:val="20"/>
          <w:szCs w:val="20"/>
          <w:color w:val="auto"/>
        </w:rPr>
      </w:pPr>
    </w:p>
    <w:p>
      <w:pPr>
        <w:ind w:left="247" w:hanging="247"/>
        <w:spacing w:after="0"/>
        <w:tabs>
          <w:tab w:leader="none" w:pos="24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6" w:lineRule="exact"/>
        <w:rPr>
          <w:rFonts w:ascii="Arial" w:cs="Arial" w:eastAsia="Arial" w:hAnsi="Arial"/>
          <w:sz w:val="18"/>
          <w:szCs w:val="18"/>
          <w:b w:val="1"/>
          <w:bCs w:val="1"/>
          <w:color w:val="auto"/>
        </w:rPr>
      </w:pPr>
    </w:p>
    <w:p>
      <w:pPr>
        <w:jc w:val="both"/>
        <w:ind w:left="767" w:hanging="326"/>
        <w:spacing w:after="0" w:line="276" w:lineRule="auto"/>
        <w:tabs>
          <w:tab w:leader="none" w:pos="767" w:val="left"/>
        </w:tabs>
        <w:numPr>
          <w:ilvl w:val="1"/>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recognized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the period that includes the enactment date.</w:t>
      </w:r>
    </w:p>
    <w:p>
      <w:pPr>
        <w:spacing w:after="0" w:line="199" w:lineRule="exact"/>
        <w:rPr>
          <w:rFonts w:ascii="Arial" w:cs="Arial" w:eastAsia="Arial" w:hAnsi="Arial"/>
          <w:sz w:val="17"/>
          <w:szCs w:val="17"/>
          <w:b w:val="1"/>
          <w:bCs w:val="1"/>
          <w:i w:val="1"/>
          <w:iCs w:val="1"/>
          <w:color w:val="auto"/>
        </w:rPr>
      </w:pPr>
    </w:p>
    <w:p>
      <w:pPr>
        <w:jc w:val="both"/>
        <w:ind w:left="767"/>
        <w:spacing w:after="0" w:line="264" w:lineRule="auto"/>
        <w:rPr>
          <w:rFonts w:ascii="Arial" w:cs="Arial" w:eastAsia="Arial" w:hAnsi="Arial"/>
          <w:sz w:val="17"/>
          <w:szCs w:val="17"/>
          <w:b w:val="1"/>
          <w:bCs w:val="1"/>
          <w:i w:val="1"/>
          <w:iCs w:val="1"/>
          <w:color w:val="auto"/>
        </w:rPr>
      </w:pPr>
      <w:r>
        <w:rPr>
          <w:rFonts w:ascii="Arial" w:cs="Arial" w:eastAsia="Arial" w:hAnsi="Arial"/>
          <w:sz w:val="18"/>
          <w:szCs w:val="18"/>
          <w:color w:val="auto"/>
        </w:rPr>
        <w:t>The Company is subject to Texas margin tax, which is calculated as a percentage of taxable margin, rather than being based on federal taxable income. For the years ended March 31, 2009 and 2008 and the six-months ended September 30, 2009 and 2008 (unaudited), the Company has recorded no Texas Margin expense.</w:t>
      </w:r>
    </w:p>
    <w:p>
      <w:pPr>
        <w:spacing w:after="0" w:line="208" w:lineRule="exact"/>
        <w:rPr>
          <w:rFonts w:ascii="Arial" w:cs="Arial" w:eastAsia="Arial" w:hAnsi="Arial"/>
          <w:sz w:val="17"/>
          <w:szCs w:val="17"/>
          <w:b w:val="1"/>
          <w:bCs w:val="1"/>
          <w:i w:val="1"/>
          <w:iCs w:val="1"/>
          <w:color w:val="auto"/>
        </w:rPr>
      </w:pPr>
    </w:p>
    <w:p>
      <w:pPr>
        <w:ind w:left="767" w:hanging="326"/>
        <w:spacing w:after="0" w:line="308" w:lineRule="auto"/>
        <w:tabs>
          <w:tab w:leader="none" w:pos="767" w:val="left"/>
        </w:tabs>
        <w:numPr>
          <w:ilvl w:val="1"/>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Revenue Recognition – </w:t>
      </w:r>
      <w:r>
        <w:rPr>
          <w:rFonts w:ascii="Arial" w:cs="Arial" w:eastAsia="Arial" w:hAnsi="Arial"/>
          <w:sz w:val="17"/>
          <w:szCs w:val="17"/>
          <w:color w:val="auto"/>
        </w:rPr>
        <w:t>The Company derives revenue from the sales of IP based audio/video control products. The Company recognizes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these products when it is realized or realizable and earned. Revenue is considered realized and earned when:</w:t>
      </w:r>
    </w:p>
    <w:p>
      <w:pPr>
        <w:spacing w:after="0" w:line="173" w:lineRule="exact"/>
        <w:rPr>
          <w:rFonts w:ascii="Arial" w:cs="Arial" w:eastAsia="Arial" w:hAnsi="Arial"/>
          <w:sz w:val="17"/>
          <w:szCs w:val="17"/>
          <w:b w:val="1"/>
          <w:bCs w:val="1"/>
          <w:i w:val="1"/>
          <w:iCs w:val="1"/>
          <w:color w:val="auto"/>
        </w:rPr>
      </w:pPr>
    </w:p>
    <w:p>
      <w:pPr>
        <w:ind w:left="647" w:hanging="111"/>
        <w:spacing w:after="0"/>
        <w:tabs>
          <w:tab w:leader="none" w:pos="647" w:val="left"/>
        </w:tabs>
        <w:numPr>
          <w:ilvl w:val="2"/>
          <w:numId w:val="8"/>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647" w:hanging="111"/>
        <w:spacing w:after="0"/>
        <w:tabs>
          <w:tab w:leader="none" w:pos="647" w:val="left"/>
        </w:tabs>
        <w:numPr>
          <w:ilvl w:val="2"/>
          <w:numId w:val="8"/>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647" w:hanging="111"/>
        <w:spacing w:after="0"/>
        <w:tabs>
          <w:tab w:leader="none" w:pos="647"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Company’s fee to its customer is fixed or determinable; and</w:t>
      </w:r>
    </w:p>
    <w:p>
      <w:pPr>
        <w:spacing w:after="0" w:line="9" w:lineRule="exact"/>
        <w:rPr>
          <w:rFonts w:ascii="Arial" w:cs="Arial" w:eastAsia="Arial" w:hAnsi="Arial"/>
          <w:sz w:val="18"/>
          <w:szCs w:val="18"/>
          <w:color w:val="auto"/>
        </w:rPr>
      </w:pPr>
    </w:p>
    <w:p>
      <w:pPr>
        <w:ind w:left="647" w:hanging="111"/>
        <w:spacing w:after="0"/>
        <w:tabs>
          <w:tab w:leader="none" w:pos="647" w:val="left"/>
        </w:tabs>
        <w:numPr>
          <w:ilvl w:val="2"/>
          <w:numId w:val="8"/>
        </w:numPr>
        <w:rPr>
          <w:rFonts w:ascii="Arial" w:cs="Arial" w:eastAsia="Arial" w:hAnsi="Arial"/>
          <w:sz w:val="18"/>
          <w:szCs w:val="18"/>
          <w:color w:val="auto"/>
        </w:rPr>
      </w:pPr>
      <w:r>
        <w:rPr>
          <w:rFonts w:ascii="Arial" w:cs="Arial" w:eastAsia="Arial" w:hAnsi="Arial"/>
          <w:sz w:val="18"/>
          <w:szCs w:val="18"/>
          <w:color w:val="auto"/>
        </w:rPr>
        <w:t>Collection of the resulting receivable is reasonably assured.</w:t>
      </w:r>
    </w:p>
    <w:p>
      <w:pPr>
        <w:spacing w:after="0" w:line="211" w:lineRule="exact"/>
        <w:rPr>
          <w:sz w:val="20"/>
          <w:szCs w:val="20"/>
          <w:color w:val="auto"/>
        </w:rPr>
      </w:pPr>
    </w:p>
    <w:p>
      <w:pPr>
        <w:ind w:left="767" w:right="20"/>
        <w:spacing w:after="0" w:line="277" w:lineRule="auto"/>
        <w:rPr>
          <w:sz w:val="20"/>
          <w:szCs w:val="20"/>
          <w:color w:val="auto"/>
        </w:rPr>
      </w:pPr>
      <w:r>
        <w:rPr>
          <w:rFonts w:ascii="Arial" w:cs="Arial" w:eastAsia="Arial" w:hAnsi="Arial"/>
          <w:sz w:val="18"/>
          <w:szCs w:val="18"/>
          <w:color w:val="auto"/>
        </w:rPr>
        <w:t>Revenue is recognized when title and risk of loss passes to the customer. Delivery is considered complete when products have been shipped to the customer or title and risk of loss has transferred to the customer.</w:t>
      </w:r>
    </w:p>
    <w:p>
      <w:pPr>
        <w:spacing w:after="0" w:line="197" w:lineRule="exact"/>
        <w:rPr>
          <w:sz w:val="20"/>
          <w:szCs w:val="20"/>
          <w:color w:val="auto"/>
        </w:rPr>
      </w:pPr>
    </w:p>
    <w:p>
      <w:pPr>
        <w:jc w:val="both"/>
        <w:ind w:left="767" w:hanging="326"/>
        <w:spacing w:after="0" w:line="290" w:lineRule="auto"/>
        <w:tabs>
          <w:tab w:leader="none" w:pos="767"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Redeemable Preferred Stock – </w:t>
      </w:r>
      <w:r>
        <w:rPr>
          <w:rFonts w:ascii="Arial" w:cs="Arial" w:eastAsia="Arial" w:hAnsi="Arial"/>
          <w:sz w:val="16"/>
          <w:szCs w:val="16"/>
          <w:color w:val="auto"/>
        </w:rPr>
        <w:t>The Company Company’s Series B preferred stock contains a provision allowing the holders of the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require redemption at any time after August 23, 2010 if the holders of a majority of the outstanding Series B preferred stock notify the Company in writing. The Company’s Series A, A-1 and A-2 preferred stock contains a provision allowing the holders of the preferred stock to require redemption at any time after June 30, 2011 if two-thirds of the outstanding shares of Series A, A-1 and A-2 notify the Company in writing. Since the Company’s redeemable preferred stock requires a vote of at least a majority of the preferred stock shareholders it is not considered mandatorily redeemable under Accounting Standards Codification (ASC) 480, </w:t>
      </w:r>
      <w:r>
        <w:rPr>
          <w:rFonts w:ascii="Arial" w:cs="Arial" w:eastAsia="Arial" w:hAnsi="Arial"/>
          <w:sz w:val="16"/>
          <w:szCs w:val="16"/>
          <w:i w:val="1"/>
          <w:iCs w:val="1"/>
          <w:color w:val="auto"/>
        </w:rPr>
        <w:t>Distinguishing Liabilities from Equity (ASC 480).</w:t>
      </w:r>
      <w:r>
        <w:rPr>
          <w:rFonts w:ascii="Arial" w:cs="Arial" w:eastAsia="Arial" w:hAnsi="Arial"/>
          <w:sz w:val="16"/>
          <w:szCs w:val="16"/>
          <w:color w:val="auto"/>
        </w:rPr>
        <w:t xml:space="preserve"> A financial instrument that embodies a conditional obligation to redeem the instrument by transferring assets upon an event not certain to occur becomes mandatorily redeemable—and, therefore, becomes a liability—if that event occurs, the condition is resolved, or the event becomes certain to occur.</w:t>
      </w:r>
    </w:p>
    <w:p>
      <w:pPr>
        <w:spacing w:after="0" w:line="193" w:lineRule="exact"/>
        <w:rPr>
          <w:sz w:val="20"/>
          <w:szCs w:val="20"/>
          <w:color w:val="auto"/>
        </w:rPr>
      </w:pPr>
    </w:p>
    <w:p>
      <w:pPr>
        <w:jc w:val="both"/>
        <w:ind w:left="927"/>
        <w:spacing w:after="0" w:line="264" w:lineRule="auto"/>
        <w:rPr>
          <w:sz w:val="20"/>
          <w:szCs w:val="20"/>
          <w:color w:val="auto"/>
        </w:rPr>
      </w:pPr>
      <w:r>
        <w:rPr>
          <w:rFonts w:ascii="Arial" w:cs="Arial" w:eastAsia="Arial" w:hAnsi="Arial"/>
          <w:sz w:val="18"/>
          <w:szCs w:val="18"/>
          <w:color w:val="auto"/>
        </w:rPr>
        <w:t>The Company accounts for its redeemable preferred stock as equity in accordance with ASC 480, as the redeemable preferred stock is conditionally redeemable, as the occurrence of a shareholder vote is outside the Company’s control and there is not an unconditional obligation to redeem the preferred stock at a specified or determinable date.</w:t>
      </w:r>
    </w:p>
    <w:p>
      <w:pPr>
        <w:spacing w:after="0" w:line="200" w:lineRule="exact"/>
        <w:rPr>
          <w:sz w:val="20"/>
          <w:szCs w:val="20"/>
          <w:color w:val="auto"/>
        </w:rPr>
      </w:pPr>
    </w:p>
    <w:p>
      <w:pPr>
        <w:spacing w:after="0" w:line="400"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7"/>
          </w:cols>
          <w:pgMar w:left="293"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September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30, 2009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57,772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57,396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Computers and other equipment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424,704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394,800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633,324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603,044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(386,265)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(283,090)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247,059</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319,954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207,860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Depreciation expense totaled $103,175 and $48,400 for the years ended March 31, 2009 and 2008, respectively. Depreciation expense totaled $43,019 and $51,588 for the six-months ended September 30, 2009 and 2008, respectively (unaudited).</w:t>
      </w:r>
    </w:p>
    <w:p>
      <w:pPr>
        <w:spacing w:after="0" w:line="220"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As of March 31, 2009, the Company has authorized 24,500,000 shares of common stock for issuance. Shares of common stock have been reserved for the following:</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Series A preferred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Series A-1 preferred stock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A-2 preferred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Series A preferred stock available for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A-2 preferred stock available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Series A preferred stock warrants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A-1 preferred stock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Series A-2 preferred stock warrants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B preferred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Series B preferred stock available for issuance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options available for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Shares</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20320</wp:posOffset>
            </wp:positionV>
            <wp:extent cx="7200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4,550,000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1,866,666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1,091,203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154,583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25,355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1,595,417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13,333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67,978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7,583,333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1,125,001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3,625,944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579,958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1,965,101</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u w:val="single" w:color="auto"/>
          <w:color w:val="auto"/>
        </w:rPr>
        <w:t>24,243,872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40640</wp:posOffset>
            </wp:positionV>
            <wp:extent cx="720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80" w:space="720"/>
            <w:col w:w="1120"/>
          </w:cols>
          <w:pgMar w:left="240" w:top="274" w:right="239" w:bottom="1440" w:gutter="0" w:footer="0" w:header="0"/>
          <w:type w:val="continuous"/>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jc w:val="right"/>
              <w:ind w:right="5750"/>
              <w:spacing w:after="0"/>
              <w:rPr>
                <w:sz w:val="20"/>
                <w:szCs w:val="20"/>
                <w:color w:val="auto"/>
              </w:rPr>
            </w:pPr>
            <w:r>
              <w:rPr>
                <w:rFonts w:ascii="Arial" w:cs="Arial" w:eastAsia="Arial" w:hAnsi="Arial"/>
                <w:sz w:val="18"/>
                <w:szCs w:val="18"/>
                <w:b w:val="1"/>
                <w:bCs w:val="1"/>
                <w:color w:val="auto"/>
                <w:w w:val="94"/>
              </w:rPr>
              <w:t>(6) Long Term Debt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jc w:val="right"/>
              <w:ind w:right="3870"/>
              <w:spacing w:after="0"/>
              <w:rPr>
                <w:sz w:val="20"/>
                <w:szCs w:val="20"/>
                <w:color w:val="auto"/>
              </w:rPr>
            </w:pPr>
            <w:r>
              <w:rPr>
                <w:rFonts w:ascii="Arial" w:cs="Arial" w:eastAsia="Arial" w:hAnsi="Arial"/>
                <w:sz w:val="18"/>
                <w:szCs w:val="18"/>
                <w:color w:val="auto"/>
              </w:rPr>
              <w:t>Long term debt consists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September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Note payable due to lender, interest at 1.75% above the prime rate (7.0% at March 31, 2008), due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February 14, 2010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2,222,918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5"/>
              </w:rPr>
              <w:t>Note payable due to lender, interest at 7% above the prime rate (10.25% at March 31, 2009), due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w w:val="97"/>
              </w:rPr>
              <w:t>November 12, 2015, net of discount of $59,176 and $43,739 (unaudited) at March 31, 2009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September 30, 2009, respectively</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1,940,824</w:t>
            </w: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1,956,261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Notes payable to stockholders, interest at 8%, due on September 5, 2009. Note payable is in default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5, 2009. Note was settled as a result of the acquisition (Note 12)</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2"/>
              </w:rPr>
              <w:t>Notes payable to stockholders, interest at 8%, due on October 3, 2009. Note payable is in default as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of October 3, 2009. Note was settled as a result of the acquisition (Note 12)</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stockholders, interest at 8%, due on January 15, 2010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Notes payable to stockholders, interest at 8%, due on January 21, 2010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750,000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stockholders, interest at 8%, due on March 25, 2010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Notes payable to stockholders, interest at 8%, due on May 6, 2010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stockholders, interest at 8%, due on July 1, 2010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Notes payable to stockholders, interest at 8%, due on August 12, 2010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stockholders, interest at 8%, due on September 23, 2010</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unamortized discounts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4,440,824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2,222,918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debt discount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(59,176)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 term debt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2,222,918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
        </w:trPr>
        <w:tc>
          <w:tcPr>
            <w:tcW w:w="7440" w:type="dxa"/>
            <w:vAlign w:val="bottom"/>
            <w:gridSpan w:val="2"/>
            <w:vMerge w:val="restart"/>
          </w:tcPr>
          <w:p>
            <w:pPr>
              <w:jc w:val="right"/>
              <w:ind w:right="155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7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5"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(continued)</w:t>
      </w:r>
    </w:p>
    <w:p>
      <w:pPr>
        <w:spacing w:after="0" w:line="256"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In May 2004, the Company entered into a loan and security agreement (the “Facility”) with a lender to assist in financing the Company’s operating activities. The Facility was amended on February 14, 2008. Under the Facility, the Company can borrow a maximum of $4.0 million. The Company pledged a continuing security interest to the lender on the Facility in the form of collateral, which includes eligible accounts receivable, inventory, copyrights, trademarks, goodwill, patents, and proceeds of such collateral. The Facility accrues interest at a rate of 1.75% above the prime rate, or 7.0% at March 31, 2008, and interest is payable monthly. The Facility expires on February 14, 2010. As of March 31, 2008, the Company had an outstanding Facility balance of $2,222,918. The Facility matured and was paid off in October 2008.</w:t>
      </w:r>
    </w:p>
    <w:p>
      <w:pPr>
        <w:spacing w:after="0" w:line="20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conjunction with the Facility amendment, the Company issued warrants to purchase 18,750 shares of Series A preferred stock with an exercise price of $1.00 per share. The warrants have a fair value of $11,625 using the Black-Scholes option pricing model. The warrants expire on February 14, 2015. The warrants are recorded as a discount to the Facility and are being amortized as interest expense. The warrants were fully amortized upon repayment.</w:t>
      </w:r>
    </w:p>
    <w:p>
      <w:pPr>
        <w:spacing w:after="0" w:line="214"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On November 12, 2008, the Company entered into a loan and security agreement (the “New Facility”) with a lender to assist in financing the Company’s operating activities. Under the New Facility, the Company can borrow a maximum of $2.0 million. The Company pledged a continuing security interest to the lender on the New Facility in the form of collateral, which includes eligible accounts receivable, inventory, copyrights, trademarks, goodwill, patents, and proceeds of such collateral. The New Facility was amended on March 31, 2009 in which the debt shall bear interest on the outstanding balance at a rate equal to a variable rate of 7% above the Prime Rate (10.25% at March 31, 2009) then in effect and the interest is payable monthly. The New Facility expires on November 12, 2015. As of March 31, 2009 and September 30, 2009 (unaudited), the Company had an outstanding New Facility balance of $2,000,000.</w:t>
      </w:r>
    </w:p>
    <w:p>
      <w:pPr>
        <w:spacing w:after="0" w:line="216" w:lineRule="exact"/>
        <w:rPr>
          <w:sz w:val="20"/>
          <w:szCs w:val="20"/>
          <w:color w:val="auto"/>
        </w:rPr>
      </w:pPr>
    </w:p>
    <w:p>
      <w:pPr>
        <w:jc w:val="both"/>
        <w:ind w:left="500" w:right="20"/>
        <w:spacing w:after="0" w:line="286" w:lineRule="auto"/>
        <w:rPr>
          <w:sz w:val="20"/>
          <w:szCs w:val="20"/>
          <w:color w:val="auto"/>
        </w:rPr>
      </w:pPr>
      <w:r>
        <w:rPr>
          <w:rFonts w:ascii="Arial" w:cs="Arial" w:eastAsia="Arial" w:hAnsi="Arial"/>
          <w:sz w:val="17"/>
          <w:szCs w:val="17"/>
          <w:color w:val="auto"/>
        </w:rPr>
        <w:t>In conjunction with the New Facility, the Company issued warrants to purchase 54,645 shares of Series A-2 preferred stock with an exercise price of $1.83 per share. The warrants have a fair value of $61,749 using the Black-Scholes option pricing model. The warrants expire on November 12, 2015. The warrants are recorded as a discount to the debt and are being amortized as interest expense over the term of the debt.</w:t>
      </w:r>
    </w:p>
    <w:p>
      <w:pPr>
        <w:spacing w:after="0" w:line="193"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color w:val="auto"/>
        </w:rPr>
        <w:t xml:space="preserve">During the period November 2008 to September 2009, the Company issued short term convertible notes payable totaling $3,750,000 to certain stockholders with an annual interest rate of 8%. The notes are payable one year from the date of issuance and are collateralized by substantially all assets of the Company and are subordinate to any lien established under the New Facility. These notes contain a conversion feature which allow for conversion into Series B preferred stock at the discretion of the holder at the market value of the Series B preferred stock at the date of issuance. The notes are mandatorily convertible into Series B preferred stock upon completion of a $5 million qualified financing at an 80% price discount to the price established in the qualified financing.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the beneficial conversion feature will only be recorded upon the completion of a qualified financing.</w:t>
      </w:r>
    </w:p>
    <w:p>
      <w:pPr>
        <w:spacing w:after="0" w:line="20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Total accrued interest for the notes above was $56,667 and $12,952 at March 31, 2009 and 2008, respectively. Total accrued interest for the notes above was $126,667 at September 30, 2009 (unaudited).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88"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(continued)</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2009, future scheduled principal payments of long-term debt for the years ending March 31 are as follows:</w:t>
      </w:r>
    </w:p>
    <w:p>
      <w:pPr>
        <w:spacing w:after="0" w:line="267" w:lineRule="exact"/>
        <w:rPr>
          <w:sz w:val="20"/>
          <w:szCs w:val="20"/>
          <w:color w:val="auto"/>
        </w:rPr>
      </w:pPr>
    </w:p>
    <w:tbl>
      <w:tblPr>
        <w:tblLayout w:type="fixed"/>
        <w:tblInd w:w="2140" w:type="dxa"/>
        <w:tblCellMar>
          <w:top w:w="0" w:type="dxa"/>
          <w:left w:w="0" w:type="dxa"/>
          <w:bottom w:w="0" w:type="dxa"/>
          <w:right w:w="0" w:type="dxa"/>
        </w:tblCellMar>
      </w:tblPr>
      <w:tr>
        <w:trPr>
          <w:trHeight w:val="216"/>
        </w:trPr>
        <w:tc>
          <w:tcPr>
            <w:tcW w:w="4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2010*</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20" w:type="dxa"/>
            <w:vAlign w:val="bottom"/>
            <w:shd w:val="clear" w:color="auto" w:fill="CCEEFF"/>
          </w:tcPr>
          <w:p>
            <w:pPr>
              <w:spacing w:after="0"/>
              <w:rPr>
                <w:sz w:val="18"/>
                <w:szCs w:val="18"/>
                <w:color w:val="auto"/>
              </w:rPr>
            </w:pPr>
          </w:p>
        </w:tc>
      </w:tr>
      <w:tr>
        <w:trPr>
          <w:trHeight w:val="216"/>
        </w:trPr>
        <w:tc>
          <w:tcPr>
            <w:tcW w:w="4780" w:type="dxa"/>
            <w:vAlign w:val="bottom"/>
          </w:tcPr>
          <w:p>
            <w:pPr>
              <w:ind w:left="620"/>
              <w:spacing w:after="0"/>
              <w:rPr>
                <w:sz w:val="20"/>
                <w:szCs w:val="20"/>
                <w:color w:val="auto"/>
              </w:rPr>
            </w:pPr>
            <w:r>
              <w:rPr>
                <w:rFonts w:ascii="Arial" w:cs="Arial" w:eastAsia="Arial" w:hAnsi="Arial"/>
                <w:sz w:val="18"/>
                <w:szCs w:val="18"/>
                <w:color w:val="auto"/>
              </w:rPr>
              <w:t>2011</w:t>
            </w:r>
          </w:p>
        </w:tc>
        <w:tc>
          <w:tcPr>
            <w:tcW w:w="9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1,516,667</w:t>
            </w:r>
          </w:p>
        </w:tc>
        <w:tc>
          <w:tcPr>
            <w:tcW w:w="320" w:type="dxa"/>
            <w:vAlign w:val="bottom"/>
          </w:tcPr>
          <w:p>
            <w:pPr>
              <w:spacing w:after="0"/>
              <w:rPr>
                <w:sz w:val="18"/>
                <w:szCs w:val="18"/>
                <w:color w:val="auto"/>
              </w:rPr>
            </w:pPr>
          </w:p>
        </w:tc>
      </w:tr>
      <w:tr>
        <w:trPr>
          <w:trHeight w:val="216"/>
        </w:trPr>
        <w:tc>
          <w:tcPr>
            <w:tcW w:w="4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2012</w:t>
            </w:r>
          </w:p>
        </w:tc>
        <w:tc>
          <w:tcPr>
            <w:tcW w:w="9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320" w:type="dxa"/>
            <w:vAlign w:val="bottom"/>
            <w:shd w:val="clear" w:color="auto" w:fill="CCEEFF"/>
          </w:tcPr>
          <w:p>
            <w:pPr>
              <w:spacing w:after="0"/>
              <w:rPr>
                <w:sz w:val="18"/>
                <w:szCs w:val="18"/>
                <w:color w:val="auto"/>
              </w:rPr>
            </w:pPr>
          </w:p>
        </w:tc>
      </w:tr>
      <w:tr>
        <w:trPr>
          <w:trHeight w:val="216"/>
        </w:trPr>
        <w:tc>
          <w:tcPr>
            <w:tcW w:w="4780" w:type="dxa"/>
            <w:vAlign w:val="bottom"/>
          </w:tcPr>
          <w:p>
            <w:pPr>
              <w:ind w:left="620"/>
              <w:spacing w:after="0"/>
              <w:rPr>
                <w:sz w:val="20"/>
                <w:szCs w:val="20"/>
                <w:color w:val="auto"/>
              </w:rPr>
            </w:pPr>
            <w:r>
              <w:rPr>
                <w:rFonts w:ascii="Arial" w:cs="Arial" w:eastAsia="Arial" w:hAnsi="Arial"/>
                <w:sz w:val="18"/>
                <w:szCs w:val="18"/>
                <w:color w:val="auto"/>
              </w:rPr>
              <w:t>2013</w:t>
            </w:r>
          </w:p>
        </w:tc>
        <w:tc>
          <w:tcPr>
            <w:tcW w:w="9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800,000</w:t>
            </w:r>
          </w:p>
        </w:tc>
        <w:tc>
          <w:tcPr>
            <w:tcW w:w="320" w:type="dxa"/>
            <w:vAlign w:val="bottom"/>
          </w:tcPr>
          <w:p>
            <w:pPr>
              <w:spacing w:after="0"/>
              <w:rPr>
                <w:sz w:val="18"/>
                <w:szCs w:val="18"/>
                <w:color w:val="auto"/>
              </w:rPr>
            </w:pPr>
          </w:p>
        </w:tc>
      </w:tr>
      <w:tr>
        <w:trPr>
          <w:trHeight w:val="223"/>
        </w:trPr>
        <w:tc>
          <w:tcPr>
            <w:tcW w:w="47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2014</w:t>
            </w:r>
          </w:p>
        </w:tc>
        <w:tc>
          <w:tcPr>
            <w:tcW w:w="9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320" w:type="dxa"/>
            <w:vAlign w:val="bottom"/>
            <w:tcBorders>
              <w:bottom w:val="single" w:sz="8" w:color="CCEEFF"/>
            </w:tcBorders>
            <w:shd w:val="clear" w:color="auto" w:fill="CCEEFF"/>
          </w:tcPr>
          <w:p>
            <w:pPr>
              <w:spacing w:after="0"/>
              <w:rPr>
                <w:sz w:val="19"/>
                <w:szCs w:val="19"/>
                <w:color w:val="auto"/>
              </w:rPr>
            </w:pPr>
          </w:p>
        </w:tc>
      </w:tr>
      <w:tr>
        <w:trPr>
          <w:trHeight w:val="216"/>
        </w:trPr>
        <w:tc>
          <w:tcPr>
            <w:tcW w:w="4780" w:type="dxa"/>
            <w:vAlign w:val="bottom"/>
          </w:tcPr>
          <w:p>
            <w:pPr>
              <w:spacing w:after="0"/>
              <w:rPr>
                <w:sz w:val="18"/>
                <w:szCs w:val="18"/>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5,750,000</w:t>
            </w:r>
          </w:p>
        </w:tc>
        <w:tc>
          <w:tcPr>
            <w:tcW w:w="320" w:type="dxa"/>
            <w:vAlign w:val="bottom"/>
          </w:tcPr>
          <w:p>
            <w:pPr>
              <w:spacing w:after="0"/>
              <w:rPr>
                <w:sz w:val="18"/>
                <w:szCs w:val="18"/>
                <w:color w:val="auto"/>
              </w:rPr>
            </w:pPr>
          </w:p>
        </w:tc>
      </w:tr>
      <w:tr>
        <w:trPr>
          <w:trHeight w:val="21"/>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20" w:hanging="126"/>
        <w:spacing w:after="0"/>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Future scheduled principal payments for the six-months ended March 31, 2010.</w:t>
      </w:r>
    </w:p>
    <w:p>
      <w:pPr>
        <w:spacing w:after="0" w:line="275" w:lineRule="exact"/>
        <w:rPr>
          <w:rFonts w:ascii="Arial" w:cs="Arial" w:eastAsia="Arial" w:hAnsi="Arial"/>
          <w:sz w:val="18"/>
          <w:szCs w:val="18"/>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As of March 31, 2009 and September 30, 2009 (unaudited), the Company has authorized 18,072,869 shares of preferred stock with a par value of $0.001 consisting of 6,300,000 shares designated as Series A convertible preferred stock, 1,879,999 shares designated as Series A-1 convertible preferred stock, 1,184,536 shares designated as Series A-2 convertible preferred stock, and 8,708,334 are shares designated as Series B redeemable preferred stock.</w:t>
      </w:r>
    </w:p>
    <w:p>
      <w:pPr>
        <w:spacing w:after="0" w:line="214"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In fiscal year 2008, the Company issued 2,083,333 shares of redeemable Series B preferred stock (“Series B preferred stock”) and warrants to purchase 416,667 shares of Series A preferred stock with an exercise price of $1.00 per share and received $5,000,416 of proceeds, net of financing costs. The warrants have a fair value of $225,000 using the Black-Scholes option pricing model. The warrants expire on December 21, 2012.</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Conversion</w:t>
      </w:r>
    </w:p>
    <w:p>
      <w:pPr>
        <w:spacing w:after="0" w:line="252"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Each share of the various Series A preferred stock issuances is convertible, at the option of the holder, into one share of common stock, subject to certain anti-dilution adjustments. All outstanding shares of Series A preferred stock shall automatically convert on the earlier of (a) the closing of and funding of a qualified public offering or (b) the date specified by written consent or agreement of the holders of a majority of the then outstanding preferred stock (voting together as a single class and not as separate series, and on an as-converted basis).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Series B preferred stock is not convertible into common stock.</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Voting</w:t>
      </w:r>
    </w:p>
    <w:p>
      <w:pPr>
        <w:spacing w:after="0" w:line="252"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preferred stockholders have the right to one vote for each share of common stock into which such holders’ share of preferred stock could then be converted. The Series A Preferred stockholders, voting together as a single class, are entitled to elect one (1) Company Director. The holders of the outstanding common stock, voting together as a single class, are entitled to elect one (1) director. The remainders of the Company directors are elected based on a majority in voting power of each of the outstanding (a) common stock, voting together as a single class, and (b) Series A, A-1, A-2 and B preferred stockholders, voting together as a single class. As long as 750,000 shares of preferred stock remain outstanding, a majority of the holders of the preferred stock must approve any changes to the Articles of Incorporation, Bylaws, changes in authorized shares, sale of assets or change of control and certain other matters.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88" w:lineRule="exact"/>
        <w:rPr>
          <w:sz w:val="20"/>
          <w:szCs w:val="20"/>
          <w:color w:val="auto"/>
        </w:rPr>
      </w:pPr>
    </w:p>
    <w:p>
      <w:pPr>
        <w:ind w:left="500" w:right="8840" w:hanging="492"/>
        <w:spacing w:after="0" w:line="534" w:lineRule="auto"/>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Preferred Stock (continued) </w:t>
      </w:r>
      <w:r>
        <w:rPr>
          <w:rFonts w:ascii="Arial" w:cs="Arial" w:eastAsia="Arial" w:hAnsi="Arial"/>
          <w:sz w:val="18"/>
          <w:szCs w:val="18"/>
          <w:i w:val="1"/>
          <w:iCs w:val="1"/>
          <w:color w:val="auto"/>
        </w:rPr>
        <w:t>Dividends</w:t>
      </w:r>
    </w:p>
    <w:p>
      <w:pPr>
        <w:spacing w:after="0" w:line="1"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color w:val="auto"/>
        </w:rPr>
        <w:t>The holders of shares of the various Series A preferred stock issuances are entitled to receive in equal priority, when and as declared by the Board of Directors and out of funds legally available, cash dividends at the rate of $0.10 for Series A, $0.15 for Series A-1 and $0.1833 for Series A-2 per share per annum in preference to all other classes of stock. Dividends on each share of A, A-1 and A-2 preferred stock shall be cumulative beginning June 30, 2008 and shall accrue after such date on each share until paid, whether or not earned or declared. Dividends may be paid in cash, or at the option of the Board of Directors, they may be paid in capital stock. If dividends are paid in common stock, the Board of Directors shall determine the fair market value of the common stock on the date of grant. Cumulative unpaid and undeclared dividends at March 31, 2009 and September 30, 2009, totaled $699,342 and $1,168,131 (unaudited), respectively.</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holders of Series B stock do not have any dividend preferences.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Liquidation Preference</w:t>
      </w:r>
    </w:p>
    <w:p>
      <w:pPr>
        <w:spacing w:after="0" w:line="252" w:lineRule="exact"/>
        <w:rPr>
          <w:sz w:val="20"/>
          <w:szCs w:val="20"/>
          <w:color w:val="auto"/>
        </w:rPr>
      </w:pPr>
    </w:p>
    <w:p>
      <w:pPr>
        <w:jc w:val="both"/>
        <w:ind w:left="500"/>
        <w:spacing w:after="0" w:line="289" w:lineRule="auto"/>
        <w:rPr>
          <w:sz w:val="20"/>
          <w:szCs w:val="20"/>
          <w:color w:val="auto"/>
        </w:rPr>
      </w:pPr>
      <w:r>
        <w:rPr>
          <w:rFonts w:ascii="Arial" w:cs="Arial" w:eastAsia="Arial" w:hAnsi="Arial"/>
          <w:sz w:val="16"/>
          <w:szCs w:val="16"/>
          <w:color w:val="auto"/>
        </w:rPr>
        <w:t>All preferred shares have liquidation preference over common shares. The Series B preferred stock ranks senior to all classes of preferred and common stock with respect to liquidation and redemption. The liquidation prices for Series B preferred stock is $2.40 per share. If there are any available funds and assets remaining after the payment or distribution to the holders of the Series B preferred stock of their preferential amounts, the holders of Series A, A-1 and A-2 preferred stock will receive $1.00, $1.50, and $1.83 per share, respectively. If there are any available funds and assets remaining after the payment or distribution to the holders of the Series A Preferred stock of their preferential amounts, the holders of Series A Preferred and common stock will receive the remaining funds and assets of the Company. The Series A Preferred shares are treated for this purpose as having been converted into the number of shares of common stock into which the holders receive an aggregate amount (including amounts payable pursuant to their liquidation preference) equal to five times the original issuance price. Thereafter, any remaining assets and funds of the Corporation will be distributed to the holders of common stock pro rata according to the number of shares of common stock held.</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Redemption</w:t>
      </w:r>
    </w:p>
    <w:p>
      <w:pPr>
        <w:spacing w:after="0" w:line="252"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The Company’s Series B preferred stock contains a provision allowing the holders to require redemption for $2.40 per share (i) at any time on or after August 23, 2010, if the holders of a majority of the then outstanding Series B preferred stock notify the Company in writing; (ii) the closing of and funding of a qualified public offering with gross proceeds of at least $25 million; (iii) the closing of a change of control of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2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At any time on or after June 30, 2011 (the “Series A Notice Date), the holders of at least two-thirds of the then outstanding Series A, A-1 and A-2 preferred stock (voting together as a single class, not as a separate series) may request that all of the then outstanding shares of preferred stock be redeemed. The redemption shall occur in three annual installments of 50%, 25% and 25%, respectively of such shares, with the first such payment occurring no more than 30 days after the Series A Notice Date. The redemption price to be paid by the Company for the preferred stock is equal to the per share liquidation preference.</w:t>
      </w:r>
    </w:p>
    <w:p>
      <w:pPr>
        <w:spacing w:after="0" w:line="238"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In 2004, the Company adopted a stock option plan (“the 2004 Plan”) under which any eligible person employed by or serving the Company has the opportunity to acquire a proprietary interest, or otherwise increase their proprietary interest, in the Company as an incentive to continue employment or service to the Company. Options under the 2004 Plan are generally granted to employees and service providers at fair market value at the date of the grant. The fair market value, rate of exercisability, and expiration dates of the options granted are determined by the Board of Directors at the time of grant. The 2004 Plan authorized a maximum of 4,285,379 shares for grant. At March 31, 2009 there were 579,958 shares available for grant under the 2004 Plan. At September 30, 2009 there were 1,040,458 (unaudited) shares available for grant under the 2004 Plan.</w:t>
      </w:r>
    </w:p>
    <w:p>
      <w:pPr>
        <w:spacing w:after="0" w:line="192"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fair value for options was estimated at the date of grant using the Black-Scholes option pricing model. There were no options granted during the six-months ended September 30, 2009 (unaudited). The Company used the following weighted average assumptions for the years ended March 31,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9"/>
                <w:szCs w:val="19"/>
                <w:color w:val="auto"/>
              </w:rPr>
            </w:pPr>
          </w:p>
        </w:tc>
      </w:tr>
      <w:tr>
        <w:trPr>
          <w:trHeight w:val="216"/>
        </w:trPr>
        <w:tc>
          <w:tcPr>
            <w:tcW w:w="46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3.75 to</w:t>
            </w: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2.20 to 5.00%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Estimated volatility</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life</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 years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 years</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 share weighted average fair value of the options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851"/>
        </w:trPr>
        <w:tc>
          <w:tcPr>
            <w:tcW w:w="4680" w:type="dxa"/>
            <w:vAlign w:val="bottom"/>
          </w:tcPr>
          <w:p>
            <w:pPr>
              <w:spacing w:after="0"/>
              <w:rPr>
                <w:sz w:val="24"/>
                <w:szCs w:val="24"/>
                <w:color w:val="auto"/>
              </w:rPr>
            </w:pPr>
          </w:p>
        </w:tc>
        <w:tc>
          <w:tcPr>
            <w:tcW w:w="4140" w:type="dxa"/>
            <w:vAlign w:val="bottom"/>
          </w:tcPr>
          <w:p>
            <w:pPr>
              <w:jc w:val="right"/>
              <w:ind w:right="293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68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5"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(continued)</w:t>
      </w:r>
    </w:p>
    <w:p>
      <w:pPr>
        <w:spacing w:after="0" w:line="256"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estimated fair value of options is amortized to expense over the vesting period. All of the options granted during fiscal year 2009 and 2008 were granted with exercise prices equal to the amount determined to be the fair value of the common stock at the date of grant (as determined by the Company’s board of directors).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activity under the Plan for the year ended March 31, 2009 and 2008 and the six-months ended September 30, 2009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r>
      <w:tr>
        <w:trPr>
          <w:trHeight w:val="241"/>
        </w:trPr>
        <w:tc>
          <w:tcPr>
            <w:tcW w:w="870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20"/>
                <w:szCs w:val="20"/>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March 31, 2007</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3,209,672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(261,667)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March 31, 2008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3,342,028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648,250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(364,334)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March 31, 2009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3,625,944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(420,500)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September 30, 2009 (unaudited)</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3,205,444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00" w:type="dxa"/>
            <w:vAlign w:val="bottom"/>
            <w:gridSpan w:val="5"/>
          </w:tcPr>
          <w:p>
            <w:pPr>
              <w:jc w:val="right"/>
              <w:ind w:right="990"/>
              <w:spacing w:after="0"/>
              <w:rPr>
                <w:sz w:val="20"/>
                <w:szCs w:val="20"/>
                <w:color w:val="auto"/>
              </w:rPr>
            </w:pPr>
            <w:r>
              <w:rPr>
                <w:rFonts w:ascii="Arial" w:cs="Arial" w:eastAsia="Arial" w:hAnsi="Arial"/>
                <w:sz w:val="18"/>
                <w:szCs w:val="18"/>
                <w:color w:val="auto"/>
                <w:w w:val="95"/>
              </w:rPr>
              <w:t>The following table summarizes information about options outstanding at March 31, 2009:</w:t>
            </w: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6"/>
              </w:rPr>
              <w:t>Exercise</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contractual</w:t>
            </w:r>
          </w:p>
        </w:tc>
        <w:tc>
          <w:tcPr>
            <w:tcW w:w="260" w:type="dxa"/>
            <w:vAlign w:val="bottom"/>
          </w:tcPr>
          <w:p>
            <w:pPr>
              <w:spacing w:after="0"/>
              <w:rPr>
                <w:sz w:val="18"/>
                <w:szCs w:val="18"/>
                <w:color w:val="auto"/>
              </w:rPr>
            </w:pPr>
          </w:p>
        </w:tc>
        <w:tc>
          <w:tcPr>
            <w:tcW w:w="2880" w:type="dxa"/>
            <w:vAlign w:val="bottom"/>
            <w:gridSpan w:val="2"/>
          </w:tcPr>
          <w:p>
            <w:pPr>
              <w:jc w:val="right"/>
              <w:ind w:right="1320"/>
              <w:spacing w:after="0"/>
              <w:rPr>
                <w:sz w:val="20"/>
                <w:szCs w:val="20"/>
                <w:color w:val="auto"/>
              </w:rPr>
            </w:pPr>
            <w:r>
              <w:rPr>
                <w:rFonts w:ascii="Arial" w:cs="Arial" w:eastAsia="Arial" w:hAnsi="Arial"/>
                <w:sz w:val="18"/>
                <w:szCs w:val="18"/>
                <w:b w:val="1"/>
                <w:bCs w:val="1"/>
                <w:color w:val="auto"/>
              </w:rPr>
              <w:t>Vested</w:t>
            </w:r>
          </w:p>
        </w:tc>
      </w:tr>
      <w:tr>
        <w:trPr>
          <w:trHeight w:val="241"/>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8"/>
              </w:rPr>
              <w:t>Prices</w:t>
            </w:r>
          </w:p>
        </w:tc>
        <w:tc>
          <w:tcPr>
            <w:tcW w:w="260" w:type="dxa"/>
            <w:vAlign w:val="bottom"/>
          </w:tcPr>
          <w:p>
            <w:pPr>
              <w:spacing w:after="0"/>
              <w:rPr>
                <w:sz w:val="20"/>
                <w:szCs w:val="20"/>
                <w:color w:val="auto"/>
              </w:rPr>
            </w:pPr>
          </w:p>
        </w:tc>
        <w:tc>
          <w:tcPr>
            <w:tcW w:w="25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60" w:type="dxa"/>
            <w:vAlign w:val="bottom"/>
          </w:tcPr>
          <w:p>
            <w:pPr>
              <w:spacing w:after="0"/>
              <w:rPr>
                <w:sz w:val="20"/>
                <w:szCs w:val="20"/>
                <w:color w:val="auto"/>
              </w:rPr>
            </w:pPr>
          </w:p>
        </w:tc>
        <w:tc>
          <w:tcPr>
            <w:tcW w:w="26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2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1,307,750</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5.76</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1,303,178</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2460" w:type="dxa"/>
            <w:vAlign w:val="bottom"/>
            <w:gridSpan w:val="2"/>
          </w:tcPr>
          <w:p>
            <w:pPr>
              <w:jc w:val="right"/>
              <w:ind w:right="260"/>
              <w:spacing w:after="0"/>
              <w:rPr>
                <w:sz w:val="20"/>
                <w:szCs w:val="20"/>
                <w:color w:val="auto"/>
              </w:rPr>
            </w:pPr>
            <w:r>
              <w:rPr>
                <w:rFonts w:ascii="Arial" w:cs="Arial" w:eastAsia="Arial" w:hAnsi="Arial"/>
                <w:sz w:val="18"/>
                <w:szCs w:val="18"/>
                <w:color w:val="auto"/>
              </w:rPr>
              <w:t>0.20</w:t>
            </w:r>
          </w:p>
        </w:tc>
        <w:tc>
          <w:tcPr>
            <w:tcW w:w="2580" w:type="dxa"/>
            <w:vAlign w:val="bottom"/>
          </w:tcPr>
          <w:p>
            <w:pPr>
              <w:jc w:val="right"/>
              <w:spacing w:after="0"/>
              <w:rPr>
                <w:sz w:val="20"/>
                <w:szCs w:val="20"/>
                <w:color w:val="auto"/>
              </w:rPr>
            </w:pPr>
            <w:r>
              <w:rPr>
                <w:rFonts w:ascii="Arial" w:cs="Arial" w:eastAsia="Arial" w:hAnsi="Arial"/>
                <w:sz w:val="18"/>
                <w:szCs w:val="18"/>
                <w:color w:val="auto"/>
              </w:rPr>
              <w:t>1,606,944</w:t>
            </w:r>
          </w:p>
        </w:tc>
        <w:tc>
          <w:tcPr>
            <w:tcW w:w="240" w:type="dxa"/>
            <w:vAlign w:val="bottom"/>
          </w:tcPr>
          <w:p>
            <w:pPr>
              <w:spacing w:after="0"/>
              <w:rPr>
                <w:sz w:val="18"/>
                <w:szCs w:val="18"/>
                <w:color w:val="auto"/>
              </w:rPr>
            </w:pPr>
          </w:p>
        </w:tc>
        <w:tc>
          <w:tcPr>
            <w:tcW w:w="2620" w:type="dxa"/>
            <w:vAlign w:val="bottom"/>
          </w:tcPr>
          <w:p>
            <w:pPr>
              <w:jc w:val="right"/>
              <w:ind w:right="1130"/>
              <w:spacing w:after="0"/>
              <w:rPr>
                <w:sz w:val="20"/>
                <w:szCs w:val="20"/>
                <w:color w:val="auto"/>
              </w:rPr>
            </w:pPr>
            <w:r>
              <w:rPr>
                <w:rFonts w:ascii="Arial" w:cs="Arial" w:eastAsia="Arial" w:hAnsi="Arial"/>
                <w:sz w:val="18"/>
                <w:szCs w:val="18"/>
                <w:color w:val="auto"/>
              </w:rPr>
              <w:t>7.63</w:t>
            </w:r>
          </w:p>
        </w:tc>
        <w:tc>
          <w:tcPr>
            <w:tcW w:w="3140" w:type="dxa"/>
            <w:vAlign w:val="bottom"/>
            <w:gridSpan w:val="3"/>
          </w:tcPr>
          <w:p>
            <w:pPr>
              <w:jc w:val="right"/>
              <w:ind w:right="260"/>
              <w:spacing w:after="0"/>
              <w:rPr>
                <w:sz w:val="20"/>
                <w:szCs w:val="20"/>
                <w:color w:val="auto"/>
              </w:rPr>
            </w:pPr>
            <w:r>
              <w:rPr>
                <w:rFonts w:ascii="Arial" w:cs="Arial" w:eastAsia="Arial" w:hAnsi="Arial"/>
                <w:sz w:val="18"/>
                <w:szCs w:val="18"/>
                <w:color w:val="auto"/>
              </w:rPr>
              <w:t>1,008,168</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2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2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711,250</w:t>
            </w:r>
          </w:p>
        </w:tc>
        <w:tc>
          <w:tcPr>
            <w:tcW w:w="26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9.13</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182,396</w:t>
            </w: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3,625,944</w:t>
            </w:r>
          </w:p>
        </w:tc>
        <w:tc>
          <w:tcPr>
            <w:tcW w:w="240" w:type="dxa"/>
            <w:vAlign w:val="bottom"/>
          </w:tcPr>
          <w:p>
            <w:pPr>
              <w:spacing w:after="0"/>
              <w:rPr>
                <w:sz w:val="18"/>
                <w:szCs w:val="18"/>
                <w:color w:val="auto"/>
              </w:rPr>
            </w:pPr>
          </w:p>
        </w:tc>
        <w:tc>
          <w:tcPr>
            <w:tcW w:w="2620" w:type="dxa"/>
            <w:vAlign w:val="bottom"/>
          </w:tcPr>
          <w:p>
            <w:pPr>
              <w:jc w:val="right"/>
              <w:ind w:right="1130"/>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8"/>
                <w:szCs w:val="18"/>
                <w:color w:val="auto"/>
              </w:rPr>
            </w:pPr>
          </w:p>
        </w:tc>
        <w:tc>
          <w:tcPr>
            <w:tcW w:w="2880" w:type="dxa"/>
            <w:vAlign w:val="bottom"/>
            <w:gridSpan w:val="2"/>
          </w:tcPr>
          <w:p>
            <w:pPr>
              <w:jc w:val="right"/>
              <w:ind w:right="260"/>
              <w:spacing w:after="0"/>
              <w:rPr>
                <w:sz w:val="20"/>
                <w:szCs w:val="20"/>
                <w:color w:val="auto"/>
              </w:rPr>
            </w:pPr>
            <w:r>
              <w:rPr>
                <w:rFonts w:ascii="Arial" w:cs="Arial" w:eastAsia="Arial" w:hAnsi="Arial"/>
                <w:sz w:val="18"/>
                <w:szCs w:val="18"/>
                <w:color w:val="auto"/>
              </w:rPr>
              <w:t>2,493,742</w:t>
            </w: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options outstanding at September 30, 2009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6"/>
              </w:rPr>
              <w:t>Exercise</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contractual</w:t>
            </w:r>
          </w:p>
        </w:tc>
        <w:tc>
          <w:tcPr>
            <w:tcW w:w="480" w:type="dxa"/>
            <w:vAlign w:val="bottom"/>
          </w:tcPr>
          <w:p>
            <w:pPr>
              <w:spacing w:after="0"/>
              <w:rPr>
                <w:sz w:val="18"/>
                <w:szCs w:val="18"/>
                <w:color w:val="auto"/>
              </w:rPr>
            </w:pPr>
          </w:p>
        </w:tc>
        <w:tc>
          <w:tcPr>
            <w:tcW w:w="2720" w:type="dxa"/>
            <w:vAlign w:val="bottom"/>
            <w:gridSpan w:val="2"/>
          </w:tcPr>
          <w:p>
            <w:pPr>
              <w:ind w:left="980"/>
              <w:spacing w:after="0"/>
              <w:rPr>
                <w:sz w:val="20"/>
                <w:szCs w:val="20"/>
                <w:color w:val="auto"/>
              </w:rPr>
            </w:pPr>
            <w:r>
              <w:rPr>
                <w:rFonts w:ascii="Arial" w:cs="Arial" w:eastAsia="Arial" w:hAnsi="Arial"/>
                <w:sz w:val="18"/>
                <w:szCs w:val="18"/>
                <w:b w:val="1"/>
                <w:bCs w:val="1"/>
                <w:color w:val="auto"/>
              </w:rPr>
              <w:t>Vested</w:t>
            </w:r>
          </w:p>
        </w:tc>
      </w:tr>
      <w:tr>
        <w:trPr>
          <w:trHeight w:val="241"/>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8"/>
              </w:rPr>
              <w:t>Prices</w:t>
            </w:r>
          </w:p>
        </w:tc>
        <w:tc>
          <w:tcPr>
            <w:tcW w:w="460" w:type="dxa"/>
            <w:vAlign w:val="bottom"/>
          </w:tcPr>
          <w:p>
            <w:pPr>
              <w:spacing w:after="0"/>
              <w:rPr>
                <w:sz w:val="20"/>
                <w:szCs w:val="20"/>
                <w:color w:val="auto"/>
              </w:rPr>
            </w:pPr>
          </w:p>
        </w:tc>
        <w:tc>
          <w:tcPr>
            <w:tcW w:w="24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480" w:type="dxa"/>
            <w:vAlign w:val="bottom"/>
          </w:tcPr>
          <w:p>
            <w:pPr>
              <w:spacing w:after="0"/>
              <w:rPr>
                <w:sz w:val="20"/>
                <w:szCs w:val="20"/>
                <w:color w:val="auto"/>
              </w:rPr>
            </w:pPr>
          </w:p>
        </w:tc>
        <w:tc>
          <w:tcPr>
            <w:tcW w:w="248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2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0.10</w:t>
            </w: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1,142,250</w:t>
            </w:r>
          </w:p>
        </w:tc>
        <w:tc>
          <w:tcPr>
            <w:tcW w:w="276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5.03</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1,141,113</w:t>
            </w:r>
          </w:p>
        </w:tc>
      </w:tr>
      <w:tr>
        <w:trPr>
          <w:trHeight w:val="216"/>
        </w:trPr>
        <w:tc>
          <w:tcPr>
            <w:tcW w:w="2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2380" w:type="dxa"/>
            <w:vAlign w:val="bottom"/>
            <w:gridSpan w:val="2"/>
          </w:tcPr>
          <w:p>
            <w:pPr>
              <w:jc w:val="right"/>
              <w:ind w:right="460"/>
              <w:spacing w:after="0"/>
              <w:rPr>
                <w:sz w:val="20"/>
                <w:szCs w:val="20"/>
                <w:color w:val="auto"/>
              </w:rPr>
            </w:pPr>
            <w:r>
              <w:rPr>
                <w:rFonts w:ascii="Arial" w:cs="Arial" w:eastAsia="Arial" w:hAnsi="Arial"/>
                <w:sz w:val="18"/>
                <w:szCs w:val="18"/>
                <w:color w:val="auto"/>
              </w:rPr>
              <w:t>0.20</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1,599,444</w:t>
            </w:r>
          </w:p>
        </w:tc>
        <w:tc>
          <w:tcPr>
            <w:tcW w:w="2760" w:type="dxa"/>
            <w:vAlign w:val="bottom"/>
            <w:gridSpan w:val="2"/>
          </w:tcPr>
          <w:p>
            <w:pPr>
              <w:jc w:val="right"/>
              <w:ind w:right="1070"/>
              <w:spacing w:after="0"/>
              <w:rPr>
                <w:sz w:val="20"/>
                <w:szCs w:val="20"/>
                <w:color w:val="auto"/>
              </w:rPr>
            </w:pPr>
            <w:r>
              <w:rPr>
                <w:rFonts w:ascii="Arial" w:cs="Arial" w:eastAsia="Arial" w:hAnsi="Arial"/>
                <w:sz w:val="18"/>
                <w:szCs w:val="18"/>
                <w:color w:val="auto"/>
              </w:rPr>
              <w:t>7.24</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1,203,574</w:t>
            </w:r>
          </w:p>
        </w:tc>
        <w:tc>
          <w:tcPr>
            <w:tcW w:w="2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23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0.21</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463,750</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8.55</w:t>
            </w:r>
          </w:p>
        </w:tc>
        <w:tc>
          <w:tcPr>
            <w:tcW w:w="48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1,61,491</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3,205,444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6.56</w:t>
            </w:r>
          </w:p>
        </w:tc>
        <w:tc>
          <w:tcPr>
            <w:tcW w:w="480" w:type="dxa"/>
            <w:vAlign w:val="bottom"/>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2,506,178</w:t>
            </w:r>
          </w:p>
        </w:tc>
        <w:tc>
          <w:tcPr>
            <w:tcW w:w="2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2"/>
          </w:tcPr>
          <w:p>
            <w:pPr>
              <w:jc w:val="right"/>
              <w:ind w:right="233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5"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(continued)</w:t>
      </w:r>
    </w:p>
    <w:p>
      <w:pPr>
        <w:spacing w:after="0" w:line="256"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The weighted average exercise price of the vested options was $0.15 as of March 31, 2009 and September 30, 2009 (unaudited). The weighted average remaining contractual life of options vested as of March 31, 2009 and September 30, 2009 was 6.55 and 6.06 (unaudited) years.</w:t>
      </w:r>
    </w:p>
    <w:p>
      <w:pPr>
        <w:spacing w:after="0" w:line="151"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Unrecognized grant date value of options at March 31, 2009 and September 30, 2009 was $53,055 and $185,502 (unaudited) with a remaining amortization period of less than four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2009 and September 30, 2009 (unaudited), the Company has the following preferred stock warrants outstanding: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14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66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Date</w:t>
            </w:r>
          </w:p>
        </w:tc>
        <w:tc>
          <w:tcPr>
            <w:tcW w:w="590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Warrants to Purchase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Per Share</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June 4, 2004</w:t>
            </w:r>
          </w:p>
        </w:tc>
        <w:tc>
          <w:tcPr>
            <w:tcW w:w="59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60,000 shares of Series A Preferred</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June 3, 2005</w:t>
            </w:r>
          </w:p>
        </w:tc>
        <w:tc>
          <w:tcPr>
            <w:tcW w:w="5900" w:type="dxa"/>
            <w:vAlign w:val="bottom"/>
          </w:tcPr>
          <w:p>
            <w:pPr>
              <w:ind w:left="760"/>
              <w:spacing w:after="0"/>
              <w:rPr>
                <w:sz w:val="20"/>
                <w:szCs w:val="20"/>
                <w:color w:val="auto"/>
              </w:rPr>
            </w:pPr>
            <w:r>
              <w:rPr>
                <w:rFonts w:ascii="Arial" w:cs="Arial" w:eastAsia="Arial" w:hAnsi="Arial"/>
                <w:sz w:val="18"/>
                <w:szCs w:val="18"/>
                <w:color w:val="auto"/>
              </w:rPr>
              <w:t>13,333 shares of Series A-1 Preferred</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April 26, 2006</w:t>
            </w:r>
          </w:p>
        </w:tc>
        <w:tc>
          <w:tcPr>
            <w:tcW w:w="59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13,333 shares of Series A-2 Preferred</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Var. Dates- FY 2007</w:t>
            </w:r>
          </w:p>
        </w:tc>
        <w:tc>
          <w:tcPr>
            <w:tcW w:w="5900" w:type="dxa"/>
            <w:vAlign w:val="bottom"/>
          </w:tcPr>
          <w:p>
            <w:pPr>
              <w:ind w:left="760"/>
              <w:spacing w:after="0"/>
              <w:rPr>
                <w:sz w:val="20"/>
                <w:szCs w:val="20"/>
                <w:color w:val="auto"/>
              </w:rPr>
            </w:pPr>
            <w:r>
              <w:rPr>
                <w:rFonts w:ascii="Arial" w:cs="Arial" w:eastAsia="Arial" w:hAnsi="Arial"/>
                <w:sz w:val="18"/>
                <w:szCs w:val="18"/>
                <w:color w:val="auto"/>
              </w:rPr>
              <w:t>1,100,000 shares of Series A Preferred</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59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416,667 shares of Series A Preferred</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February 14, 2008</w:t>
            </w:r>
          </w:p>
        </w:tc>
        <w:tc>
          <w:tcPr>
            <w:tcW w:w="5900" w:type="dxa"/>
            <w:vAlign w:val="bottom"/>
          </w:tcPr>
          <w:p>
            <w:pPr>
              <w:ind w:left="760"/>
              <w:spacing w:after="0"/>
              <w:rPr>
                <w:sz w:val="20"/>
                <w:szCs w:val="20"/>
                <w:color w:val="auto"/>
              </w:rPr>
            </w:pPr>
            <w:r>
              <w:rPr>
                <w:rFonts w:ascii="Arial" w:cs="Arial" w:eastAsia="Arial" w:hAnsi="Arial"/>
                <w:sz w:val="18"/>
                <w:szCs w:val="18"/>
                <w:color w:val="auto"/>
              </w:rPr>
              <w:t>18,750 shares of Series A Preferred</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November 12, 2008</w:t>
            </w:r>
          </w:p>
        </w:tc>
        <w:tc>
          <w:tcPr>
            <w:tcW w:w="59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54,645 shares of Series A-2 Preferred</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preferred stock warrants are exercisable at any time from the date of the grant through the term of the warrant. As of March 31, 2009 and September 30, 2009 (unaudited), no preferred stock warrants have been exercised.</w:t>
      </w:r>
    </w:p>
    <w:p>
      <w:pPr>
        <w:spacing w:after="0" w:line="22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taxes as of March 31, 2009 and 2008 and September 30, 2009 (unaudited)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September</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30, 2009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9,848,000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8,563,000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10,689,000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9,885,000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8,599,000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10,739,000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(9,885,000)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(8,599,000)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(10,739,000)</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Pr>
          <w:p>
            <w:pPr>
              <w:spacing w:after="0"/>
              <w:rPr>
                <w:sz w:val="18"/>
                <w:szCs w:val="18"/>
                <w:color w:val="auto"/>
              </w:rPr>
            </w:pPr>
          </w:p>
        </w:tc>
        <w:tc>
          <w:tcPr>
            <w:tcW w:w="3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3440" w:type="dxa"/>
            <w:vAlign w:val="bottom"/>
            <w:vMerge w:val="restart"/>
          </w:tcPr>
          <w:p>
            <w:pPr>
              <w:jc w:val="right"/>
              <w:ind w:right="155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0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45"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56"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be realized. The ultimate realization of deferred tax assets is dependent upon the Company attaining future taxable income during periods in which those temporary differences become deductible. Due to the uncertainty surrounding the realization of the benefits of its deferred assets, including net operating loss carryforwards, the Company has provided a 100% valuation allowance on its deferred tax assets at March 31, 2010 and 2009 and September 30, 2009. The net operating loss carryforwards will expire beginning in 2024, if not utilized. The Internal Revenue Code Section 382 limits net operating loss and tax credit carryforwards when an ownership change of more than 50% of the value of the stock in a loss corporation occurs within a three-year period. Accordingly, the ability to utilize remaining net operating loss and tax credit carryforwards may be significantly restricted.</w:t>
      </w:r>
    </w:p>
    <w:p>
      <w:pPr>
        <w:spacing w:after="0" w:line="219" w:lineRule="exact"/>
        <w:rPr>
          <w:sz w:val="20"/>
          <w:szCs w:val="20"/>
          <w:color w:val="auto"/>
        </w:rPr>
      </w:pPr>
    </w:p>
    <w:p>
      <w:pPr>
        <w:jc w:val="both"/>
        <w:ind w:left="500" w:right="20"/>
        <w:spacing w:after="0" w:line="342" w:lineRule="auto"/>
        <w:rPr>
          <w:sz w:val="20"/>
          <w:szCs w:val="20"/>
          <w:color w:val="auto"/>
        </w:rPr>
      </w:pPr>
      <w:r>
        <w:rPr>
          <w:rFonts w:ascii="Arial" w:cs="Arial" w:eastAsia="Arial" w:hAnsi="Arial"/>
          <w:sz w:val="16"/>
          <w:szCs w:val="16"/>
          <w:color w:val="auto"/>
        </w:rPr>
        <w:t>At March 31, 2009 and September 30, 2009, the Company has net operating loss carryforwards for federal income tax purposes of approximately $28 million and $30 million (unaudited), respectively, which are available to offset future federal taxable income, if any, through 2024.</w:t>
      </w:r>
    </w:p>
    <w:p>
      <w:pPr>
        <w:spacing w:after="0" w:line="15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Company’s provision for income taxes differs from the expected tax benefit amount computed by applying the statutory federal income tax rate of 34% to income before taxes primarily as a result of the application of the valuation allowance.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Commitments and Contingencies</w:t>
      </w:r>
    </w:p>
    <w:p>
      <w:pPr>
        <w:spacing w:after="0" w:line="24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b w:val="1"/>
          <w:bCs w:val="1"/>
          <w:i w:val="1"/>
          <w:iCs w:val="1"/>
          <w:color w:val="auto"/>
        </w:rPr>
        <w:t xml:space="preserve">Operating Leases - - </w:t>
      </w:r>
      <w:r>
        <w:rPr>
          <w:rFonts w:ascii="Arial" w:cs="Arial" w:eastAsia="Arial" w:hAnsi="Arial"/>
          <w:sz w:val="18"/>
          <w:szCs w:val="18"/>
          <w:color w:val="auto"/>
        </w:rPr>
        <w:t>The Company leases office space under an operating lease. Rent expense on the Company’s operating leases was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$390,000 and $353,000 for the years ended March 31, 2009 and 2008. Rent expense on the Company’s operating leases was approximately $156,000 and $205,000 for the six-months ended September 30, 2009 and 2008 (unaudited). The total amount of base lease payments is being charged to expense on the straight-line method over the term of the lease.</w:t>
      </w:r>
    </w:p>
    <w:p>
      <w:pPr>
        <w:spacing w:after="0" w:line="214" w:lineRule="exact"/>
        <w:rPr>
          <w:sz w:val="20"/>
          <w:szCs w:val="20"/>
          <w:color w:val="auto"/>
        </w:rPr>
      </w:pPr>
    </w:p>
    <w:p>
      <w:pPr>
        <w:jc w:val="both"/>
        <w:ind w:left="500"/>
        <w:spacing w:after="0" w:line="282" w:lineRule="auto"/>
        <w:rPr>
          <w:sz w:val="20"/>
          <w:szCs w:val="20"/>
          <w:color w:val="auto"/>
        </w:rPr>
      </w:pPr>
      <w:r>
        <w:rPr>
          <w:rFonts w:ascii="Arial" w:cs="Arial" w:eastAsia="Arial" w:hAnsi="Arial"/>
          <w:sz w:val="18"/>
          <w:szCs w:val="18"/>
          <w:color w:val="auto"/>
        </w:rPr>
        <w:t>Future minimum lease payments under noncancelable operating leases (with initial or remaining lease terms in excess of one year) for the remainder of fiscal year 2010 and the years ending as of March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are as follows: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2010*</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100,440</w:t>
            </w:r>
          </w:p>
        </w:tc>
      </w:tr>
      <w:tr>
        <w:trPr>
          <w:trHeight w:val="216"/>
        </w:trPr>
        <w:tc>
          <w:tcPr>
            <w:tcW w:w="6180" w:type="dxa"/>
            <w:vAlign w:val="bottom"/>
          </w:tcPr>
          <w:p>
            <w:pPr>
              <w:ind w:left="520"/>
              <w:spacing w:after="0"/>
              <w:rPr>
                <w:sz w:val="20"/>
                <w:szCs w:val="20"/>
                <w:color w:val="auto"/>
              </w:rPr>
            </w:pPr>
            <w:r>
              <w:rPr>
                <w:rFonts w:ascii="Arial" w:cs="Arial" w:eastAsia="Arial" w:hAnsi="Arial"/>
                <w:sz w:val="18"/>
                <w:szCs w:val="18"/>
                <w:color w:val="auto"/>
              </w:rPr>
              <w:t>2011</w:t>
            </w:r>
          </w:p>
        </w:tc>
        <w:tc>
          <w:tcPr>
            <w:tcW w:w="2140" w:type="dxa"/>
            <w:vAlign w:val="bottom"/>
          </w:tcPr>
          <w:p>
            <w:pPr>
              <w:spacing w:after="0"/>
              <w:rPr>
                <w:sz w:val="18"/>
                <w:szCs w:val="18"/>
                <w:color w:val="auto"/>
              </w:rPr>
            </w:pPr>
          </w:p>
        </w:tc>
        <w:tc>
          <w:tcPr>
            <w:tcW w:w="3100" w:type="dxa"/>
            <w:vAlign w:val="bottom"/>
            <w:gridSpan w:val="2"/>
          </w:tcPr>
          <w:p>
            <w:pPr>
              <w:jc w:val="right"/>
              <w:ind w:right="480"/>
              <w:spacing w:after="0"/>
              <w:rPr>
                <w:sz w:val="20"/>
                <w:szCs w:val="20"/>
                <w:color w:val="auto"/>
              </w:rPr>
            </w:pPr>
            <w:r>
              <w:rPr>
                <w:rFonts w:ascii="Arial" w:cs="Arial" w:eastAsia="Arial" w:hAnsi="Arial"/>
                <w:sz w:val="18"/>
                <w:szCs w:val="18"/>
                <w:color w:val="auto"/>
              </w:rPr>
              <w:t>161,693</w:t>
            </w:r>
          </w:p>
        </w:tc>
      </w:tr>
      <w:tr>
        <w:trPr>
          <w:trHeight w:val="216"/>
        </w:trPr>
        <w:tc>
          <w:tcPr>
            <w:tcW w:w="6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2012</w:t>
            </w:r>
          </w:p>
        </w:tc>
        <w:tc>
          <w:tcPr>
            <w:tcW w:w="21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5,327</w:t>
            </w:r>
          </w:p>
        </w:tc>
      </w:tr>
      <w:tr>
        <w:trPr>
          <w:trHeight w:val="223"/>
        </w:trPr>
        <w:tc>
          <w:tcPr>
            <w:tcW w:w="6180" w:type="dxa"/>
            <w:vAlign w:val="bottom"/>
          </w:tcPr>
          <w:p>
            <w:pPr>
              <w:ind w:left="520"/>
              <w:spacing w:after="0"/>
              <w:rPr>
                <w:sz w:val="20"/>
                <w:szCs w:val="20"/>
                <w:color w:val="auto"/>
              </w:rPr>
            </w:pPr>
            <w:r>
              <w:rPr>
                <w:rFonts w:ascii="Arial" w:cs="Arial" w:eastAsia="Arial" w:hAnsi="Arial"/>
                <w:sz w:val="18"/>
                <w:szCs w:val="18"/>
                <w:color w:val="auto"/>
              </w:rPr>
              <w:t>2013</w:t>
            </w:r>
          </w:p>
        </w:tc>
        <w:tc>
          <w:tcPr>
            <w:tcW w:w="2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37"/>
        </w:trPr>
        <w:tc>
          <w:tcPr>
            <w:tcW w:w="61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minimum lease payments</w:t>
            </w:r>
          </w:p>
        </w:tc>
        <w:tc>
          <w:tcPr>
            <w:tcW w:w="214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w w:val="79"/>
              </w:rPr>
              <w:t>$</w:t>
            </w:r>
          </w:p>
        </w:tc>
        <w:tc>
          <w:tcPr>
            <w:tcW w:w="3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267,462</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26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Remaining minimum operating lease payments are for the six-months ended March 31, 2010.</w:t>
      </w:r>
    </w:p>
    <w:p>
      <w:pPr>
        <w:spacing w:after="0" w:line="252"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Litigation - - </w:t>
      </w:r>
      <w:r>
        <w:rPr>
          <w:rFonts w:ascii="Arial" w:cs="Arial" w:eastAsia="Arial" w:hAnsi="Arial"/>
          <w:sz w:val="18"/>
          <w:szCs w:val="18"/>
          <w:color w:val="auto"/>
        </w:rPr>
        <w:t>The Company from time to time may be involved in litigation relating to claims arising out of its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Management believes that there are no claims or actions pending or threatened against the Company, the ultimate disposition of which would have a material impact on the Company’s financial position, results of operations or cash flows.</w:t>
      </w:r>
    </w:p>
    <w:p>
      <w:pPr>
        <w:spacing w:after="0" w:line="20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Risk Management - </w:t>
      </w:r>
      <w:r>
        <w:rPr>
          <w:rFonts w:ascii="Arial" w:cs="Arial" w:eastAsia="Arial" w:hAnsi="Arial"/>
          <w:sz w:val="18"/>
          <w:szCs w:val="18"/>
          <w:color w:val="auto"/>
        </w:rPr>
        <w:t>The Company maintains various forms of insurance that the Company’s management believes are adequate to reduce the exposure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these risks to an acceptable level.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NETSTREAMS,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56"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During the period April 1, 2009 through September 30, 2009 the Company issued short term convertible notes payable totaling $1,250,000 to certain stockholders with an annual interest rate of 8%. The notes are payable one year from the date of issuance and are collateralized by substantially all assets of the Company and are subordinate to any lien established under the New Facility. These notes contain a conversion feature which allow for conversion into Series B preferred stock at the discretion of the holder at the market value of the Series B preferred stock at the date of issuance. The notes are mandatorily convertible into Series B preferred stock upon completion of a $5 million qualified financing at an 80% price discount to the price established in the qualified financing.</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Acquisition by ClearOne Communications, Inc.</w:t>
      </w:r>
    </w:p>
    <w:p>
      <w:pPr>
        <w:spacing w:after="0" w:line="25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Pursuant to an Agreement and Plan of Merger executed between the Company and ClearOne, ClearOne acquired all of the Company’s issued and outstanding shares on November 3, 2009. The merger agreement provided for ClearOne to pay $1.95 million in cash subject to final working capital adjustment and the assumption of $2 million of debt. As a result of the Agreement and Plan of Merger, the Company has operated as a wholly owned subsidiary of ClearOne since November 3, 2009.</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27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99.2</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Financial Statements</w:t>
      </w:r>
    </w:p>
    <w:p>
      <w:pPr>
        <w:spacing w:after="0" w:line="23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unaudited pro forma condensed consolidated combined financial statements give effect to the acquisition of NetStreams, Inc. (NetStreams) by ClearOne Communications, Inc. (ClearOne). These pro forma condensed consolidated combined statements are presented for illustrative purposes only. The pro forma adjustments described in the notes accompanying the statements are based upon available information and assumptions that we believe are reasonable. These unaudited pro forma condensed consolidated combined financial statements do not give effect to any potential cost savings or other operating efficiencies that could result from the acquisition. The pro forma condensed consolidated combined financial statements do not purport to represent what the consolidated results of operations of ClearOne would actually have been if the acquisition had in fact occurred on the date we refer to below, nor do they purport to project the results of operations of ClearOne for any future period or as of any historical dates.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Under the purchase method of accounting prescribed by </w:t>
      </w:r>
      <w:r>
        <w:rPr>
          <w:rFonts w:ascii="Arial" w:cs="Arial" w:eastAsia="Arial" w:hAnsi="Arial"/>
          <w:sz w:val="18"/>
          <w:szCs w:val="18"/>
          <w:i w:val="1"/>
          <w:iCs w:val="1"/>
          <w:color w:val="auto"/>
        </w:rPr>
        <w:t>Topic 805, Business Combinations,</w:t>
      </w:r>
      <w:r>
        <w:rPr>
          <w:rFonts w:ascii="Arial" w:cs="Arial" w:eastAsia="Arial" w:hAnsi="Arial"/>
          <w:sz w:val="18"/>
          <w:szCs w:val="18"/>
          <w:color w:val="auto"/>
        </w:rPr>
        <w:t xml:space="preserve"> tangible and identifiable intangible assets acquired and liabilities assumed are recorded at their estimated fair market values. The excess of the purchase price over the net assets acquired is allocated to goodwill. The purchase price allocation is preliminary, subject to future adjustment and has been made solely for the purpose of providing the unaudited condensed consolidated combined financial information discussed below.</w:t>
      </w:r>
    </w:p>
    <w:p>
      <w:pPr>
        <w:spacing w:after="0" w:line="21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unaudited pro forma condensed combined balance sheet as of September 30, 2009, was prepared by combining the historical consolidated balance sheet of ClearOne Communications and the historical balance sheet of NetStreams as of September 30, 2009, giving effect to the acquisition as if it occurred on September 30, 2009. The unaudited pro forma condensed consolidated combined statement of operations for the year ended June 30, 2009 and the</w:t>
      </w:r>
    </w:p>
    <w:p>
      <w:pPr>
        <w:ind w:right="460"/>
        <w:spacing w:after="0" w:line="255" w:lineRule="auto"/>
        <w:rPr>
          <w:sz w:val="20"/>
          <w:szCs w:val="20"/>
          <w:color w:val="auto"/>
        </w:rPr>
      </w:pPr>
      <w:r>
        <w:rPr>
          <w:rFonts w:ascii="Arial" w:cs="Arial" w:eastAsia="Arial" w:hAnsi="Arial"/>
          <w:sz w:val="18"/>
          <w:szCs w:val="18"/>
          <w:color w:val="auto"/>
        </w:rPr>
        <w:t>three month period ended September 30, 2009 were prepared by combining the historical consolidated statement of operations of ClearOne for the year ended June 30, 2009 and the three month period ended September 30, 2009 and the historical statement of operations of NetStreams for the respective periods, giving effect for the acquisition as if it had occurred on July 1, 2009.</w:t>
      </w:r>
    </w:p>
    <w:p>
      <w:pPr>
        <w:spacing w:after="0" w:line="2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operating results of NetStreams are included in ClearOne’s statement of operations beginning on the date of acquisition, November 3, 2009. The acquisition is being accounted for under the purchase method of accounting and, accordingly, the purchase price was allocated to the assets acquired and liabilities assumed based on management’s estimate of fair values. Our preliminary evaluation resulted in an allocation of $5.7 million to goodwill and identifiable intangible assets (See Note 1 for further details). These unaudited pro forma condensed consolidated combined financial statements should be read in conjunction with the historical financial statements and notes thereto of (a) ClearOne Communications, Inc. included on Form 10-Q as of and for the three month period ended September 30, 2009, (b) ClearOne Communications, Inc. included in Form 10-K for the year ended June 30, 2009, and (c) NetStreams, Inc.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ClearOne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NetStreams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Pro Forma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Adjustments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7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Accounts receivable net of allowance for doubtful accounts of $103 and $76,</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40,018</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2,479</w:t>
            </w:r>
          </w:p>
        </w:tc>
        <w:tc>
          <w:tcPr>
            <w:tcW w:w="1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11,674</w:t>
            </w:r>
          </w:p>
        </w:tc>
        <w:tc>
          <w:tcPr>
            <w:tcW w:w="1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7,815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(4,172)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 Series B</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Redeemable Preferred Stock - Series A, A-1 and A-2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11,422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(11,422)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(35,832)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35,832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40,018</w:t>
            </w:r>
          </w:p>
        </w:tc>
        <w:tc>
          <w:tcPr>
            <w:tcW w:w="1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43,661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Pro Forma</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ClearOne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NetStreams</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Sellilng, general and administrative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7,498</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Insurance settlement proceeds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income, net: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9,213,731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9,213,731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9,338,320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9,338,320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Pro Forma</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ClearOne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NetStreams</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Sellilng, general and administrative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8,928,897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9,213,731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9,052,070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9,338,320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 ACQUISITION</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November 3, 2009, ClearOne Communications, Inc. (“ClearOne”) entered into and closed the Merger Agreement with Alta-Wasatch Acquisition Corporation (“Alta-Wasatch”), our wholly owned subsidiary and NetStreams, Inc (“NetStreams”). Pursuant to the Merger Agreement, Alta-Wasatch, merged into NetStreams (the “Merger”).</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part of the Merger, ClearOne paid $1.8 million in cash and assumed debt of $2 million. ClearOne has also claimed $350,000 as part of final working capital adjustment which is expected to reduce the cash consideration paid from $1.8 million to $1.45 million.</w:t>
      </w:r>
    </w:p>
    <w:p>
      <w:pPr>
        <w:spacing w:after="0" w:line="19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acquisition is being accounted for under the purchase method of accounting and, accordingly, the purchase price was allocated to the assets acquired and liabilities assumed based on management’s estimate of fair values. The excess of purchase price over the fair value of net assets acquired reflects the expected benefits from expansion of market opportunities and customer relationships. Our estimates and assumptions are subject to change. Certain items may impact the final purchase price allocation. Our preliminary evaluation is based on the following as estimated on the date of acquisition: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consideration</w:t>
            </w:r>
          </w:p>
        </w:tc>
        <w:tc>
          <w:tcPr>
            <w:tcW w:w="4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Assumption of Debt</w:t>
            </w:r>
          </w:p>
        </w:tc>
        <w:tc>
          <w:tcPr>
            <w:tcW w:w="3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3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Fair value of net assets acquired</w:t>
            </w:r>
          </w:p>
        </w:tc>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Allocated to:</w:t>
            </w:r>
          </w:p>
        </w:tc>
        <w:tc>
          <w:tcPr>
            <w:tcW w:w="3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intangibles assets:</w:t>
            </w:r>
          </w:p>
        </w:tc>
        <w:tc>
          <w:tcPr>
            <w:tcW w:w="3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Developed technology</w:t>
            </w:r>
          </w:p>
        </w:tc>
        <w:tc>
          <w:tcPr>
            <w:tcW w:w="37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Trade name and Trademarks</w:t>
            </w:r>
          </w:p>
        </w:tc>
        <w:tc>
          <w:tcPr>
            <w:tcW w:w="37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Excess purchase price allocated to goodwill</w:t>
            </w:r>
          </w:p>
        </w:tc>
        <w:tc>
          <w:tcPr>
            <w:tcW w:w="4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 TO THE CONDENSED COMBINED CONSOLIDATED BALANCE SHEET</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adjustments have been reflected in the unaudited pro forma condensed combined consolidated balance sheet as of September 30, 2009 as if the acquisition occurred on September 30, 2009:</w:t>
      </w:r>
    </w:p>
    <w:p>
      <w:pPr>
        <w:spacing w:after="0" w:line="197" w:lineRule="exact"/>
        <w:rPr>
          <w:sz w:val="20"/>
          <w:szCs w:val="20"/>
          <w:color w:val="auto"/>
        </w:rPr>
      </w:pPr>
    </w:p>
    <w:p>
      <w:pPr>
        <w:ind w:left="840" w:hanging="832"/>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 to record the purchase and cancellation of all of the outstanding stock and warrants of NetStreams.</w:t>
      </w:r>
    </w:p>
    <w:p>
      <w:pPr>
        <w:spacing w:after="0" w:line="225" w:lineRule="exact"/>
        <w:rPr>
          <w:rFonts w:ascii="Arial" w:cs="Arial" w:eastAsia="Arial" w:hAnsi="Arial"/>
          <w:sz w:val="18"/>
          <w:szCs w:val="18"/>
          <w:color w:val="auto"/>
        </w:rPr>
      </w:pPr>
    </w:p>
    <w:p>
      <w:pPr>
        <w:ind w:right="160" w:firstLine="8"/>
        <w:spacing w:after="0" w:line="264"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 to record the goodwill and estimated fair value of identifiable intangible assets acquired. Identifiable intangible assets consist of developed technology, customer relationships, and trade name and trademarks, which will be amortizable over their useful lives of four, four, and two years, respectively. The fair value and useful life estimates of these assets is preliminary and subject to change.</w:t>
      </w:r>
    </w:p>
    <w:p>
      <w:pPr>
        <w:spacing w:after="0" w:line="208" w:lineRule="exact"/>
        <w:rPr>
          <w:rFonts w:ascii="Arial" w:cs="Arial" w:eastAsia="Arial" w:hAnsi="Arial"/>
          <w:sz w:val="18"/>
          <w:szCs w:val="18"/>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 to record the elimination of NetStreams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3: PRO FORMA ADJUSTMENTS TO COMBINED CONDENSED CONSOLIDATED STATEMENT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adjustments have been reflected in the pro forma combined condensed consolidated statement of operations for the year ended June 30, 2009 and the three month period ended September 30, 2009 as if the acquisition had occurred on July 1, 2008.</w:t>
      </w:r>
    </w:p>
    <w:p>
      <w:pPr>
        <w:spacing w:after="0" w:line="197" w:lineRule="exact"/>
        <w:rPr>
          <w:sz w:val="20"/>
          <w:szCs w:val="20"/>
          <w:color w:val="auto"/>
        </w:rPr>
      </w:pPr>
    </w:p>
    <w:p>
      <w:pPr>
        <w:ind w:right="680" w:firstLine="8"/>
        <w:spacing w:after="0" w:line="286" w:lineRule="auto"/>
        <w:tabs>
          <w:tab w:leader="none" w:pos="51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Adjustment to record the amortization expense related to the identifiable assets acquired. Identifiable intangible assets consist of developed technology, customer relationships, and trade name and trademarks, which will be amortizable over their useful lives of four, four, and two years, respectively. The fair value and useful life estimates of these assets is preliminary and subject to change.</w:t>
      </w: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6</w:t>
      </w:r>
    </w:p>
    <w:sectPr>
      <w:pgSz w:w="11900" w:h="16838" w:orient="portrait"/>
      <w:cols w:equalWidth="0" w:num="1">
        <w:col w:w="11220"/>
      </w:cols>
      <w:pgMar w:left="240" w:top="75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lvl w:ilvl="1">
      <w:lvlJc w:val="left"/>
      <w:lvlText w:val="%2)"/>
      <w:numFmt w:val="lowerLetter"/>
      <w:start w:val="1"/>
    </w:lvl>
  </w:abstractNum>
  <w:abstractNum w:abstractNumId="4">
    <w:nsid w:val="3352255A"/>
    <w:multiLevelType w:val="hybridMultilevel"/>
    <w:lvl w:ilvl="0">
      <w:lvlJc w:val="left"/>
      <w:lvlText w:val="%1)"/>
      <w:numFmt w:val="lowerLetter"/>
      <w:start w:val="3"/>
    </w:lvl>
  </w:abstractNum>
  <w:abstractNum w:abstractNumId="5">
    <w:nsid w:val="109CF92E"/>
    <w:multiLevelType w:val="hybridMultilevel"/>
    <w:lvl w:ilvl="0">
      <w:lvlJc w:val="left"/>
      <w:lvlText w:val="%1)"/>
      <w:numFmt w:val="lowerLetter"/>
      <w:start w:val="4"/>
    </w:lvl>
  </w:abstractNum>
  <w:abstractNum w:abstractNumId="6">
    <w:nsid w:val="DED7263"/>
    <w:multiLevelType w:val="hybridMultilevel"/>
    <w:lvl w:ilvl="0">
      <w:lvlJc w:val="left"/>
      <w:lvlText w:val="(%1)"/>
      <w:numFmt w:val="decimal"/>
      <w:start w:val="3"/>
    </w:lvl>
    <w:lvl w:ilvl="1">
      <w:lvlJc w:val="left"/>
      <w:lvlText w:val="%2)"/>
      <w:numFmt w:val="lowerLetter"/>
      <w:start w:val="7"/>
    </w:lvl>
  </w:abstractNum>
  <w:abstractNum w:abstractNumId="7">
    <w:nsid w:val="7FDCC233"/>
    <w:multiLevelType w:val="hybridMultilevel"/>
    <w:lvl w:ilvl="0">
      <w:lvlJc w:val="left"/>
      <w:lvlText w:val="(%1)"/>
      <w:numFmt w:val="decimal"/>
      <w:start w:val="3"/>
    </w:lvl>
    <w:lvl w:ilvl="1">
      <w:lvlJc w:val="left"/>
      <w:lvlText w:val="%2)"/>
      <w:numFmt w:val="lowerLetter"/>
      <w:start w:val="12"/>
    </w:lvl>
    <w:lvl w:ilvl="2">
      <w:lvlJc w:val="left"/>
      <w:lvlText w:val="•"/>
      <w:numFmt w:val="bullet"/>
      <w:start w:val="1"/>
    </w:lvl>
  </w:abstractNum>
  <w:abstractNum w:abstractNumId="8">
    <w:nsid w:val="1BEFD79F"/>
    <w:multiLevelType w:val="hybridMultilevel"/>
    <w:lvl w:ilvl="0">
      <w:lvlJc w:val="left"/>
      <w:lvlText w:val="%1)"/>
      <w:numFmt w:val="lowerLetter"/>
      <w:start w:val="14"/>
    </w:lvl>
  </w:abstractNum>
  <w:abstractNum w:abstractNumId="9">
    <w:nsid w:val="41A7C4C9"/>
    <w:multiLevelType w:val="hybridMultilevel"/>
    <w:lvl w:ilvl="0">
      <w:lvlJc w:val="left"/>
      <w:lvlText w:val="(%1)"/>
      <w:numFmt w:val="decimal"/>
      <w:start w:val="5"/>
    </w:lvl>
  </w:abstractNum>
  <w:abstractNum w:abstractNumId="10">
    <w:nsid w:val="6B68079A"/>
    <w:multiLevelType w:val="hybridMultilevel"/>
    <w:lvl w:ilvl="0">
      <w:lvlJc w:val="left"/>
      <w:lvlText w:val="(%1)"/>
      <w:numFmt w:val="decimal"/>
      <w:start w:val="6"/>
    </w:lvl>
  </w:abstractNum>
  <w:abstractNum w:abstractNumId="11">
    <w:nsid w:val="4E6AFB66"/>
    <w:multiLevelType w:val="hybridMultilevel"/>
    <w:lvl w:ilvl="0">
      <w:lvlJc w:val="left"/>
      <w:lvlText w:val="(%1)"/>
      <w:numFmt w:val="decimal"/>
      <w:start w:val="6"/>
    </w:lvl>
  </w:abstractNum>
  <w:abstractNum w:abstractNumId="12">
    <w:nsid w:val="25E45D32"/>
    <w:multiLevelType w:val="hybridMultilevel"/>
    <w:lvl w:ilvl="0">
      <w:lvlJc w:val="left"/>
      <w:lvlText w:val="(%1)"/>
      <w:numFmt w:val="decimal"/>
      <w:start w:val="6"/>
    </w:lvl>
    <w:lvl w:ilvl="1">
      <w:lvlJc w:val="left"/>
      <w:lvlText w:val="*"/>
      <w:numFmt w:val="bullet"/>
      <w:start w:val="1"/>
    </w:lvl>
  </w:abstractNum>
  <w:abstractNum w:abstractNumId="13">
    <w:nsid w:val="519B500D"/>
    <w:multiLevelType w:val="hybridMultilevel"/>
    <w:lvl w:ilvl="0">
      <w:lvlJc w:val="left"/>
      <w:lvlText w:val="(%1)"/>
      <w:numFmt w:val="decimal"/>
      <w:start w:val="7"/>
    </w:lvl>
  </w:abstractNum>
  <w:abstractNum w:abstractNumId="14">
    <w:nsid w:val="431BD7B7"/>
    <w:multiLevelType w:val="hybridMultilevel"/>
    <w:lvl w:ilvl="0">
      <w:lvlJc w:val="left"/>
      <w:lvlText w:val="(%1)"/>
      <w:numFmt w:val="decimal"/>
      <w:start w:val="8"/>
    </w:lvl>
  </w:abstractNum>
  <w:abstractNum w:abstractNumId="15">
    <w:nsid w:val="3F2DBA31"/>
    <w:multiLevelType w:val="hybridMultilevel"/>
    <w:lvl w:ilvl="0">
      <w:lvlJc w:val="left"/>
      <w:lvlText w:val="(%1)"/>
      <w:numFmt w:val="decimal"/>
      <w:start w:val="8"/>
    </w:lvl>
  </w:abstractNum>
  <w:abstractNum w:abstractNumId="16">
    <w:nsid w:val="7C83E458"/>
    <w:multiLevelType w:val="hybridMultilevel"/>
    <w:lvl w:ilvl="0">
      <w:lvlJc w:val="left"/>
      <w:lvlText w:val="(%1)"/>
      <w:numFmt w:val="decimal"/>
      <w:start w:val="8"/>
    </w:lvl>
  </w:abstractNum>
  <w:abstractNum w:abstractNumId="17">
    <w:nsid w:val="257130A3"/>
    <w:multiLevelType w:val="hybridMultilevel"/>
    <w:lvl w:ilvl="0">
      <w:lvlJc w:val="left"/>
      <w:lvlText w:val="(%1)"/>
      <w:numFmt w:val="decimal"/>
      <w:start w:val="10"/>
    </w:lvl>
  </w:abstractNum>
  <w:abstractNum w:abstractNumId="18">
    <w:nsid w:val="62BBD95A"/>
    <w:multiLevelType w:val="hybridMultilevel"/>
    <w:lvl w:ilvl="0">
      <w:lvlJc w:val="left"/>
      <w:lvlText w:val="(%1)"/>
      <w:numFmt w:val="decimal"/>
      <w:start w:val="10"/>
    </w:lvl>
  </w:abstractNum>
  <w:abstractNum w:abstractNumId="19">
    <w:nsid w:val="436C6125"/>
    <w:multiLevelType w:val="hybridMultilevel"/>
    <w:lvl w:ilvl="0">
      <w:lvlJc w:val="left"/>
      <w:lvlText w:val="(%1)"/>
      <w:numFmt w:val="upperLetter"/>
      <w:start w:val="1"/>
    </w:lvl>
  </w:abstractNum>
  <w:abstractNum w:abstractNumId="20">
    <w:nsid w:val="628C895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2019-12-10T08:38:48Z</dcterms:created>
  <dcterms:modified xsi:type="dcterms:W3CDTF">2019-12-10T08:38:48Z</dcterms:modified>
</cp:coreProperties>
</file>