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r>
        <w:rPr>
          <w:rFonts w:ascii="Arial" w:cs="Arial" w:eastAsia="Arial" w:hAnsi="Arial"/>
          <w:sz w:val="18"/>
          <w:szCs w:val="18"/>
          <w:b w:val="1"/>
          <w:bCs w:val="1"/>
          <w:u w:val="single" w:color="auto"/>
          <w:color w:val="auto"/>
        </w:rPr>
        <w:t>June 19, 2018 (June 13,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274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w w:val="90"/>
              </w:rPr>
              <w:t>001-33660</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87-0398877</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gridSpan w:val="3"/>
          </w:tcPr>
          <w:p>
            <w:pPr>
              <w:jc w:val="center"/>
              <w:ind w:right="1140"/>
              <w:spacing w:after="0" w:line="195"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gridSpan w:val="4"/>
          </w:tcPr>
          <w:p>
            <w:pPr>
              <w:jc w:val="center"/>
              <w:ind w:right="136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78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40" w:type="dxa"/>
            <w:vAlign w:val="bottom"/>
          </w:tcPr>
          <w:p>
            <w:pPr>
              <w:jc w:val="right"/>
              <w:ind w:right="1550"/>
              <w:spacing w:after="0"/>
              <w:rPr>
                <w:sz w:val="20"/>
                <w:szCs w:val="20"/>
                <w:color w:val="auto"/>
              </w:rPr>
            </w:pPr>
            <w:r>
              <w:rPr>
                <w:rFonts w:ascii="Arial" w:cs="Arial" w:eastAsia="Arial" w:hAnsi="Arial"/>
                <w:sz w:val="18"/>
                <w:szCs w:val="18"/>
                <w:b w:val="1"/>
                <w:bCs w:val="1"/>
                <w:color w:val="auto"/>
              </w:rPr>
              <w:t>84116</w:t>
            </w:r>
          </w:p>
        </w:tc>
      </w:tr>
      <w:tr>
        <w:trPr>
          <w:trHeight w:val="224"/>
        </w:trPr>
        <w:tc>
          <w:tcPr>
            <w:tcW w:w="7540" w:type="dxa"/>
            <w:vAlign w:val="bottom"/>
            <w:tcBorders>
              <w:top w:val="single" w:sz="8" w:color="auto"/>
            </w:tcBorders>
            <w:gridSpan w:val="5"/>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19"/>
                <w:szCs w:val="19"/>
                <w:color w:val="auto"/>
              </w:rPr>
            </w:pPr>
          </w:p>
        </w:tc>
        <w:tc>
          <w:tcPr>
            <w:tcW w:w="36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1"/>
              </w:rPr>
              <w:t>(Zip Code)</w:t>
            </w:r>
          </w:p>
        </w:tc>
      </w:tr>
      <w:tr>
        <w:trPr>
          <w:trHeight w:val="377"/>
        </w:trPr>
        <w:tc>
          <w:tcPr>
            <w:tcW w:w="3660" w:type="dxa"/>
            <w:vAlign w:val="bottom"/>
          </w:tcPr>
          <w:p>
            <w:pPr>
              <w:spacing w:after="0"/>
              <w:rPr>
                <w:sz w:val="24"/>
                <w:szCs w:val="24"/>
                <w:color w:val="auto"/>
              </w:rPr>
            </w:pPr>
          </w:p>
        </w:tc>
        <w:tc>
          <w:tcPr>
            <w:tcW w:w="2740" w:type="dxa"/>
            <w:vAlign w:val="bottom"/>
            <w:gridSpan w:val="3"/>
          </w:tcPr>
          <w:p>
            <w:pPr>
              <w:jc w:val="center"/>
              <w:ind w:left="1290"/>
              <w:spacing w:after="0"/>
              <w:rPr>
                <w:sz w:val="20"/>
                <w:szCs w:val="20"/>
                <w:color w:val="auto"/>
              </w:rPr>
            </w:pPr>
            <w:r>
              <w:rPr>
                <w:rFonts w:ascii="Arial" w:cs="Arial" w:eastAsia="Arial" w:hAnsi="Arial"/>
                <w:sz w:val="18"/>
                <w:szCs w:val="18"/>
                <w:b w:val="1"/>
                <w:bCs w:val="1"/>
                <w:color w:val="auto"/>
                <w:w w:val="91"/>
              </w:rPr>
              <w:t>+1 (801) 975-7200</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37"/>
        </w:trPr>
        <w:tc>
          <w:tcPr>
            <w:tcW w:w="3660" w:type="dxa"/>
            <w:vAlign w:val="bottom"/>
          </w:tcPr>
          <w:p>
            <w:pPr>
              <w:spacing w:after="0"/>
              <w:rPr>
                <w:sz w:val="20"/>
                <w:szCs w:val="20"/>
                <w:color w:val="auto"/>
              </w:rPr>
            </w:pPr>
          </w:p>
        </w:tc>
        <w:tc>
          <w:tcPr>
            <w:tcW w:w="4120" w:type="dxa"/>
            <w:vAlign w:val="bottom"/>
            <w:gridSpan w:val="6"/>
          </w:tcPr>
          <w:p>
            <w:pPr>
              <w:jc w:val="center"/>
              <w:ind w:right="20"/>
              <w:spacing w:after="0"/>
              <w:rPr>
                <w:sz w:val="20"/>
                <w:szCs w:val="20"/>
                <w:color w:val="auto"/>
              </w:rPr>
            </w:pPr>
            <w:r>
              <w:rPr>
                <w:rFonts w:ascii="Arial" w:cs="Arial" w:eastAsia="Arial" w:hAnsi="Arial"/>
                <w:sz w:val="18"/>
                <w:szCs w:val="18"/>
                <w:color w:val="auto"/>
                <w:w w:val="90"/>
              </w:rPr>
              <w:t>(Registrant’s telephone number, including area code)</w:t>
            </w:r>
          </w:p>
        </w:tc>
        <w:tc>
          <w:tcPr>
            <w:tcW w:w="36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2.02. Results of Operations and Financial Condition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13, 2018, ClearOne, Inc. (the “Company”) issued a press release announcing its financial results for the three months ended March 31, 2018.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4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vertAlign w:val="superscript"/>
        </w:rPr>
        <w:t>Exhibit</w:t>
      </w:r>
      <w:r>
        <w:rPr>
          <w:rFonts w:ascii="Arial" w:cs="Arial" w:eastAsia="Arial" w:hAnsi="Arial"/>
          <w:sz w:val="18"/>
          <w:szCs w:val="18"/>
          <w:b w:val="1"/>
          <w:bCs w:val="1"/>
          <w:color w:val="auto"/>
        </w:rPr>
        <w:t xml:space="preserve"> Description</w:t>
      </w:r>
    </w:p>
    <w:p>
      <w:pPr>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Exhibit</w:t>
      </w:r>
      <w:r>
        <w:rPr>
          <w:sz w:val="20"/>
          <w:szCs w:val="20"/>
          <w:color w:val="auto"/>
        </w:rPr>
        <w:tab/>
      </w:r>
      <w:hyperlink w:anchor="page5">
        <w:r>
          <w:rPr>
            <w:rFonts w:ascii="Arial" w:cs="Arial" w:eastAsia="Arial" w:hAnsi="Arial"/>
            <w:sz w:val="16"/>
            <w:szCs w:val="16"/>
            <w:u w:val="single" w:color="auto"/>
            <w:color w:val="0000EE"/>
          </w:rPr>
          <w:t>Press Release dated June 13, 2018 titled “ClearOne Reports First Quarter 2018 Financial Results”.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CLEARONE,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June 19, 2018</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74"/>
        </w:trPr>
        <w:tc>
          <w:tcPr>
            <w:tcW w:w="3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INDEX</w:t>
      </w:r>
    </w:p>
    <w:p>
      <w:pPr>
        <w:spacing w:after="0" w:line="4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vertAlign w:val="superscript"/>
        </w:rPr>
        <w:t>Exhibit</w:t>
      </w:r>
      <w:r>
        <w:rPr>
          <w:rFonts w:ascii="Arial" w:cs="Arial" w:eastAsia="Arial" w:hAnsi="Arial"/>
          <w:sz w:val="18"/>
          <w:szCs w:val="18"/>
          <w:b w:val="1"/>
          <w:bCs w:val="1"/>
          <w:color w:val="auto"/>
        </w:rPr>
        <w:t xml:space="preserve"> Description</w:t>
      </w:r>
    </w:p>
    <w:p>
      <w:pPr>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6"/>
          <w:szCs w:val="16"/>
          <w:u w:val="single" w:color="auto"/>
          <w:color w:val="auto"/>
        </w:rPr>
        <w:t>Press Release dated June 13, 2018 titled “ClearOne Reports First Quarter 2018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57960"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796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Reports First Quarter 2018 Financial Results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continued to be impacted by infringement of ClearOne’s strategic patents</w:t>
      </w:r>
    </w:p>
    <w:p>
      <w:pPr>
        <w:spacing w:after="0" w:line="23"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Sequential improvement in Gross Profit Margin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SALT LAKE CITY, UTAH – June 13, 2018 – ClearOne (NASDAQ: CLRO), a global provider of audio and visual communication solutions, reported financial results for the three months ended March 31, 2018.</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achievement for the first quarter of 2018 did not meet our expectations,” said Zee Hakimoglu, president and chief executive officer. “The adoption of Beamforming Microphone Array 2, along with our Converge Pro 2, our new platform for professional audio conferencing, remains challenged in large part because of our competitors’ product offering that directly infringes our strategic patents. We are taking action on three fronts. First and foremost, we are aggressively pursuing litigation to stop infringement of our valuable intellectual property, and we believe that we will prevail on the legal merits of our claims. Second, we are taking active measures to preserve cash, including suspending our dividend program, instituting cost-reduction plans across the company and allowing the share repurchase program to expire. And last but not the least, we are diligently developing superseding technologies and solutions to leapfrog our competition.”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9" w:lineRule="exact"/>
        <w:rPr>
          <w:sz w:val="20"/>
          <w:szCs w:val="20"/>
          <w:color w:val="auto"/>
        </w:rPr>
      </w:pPr>
    </w:p>
    <w:p>
      <w:pPr>
        <w:jc w:val="both"/>
        <w:ind w:left="340" w:hanging="332"/>
        <w:spacing w:after="0" w:line="25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Q1 2018 revenue was $7.3 million, compared to $11.7 million in Q1 2017 and $9.3 million in Q4 2017. The year-over-year decrease as well as sequential revenue decline reflect an impact of the on-going harm of infringement of ClearOne’s patents resulting in slower adoption of our next generation professional audio conferencing platform. The patent infringement has also negatively impacted revenue from ClearOne’s other products that are sold with professional audio conferencing systems.</w:t>
      </w:r>
    </w:p>
    <w:p>
      <w:pPr>
        <w:spacing w:after="0" w:line="189"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gross profit in Q1 2018 was $4.1 million compared to $6.7 million in Q1 2017 and $4.8 million in Q4 2017. GAAP gross profit margin was 56% in Q1 2018, compared to 57% in Q1 2017 and 51% in Q4 2017. Sequential improvement in gross margin was mainly due to reduced inventory obsolescence costs.</w:t>
      </w:r>
    </w:p>
    <w:p>
      <w:pPr>
        <w:spacing w:after="0" w:line="181"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expenses in Q1 2018 were $6.5 million, compared to $7.2 million in Q1 2017 and $5.8 million in Q4 2017 which included a receipt of $0.8 million from a legal settlement which reduced the operating expenses. The majority of the decrease in operating expenses over Q1 2017 is attributable to reduced legal expenses, capitalization of legal expenses related to patent litigation and reduced R&amp;D related project expenses. Non-GAAP operating expenses in Q1 2018 were $6.1 million, compared to $6.3 million in Q1 2017 and $6.1 million in Q4 2017. The year over year decrease in Non-GAAP operating expenses was mainly due to the decrease in R&amp;D expenditure.</w:t>
      </w:r>
    </w:p>
    <w:p>
      <w:pPr>
        <w:spacing w:after="0" w:line="188"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GAAP net loss in Q1 2018 was $1.8 million, or $0.22 per share, compared to net loss of $0.5 million, or $0.05 per share, in Q1 2017 and net loss of $3.6 million, or $0.43 per share, in Q4 2017. Net loss in Q1 2018 was largely caused by the reduction in revenue and associated gross profit. Non-GAAP net loss was $1.5 million, or $0.18 per share, in Q1 2018, compared to non-GAAP net income of $0.1 million in Q1 2017 and net loss of $2.3 million, or $0.27 per share, in Q4 2017. Non-GAAP net loss in Q1 2018 was caused by lower revenues and reduction in associated gross margin.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w:t>
      </w:r>
      <w:r>
        <w:rPr>
          <w:rFonts w:ascii="Arial" w:cs="Arial" w:eastAsia="Arial" w:hAnsi="Arial"/>
          <w:sz w:val="22"/>
          <w:szCs w:val="22"/>
          <w:color w:val="auto"/>
        </w:rPr>
        <w:t xml:space="preserve"> of </w:t>
      </w:r>
      <w:r>
        <w:rPr>
          <w:rFonts w:ascii="Arial" w:cs="Arial" w:eastAsia="Arial" w:hAnsi="Arial"/>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4300" w:type="dxa"/>
            <w:vAlign w:val="bottom"/>
            <w:gridSpan w:val="4"/>
          </w:tcPr>
          <w:p>
            <w:pPr>
              <w:spacing w:after="0"/>
              <w:rPr>
                <w:sz w:val="20"/>
                <w:szCs w:val="20"/>
                <w:color w:val="auto"/>
              </w:rPr>
            </w:pPr>
            <w:r>
              <w:rPr>
                <w:rFonts w:ascii="Arial" w:cs="Arial" w:eastAsia="Arial" w:hAnsi="Arial"/>
                <w:sz w:val="18"/>
                <w:szCs w:val="18"/>
                <w:b w:val="1"/>
                <w:bCs w:val="1"/>
                <w:color w:val="auto"/>
              </w:rPr>
              <w:t>Financial Summary</w:t>
            </w:r>
          </w:p>
        </w:tc>
        <w:tc>
          <w:tcPr>
            <w:tcW w:w="1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00" w:type="dxa"/>
            <w:vAlign w:val="bottom"/>
            <w:gridSpan w:val="4"/>
          </w:tcPr>
          <w:p>
            <w:pPr>
              <w:spacing w:after="0"/>
              <w:rPr>
                <w:sz w:val="20"/>
                <w:szCs w:val="20"/>
                <w:color w:val="auto"/>
              </w:rPr>
            </w:pPr>
            <w:r>
              <w:rPr>
                <w:rFonts w:ascii="Arial" w:cs="Arial" w:eastAsia="Arial" w:hAnsi="Arial"/>
                <w:sz w:val="18"/>
                <w:szCs w:val="18"/>
                <w:b w:val="1"/>
                <w:bCs w:val="1"/>
                <w:color w:val="auto"/>
              </w:rPr>
              <w:t>($ in 000, except per share)</w:t>
            </w:r>
          </w:p>
        </w:tc>
        <w:tc>
          <w:tcPr>
            <w:tcW w:w="1860" w:type="dxa"/>
            <w:vAlign w:val="bottom"/>
          </w:tcPr>
          <w:p>
            <w:pPr>
              <w:spacing w:after="0"/>
              <w:rPr>
                <w:sz w:val="18"/>
                <w:szCs w:val="18"/>
                <w:color w:val="auto"/>
              </w:rPr>
            </w:pPr>
          </w:p>
        </w:tc>
        <w:tc>
          <w:tcPr>
            <w:tcW w:w="27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c>
          <w:tcPr>
            <w:tcW w:w="13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2017</w:t>
            </w: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Change</w:t>
            </w:r>
          </w:p>
        </w:tc>
      </w:tr>
      <w:tr>
        <w:trPr>
          <w:trHeight w:val="196"/>
        </w:trPr>
        <w:tc>
          <w:tcPr>
            <w:tcW w:w="2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GAAP</w:t>
            </w:r>
          </w:p>
        </w:tc>
        <w:tc>
          <w:tcPr>
            <w:tcW w:w="3780" w:type="dxa"/>
            <w:vAlign w:val="bottom"/>
            <w:tcBorders>
              <w:bottom w:val="single" w:sz="8" w:color="CCEEFF"/>
            </w:tcBorders>
            <w:gridSpan w:val="2"/>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8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7,289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11,678</w:t>
            </w: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4,099</w:t>
            </w:r>
          </w:p>
        </w:tc>
        <w:tc>
          <w:tcPr>
            <w:tcW w:w="4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6,678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8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(2,442)</w:t>
            </w:r>
          </w:p>
        </w:tc>
        <w:tc>
          <w:tcPr>
            <w:tcW w:w="400" w:type="dxa"/>
            <w:vAlign w:val="bottom"/>
          </w:tcPr>
          <w:p>
            <w:pPr>
              <w:spacing w:after="0"/>
              <w:rPr>
                <w:sz w:val="18"/>
                <w:szCs w:val="18"/>
                <w:color w:val="auto"/>
              </w:rPr>
            </w:pP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(526)</w:t>
            </w:r>
          </w:p>
        </w:tc>
        <w:tc>
          <w:tcPr>
            <w:tcW w:w="134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(1,846)</w:t>
            </w:r>
          </w:p>
        </w:tc>
        <w:tc>
          <w:tcPr>
            <w:tcW w:w="4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(468)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16"/>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Diluted loss per share</w:t>
            </w:r>
          </w:p>
        </w:tc>
        <w:tc>
          <w:tcPr>
            <w:tcW w:w="18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(0.22)</w:t>
            </w:r>
          </w:p>
        </w:tc>
        <w:tc>
          <w:tcPr>
            <w:tcW w:w="400" w:type="dxa"/>
            <w:vAlign w:val="bottom"/>
          </w:tcPr>
          <w:p>
            <w:pPr>
              <w:spacing w:after="0"/>
              <w:rPr>
                <w:sz w:val="18"/>
                <w:szCs w:val="18"/>
                <w:color w:val="auto"/>
              </w:rPr>
            </w:pP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(0.05)</w:t>
            </w:r>
          </w:p>
        </w:tc>
        <w:tc>
          <w:tcPr>
            <w:tcW w:w="134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196"/>
        </w:trPr>
        <w:tc>
          <w:tcPr>
            <w:tcW w:w="20" w:type="dxa"/>
            <w:vAlign w:val="bottom"/>
          </w:tcPr>
          <w:p>
            <w:pPr>
              <w:spacing w:after="0"/>
              <w:rPr>
                <w:sz w:val="17"/>
                <w:szCs w:val="17"/>
                <w:color w:val="auto"/>
              </w:rPr>
            </w:pPr>
          </w:p>
        </w:tc>
        <w:tc>
          <w:tcPr>
            <w:tcW w:w="8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Non-GAAP</w:t>
            </w:r>
          </w:p>
        </w:tc>
        <w:tc>
          <w:tcPr>
            <w:tcW w:w="34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Non-GAAP Gross Profit</w:t>
            </w:r>
          </w:p>
        </w:tc>
        <w:tc>
          <w:tcPr>
            <w:tcW w:w="18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4,104</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6,686</w:t>
            </w: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Income (Loss)</w:t>
            </w:r>
          </w:p>
        </w:tc>
        <w:tc>
          <w:tcPr>
            <w:tcW w:w="1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(1,957)</w:t>
            </w:r>
          </w:p>
        </w:tc>
        <w:tc>
          <w:tcPr>
            <w:tcW w:w="4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366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16"/>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Non-GAAP Net Income (Loss)</w:t>
            </w:r>
          </w:p>
        </w:tc>
        <w:tc>
          <w:tcPr>
            <w:tcW w:w="18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(1,466)</w:t>
            </w:r>
          </w:p>
        </w:tc>
        <w:tc>
          <w:tcPr>
            <w:tcW w:w="400" w:type="dxa"/>
            <w:vAlign w:val="bottom"/>
          </w:tcPr>
          <w:p>
            <w:pPr>
              <w:spacing w:after="0"/>
              <w:rPr>
                <w:sz w:val="18"/>
                <w:szCs w:val="18"/>
                <w:color w:val="auto"/>
              </w:rPr>
            </w:pP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149</w:t>
            </w:r>
          </w:p>
        </w:tc>
        <w:tc>
          <w:tcPr>
            <w:tcW w:w="1340" w:type="dxa"/>
            <w:vAlign w:val="bottom"/>
          </w:tcPr>
          <w:p>
            <w:pPr>
              <w:jc w:val="right"/>
              <w:spacing w:after="0"/>
              <w:rPr>
                <w:sz w:val="20"/>
                <w:szCs w:val="20"/>
                <w:color w:val="auto"/>
              </w:rPr>
            </w:pPr>
            <w:r>
              <w:rPr>
                <w:rFonts w:ascii="Arial" w:cs="Arial" w:eastAsia="Arial" w:hAnsi="Arial"/>
                <w:sz w:val="18"/>
                <w:szCs w:val="18"/>
                <w:color w:val="auto"/>
              </w:rPr>
              <w:t>-1084%</w:t>
            </w: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Adjusted EBITDA</w:t>
            </w:r>
          </w:p>
        </w:tc>
        <w:tc>
          <w:tcPr>
            <w:tcW w:w="1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(1,801)</w:t>
            </w:r>
          </w:p>
        </w:tc>
        <w:tc>
          <w:tcPr>
            <w:tcW w:w="4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634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30"/>
        </w:trPr>
        <w:tc>
          <w:tcPr>
            <w:tcW w:w="20" w:type="dxa"/>
            <w:vAlign w:val="bottom"/>
          </w:tcPr>
          <w:p>
            <w:pPr>
              <w:spacing w:after="0"/>
              <w:rPr>
                <w:sz w:val="20"/>
                <w:szCs w:val="20"/>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Non-GAAP Earnings (Loss) per share (Diluted)</w:t>
            </w:r>
          </w:p>
        </w:tc>
        <w:tc>
          <w:tcPr>
            <w:tcW w:w="18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(0.18)</w:t>
            </w:r>
          </w:p>
        </w:tc>
        <w:tc>
          <w:tcPr>
            <w:tcW w:w="400" w:type="dxa"/>
            <w:vAlign w:val="bottom"/>
          </w:tcPr>
          <w:p>
            <w:pPr>
              <w:spacing w:after="0"/>
              <w:rPr>
                <w:sz w:val="20"/>
                <w:szCs w:val="20"/>
                <w:color w:val="auto"/>
              </w:rPr>
            </w:pP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0.02</w:t>
            </w: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At March 31, 2018, cash, cash equivalents and investments were $16.1 million, as compared with $18.6 million at December 31, 2017. The Company continued to have no debt.</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Q1 of 2018, the Company paid a cash dividend of $0.07 per share and repurchased approximately 17,500 shares amounting to $0.1 million. As of March 31, 2018, the Company had acquired approximately 1.1 million shares amounting to $11.4 million since this program commenced in March 2016.</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has decided not to renew the repurchase program which terminated in March 2018. The Board also has decided to suspend the dividend program.</w:t>
      </w:r>
    </w:p>
    <w:p>
      <w:pPr>
        <w:sectPr>
          <w:pgSz w:w="11900" w:h="16838" w:orient="portrait"/>
          <w:cols w:equalWidth="0" w:num="1">
            <w:col w:w="11420"/>
          </w:cols>
          <w:pgMar w:left="240" w:top="580"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communications. The performance and simplicity of its advanced comprehensive solutions offer unprecedented levels scalability. More information about the Company can be found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hanging="4"/>
        <w:spacing w:after="0" w:line="277" w:lineRule="auto"/>
        <w:rPr>
          <w:sz w:val="20"/>
          <w:szCs w:val="20"/>
          <w:color w:val="auto"/>
        </w:rPr>
      </w:pPr>
      <w:r>
        <w:rPr>
          <w:rFonts w:ascii="Arial" w:cs="Arial" w:eastAsia="Arial" w:hAnsi="Arial"/>
          <w:sz w:val="18"/>
          <w:szCs w:val="18"/>
          <w:color w:val="auto"/>
        </w:rPr>
        <w:t>solutions for voice and visual of functionality, reliability and</w:t>
      </w:r>
    </w:p>
    <w:p>
      <w:pPr>
        <w:spacing w:after="0" w:line="382" w:lineRule="exact"/>
        <w:rPr>
          <w:sz w:val="20"/>
          <w:szCs w:val="20"/>
          <w:color w:val="auto"/>
        </w:rPr>
      </w:pPr>
    </w:p>
    <w:p>
      <w:pPr>
        <w:sectPr>
          <w:pgSz w:w="11900" w:h="16838" w:orient="portrait"/>
          <w:cols w:equalWidth="0" w:num="2">
            <w:col w:w="9000" w:space="80"/>
            <w:col w:w="2340"/>
          </w:cols>
          <w:pgMar w:left="240" w:top="580"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 In particular, the financial information contained herein is subject to and qualified by reference to the financial statements contained in the 10-K, the footnotes thereto and the limitations set forth therein. Investors may not rely on the press release without reference to the 10-K and the Public Filings.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ind w:right="6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(Dollars in thousands, except par value)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ind w:left="1280"/>
              <w:spacing w:after="0"/>
              <w:rPr>
                <w:sz w:val="20"/>
                <w:szCs w:val="20"/>
                <w:color w:val="auto"/>
              </w:rPr>
            </w:pPr>
            <w:r>
              <w:rPr>
                <w:rFonts w:ascii="Arial" w:cs="Arial" w:eastAsia="Arial" w:hAnsi="Arial"/>
                <w:sz w:val="18"/>
                <w:szCs w:val="18"/>
                <w:b w:val="1"/>
                <w:bCs w:val="1"/>
                <w:color w:val="auto"/>
              </w:rPr>
              <w:t>As at</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March 31, 2018</w:t>
            </w:r>
          </w:p>
        </w:tc>
        <w:tc>
          <w:tcPr>
            <w:tcW w:w="8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5,577</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3,132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$491 and $472, respectively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6,247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14,622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1,963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31,541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7,416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1,481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7,227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64,186</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4,295</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1,975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6,552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tcPr>
          <w:p>
            <w:pPr>
              <w:spacing w:after="0" w:line="201" w:lineRule="exact"/>
              <w:rPr>
                <w:sz w:val="20"/>
                <w:szCs w:val="20"/>
                <w:color w:val="auto"/>
              </w:rPr>
            </w:pPr>
            <w:r>
              <w:rPr>
                <w:rFonts w:ascii="Arial" w:cs="Arial" w:eastAsia="Arial" w:hAnsi="Arial"/>
                <w:sz w:val="18"/>
                <w:szCs w:val="18"/>
                <w:color w:val="auto"/>
                <w:w w:val="90"/>
              </w:rPr>
              <w:t>Common stock, par value $0.001, 50,000,000 shares authorized, 8,301,273 and 8,319,022 shares issued and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47,612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56,874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64,186</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4</w:t>
      </w:r>
      <w:r>
        <w:rPr>
          <w:rFonts w:ascii="Arial" w:cs="Arial" w:eastAsia="Arial" w:hAnsi="Arial"/>
          <w:sz w:val="22"/>
          <w:szCs w:val="22"/>
          <w:color w:val="auto"/>
        </w:rPr>
        <w:t xml:space="preserve"> of </w:t>
      </w:r>
      <w:r>
        <w:rPr>
          <w:rFonts w:ascii="Arial" w:cs="Arial" w:eastAsia="Arial" w:hAnsi="Arial"/>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30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5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Cost of goods sold</w:t>
            </w:r>
          </w:p>
        </w:tc>
        <w:tc>
          <w:tcPr>
            <w:tcW w:w="2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3,190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Sales and marketing</w:t>
            </w:r>
          </w:p>
        </w:tc>
        <w:tc>
          <w:tcPr>
            <w:tcW w:w="2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2,868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1,617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(2,442)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(2,418)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2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Basic weighted average shares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Diluted weighted average shares outstanding</w:t>
      </w:r>
    </w:p>
    <w:p>
      <w:pPr>
        <w:spacing w:after="0" w:line="20" w:lineRule="exact"/>
        <w:rPr>
          <w:sz w:val="20"/>
          <w:szCs w:val="20"/>
          <w:color w:val="auto"/>
        </w:rPr>
      </w:pPr>
      <w:r>
        <w:rPr>
          <w:sz w:val="20"/>
          <w:szCs w:val="20"/>
          <w:color w:val="auto"/>
        </w:rPr>
        <w:br w:type="column"/>
      </w:r>
    </w:p>
    <w:p>
      <w:pPr>
        <w:spacing w:after="0"/>
        <w:tabs>
          <w:tab w:leader="none" w:pos="1020" w:val="left"/>
          <w:tab w:leader="none" w:pos="1700" w:val="left"/>
          <w:tab w:leader="none" w:pos="2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(1,846)</w:t>
        <w:tab/>
        <w:t>$</w:t>
      </w:r>
      <w:r>
        <w:rPr>
          <w:sz w:val="20"/>
          <w:szCs w:val="20"/>
          <w:color w:val="auto"/>
        </w:rPr>
        <w:tab/>
      </w:r>
      <w:r>
        <w:rPr>
          <w:rFonts w:ascii="Arial" w:cs="Arial" w:eastAsia="Arial" w:hAnsi="Arial"/>
          <w:sz w:val="17"/>
          <w:szCs w:val="17"/>
          <w:color w:val="auto"/>
        </w:rPr>
        <w:t>(468)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-130175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6" w:lineRule="exact"/>
        <w:rPr>
          <w:sz w:val="20"/>
          <w:szCs w:val="20"/>
          <w:color w:val="auto"/>
        </w:rPr>
      </w:pPr>
    </w:p>
    <w:p>
      <w:pPr>
        <w:ind w:left="780"/>
        <w:spacing w:after="0"/>
        <w:tabs>
          <w:tab w:leader="none" w:pos="2460" w:val="left"/>
        </w:tabs>
        <w:rPr>
          <w:sz w:val="20"/>
          <w:szCs w:val="20"/>
          <w:color w:val="auto"/>
        </w:rPr>
      </w:pPr>
      <w:r>
        <w:rPr>
          <w:rFonts w:ascii="Arial" w:cs="Arial" w:eastAsia="Arial" w:hAnsi="Arial"/>
          <w:sz w:val="17"/>
          <w:szCs w:val="17"/>
          <w:color w:val="auto"/>
        </w:rPr>
        <w:t>8,307,125</w:t>
      </w:r>
      <w:r>
        <w:rPr>
          <w:sz w:val="20"/>
          <w:szCs w:val="20"/>
          <w:color w:val="auto"/>
        </w:rPr>
        <w:tab/>
      </w:r>
      <w:r>
        <w:rPr>
          <w:rFonts w:ascii="Arial" w:cs="Arial" w:eastAsia="Arial" w:hAnsi="Arial"/>
          <w:sz w:val="17"/>
          <w:szCs w:val="17"/>
          <w:color w:val="auto"/>
        </w:rPr>
        <w:t>8,768,112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-114300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 w:lineRule="exact"/>
        <w:rPr>
          <w:sz w:val="20"/>
          <w:szCs w:val="20"/>
          <w:color w:val="auto"/>
        </w:rPr>
      </w:pPr>
    </w:p>
    <w:p>
      <w:pPr>
        <w:ind w:left="780"/>
        <w:spacing w:after="0"/>
        <w:tabs>
          <w:tab w:leader="none" w:pos="2460" w:val="left"/>
        </w:tabs>
        <w:rPr>
          <w:sz w:val="20"/>
          <w:szCs w:val="20"/>
          <w:color w:val="auto"/>
        </w:rPr>
      </w:pPr>
      <w:r>
        <w:rPr>
          <w:rFonts w:ascii="Arial" w:cs="Arial" w:eastAsia="Arial" w:hAnsi="Arial"/>
          <w:sz w:val="17"/>
          <w:szCs w:val="17"/>
          <w:color w:val="auto"/>
        </w:rPr>
        <w:t>8,307,125</w:t>
      </w:r>
      <w:r>
        <w:rPr>
          <w:sz w:val="20"/>
          <w:szCs w:val="20"/>
          <w:color w:val="auto"/>
        </w:rPr>
        <w:tab/>
      </w:r>
      <w:r>
        <w:rPr>
          <w:rFonts w:ascii="Arial" w:cs="Arial" w:eastAsia="Arial" w:hAnsi="Arial"/>
          <w:sz w:val="17"/>
          <w:szCs w:val="17"/>
          <w:color w:val="auto"/>
        </w:rPr>
        <w:t>8,768,112</w:t>
      </w:r>
    </w:p>
    <w:p>
      <w:pPr>
        <w:spacing w:after="0" w:line="41" w:lineRule="exact"/>
        <w:rPr>
          <w:sz w:val="20"/>
          <w:szCs w:val="20"/>
          <w:color w:val="auto"/>
        </w:rPr>
      </w:pPr>
    </w:p>
    <w:p>
      <w:pPr>
        <w:sectPr>
          <w:pgSz w:w="11900" w:h="16838" w:orient="portrait"/>
          <w:cols w:equalWidth="0" w:num="2">
            <w:col w:w="7400" w:space="720"/>
            <w:col w:w="330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Basic loss per share</w:t>
            </w:r>
          </w:p>
        </w:tc>
        <w:tc>
          <w:tcPr>
            <w:tcW w:w="2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(0.22)</w:t>
            </w:r>
          </w:p>
        </w:tc>
        <w:tc>
          <w:tcPr>
            <w:tcW w:w="6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2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(0.22)</w:t>
            </w:r>
          </w:p>
        </w:tc>
        <w:tc>
          <w:tcPr>
            <w:tcW w:w="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Unrealized gain (loss) on available-for-sale securities, net of tax</w:t>
            </w: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1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5</w:t>
      </w:r>
      <w:r>
        <w:rPr>
          <w:rFonts w:ascii="Arial" w:cs="Arial" w:eastAsia="Arial" w:hAnsi="Arial"/>
          <w:sz w:val="22"/>
          <w:szCs w:val="22"/>
          <w:color w:val="auto"/>
        </w:rPr>
        <w:t xml:space="preserve"> of </w:t>
      </w:r>
      <w:r>
        <w:rPr>
          <w:rFonts w:ascii="Arial" w:cs="Arial" w:eastAsia="Arial" w:hAnsi="Arial"/>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gross profit</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gross profit</w:t>
            </w:r>
          </w:p>
        </w:tc>
        <w:tc>
          <w:tcPr>
            <w:tcW w:w="5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operating income (loss)</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w w:val="95"/>
              </w:rPr>
              <w:t>Legal expenses, acquisition expenses, restructuring expenses, etc. not related to regular operations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operating income (loss)</w:t>
            </w:r>
          </w:p>
        </w:tc>
        <w:tc>
          <w:tcPr>
            <w:tcW w:w="5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income (loss)</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w w:val="95"/>
              </w:rPr>
              <w:t>Legal expenses, acquisition expenses, restructuring expenses, etc. not related to regular operations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non-GAAP adjustments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Non-GAAP net income (loss)</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(1,466)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GAAP net income (loss)</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(1,846)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computing GAAP income per share (diluted)</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8,307,125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8,768,112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GAAP income (loss) per share (diluted)</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(0.22)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Number of shares used in computing Non-GAAP income per share (diluted)</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8,307,125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8,768,112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income (loss) per share (diluted)</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total net income (loss)</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w w:val="95"/>
              </w:rPr>
              <w:t>Legal expenses, acquisition expenses, restructuring expenses, etc. not related to regular operations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Adjusted EBITDA</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2019-12-28T21:39:43Z</dcterms:created>
  <dcterms:modified xsi:type="dcterms:W3CDTF">2019-12-28T21:39:43Z</dcterms:modified>
</cp:coreProperties>
</file>