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color w:val="auto"/>
        </w:rPr>
        <w:t>July 7, 2020</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100 F Street, N.E.</w:t>
      </w:r>
    </w:p>
    <w:p>
      <w:pPr>
        <w:spacing w:after="0"/>
        <w:rPr>
          <w:sz w:val="20"/>
          <w:szCs w:val="20"/>
          <w:color w:val="auto"/>
        </w:rPr>
      </w:pPr>
      <w:r>
        <w:rPr>
          <w:rFonts w:ascii="Arial" w:cs="Arial" w:eastAsia="Arial" w:hAnsi="Arial"/>
          <w:sz w:val="22"/>
          <w:szCs w:val="22"/>
          <w:color w:val="auto"/>
        </w:rPr>
        <w:t>Washington, D.C. 20549</w:t>
      </w:r>
    </w:p>
    <w:p>
      <w:pPr>
        <w:spacing w:after="0" w:line="223" w:lineRule="exact"/>
        <w:rPr>
          <w:sz w:val="24"/>
          <w:szCs w:val="24"/>
          <w:color w:val="auto"/>
        </w:rPr>
      </w:pPr>
    </w:p>
    <w:p>
      <w:pPr>
        <w:ind w:left="600"/>
        <w:spacing w:after="0"/>
        <w:tabs>
          <w:tab w:leader="none" w:pos="106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19"/>
          <w:szCs w:val="19"/>
          <w:b w:val="1"/>
          <w:bCs w:val="1"/>
          <w:color w:val="auto"/>
        </w:rPr>
        <w:t>ClearOne, Inc. (the “Company”)</w:t>
      </w:r>
    </w:p>
    <w:p>
      <w:pPr>
        <w:spacing w:after="0" w:line="44" w:lineRule="exact"/>
        <w:rPr>
          <w:sz w:val="24"/>
          <w:szCs w:val="24"/>
          <w:color w:val="auto"/>
        </w:rPr>
      </w:pPr>
    </w:p>
    <w:p>
      <w:pPr>
        <w:ind w:left="1080"/>
        <w:spacing w:after="0"/>
        <w:rPr>
          <w:sz w:val="20"/>
          <w:szCs w:val="20"/>
          <w:color w:val="auto"/>
        </w:rPr>
      </w:pPr>
      <w:r>
        <w:rPr>
          <w:rFonts w:ascii="Arial" w:cs="Arial" w:eastAsia="Arial" w:hAnsi="Arial"/>
          <w:sz w:val="22"/>
          <w:szCs w:val="22"/>
          <w:b w:val="1"/>
          <w:bCs w:val="1"/>
          <w:color w:val="auto"/>
        </w:rPr>
        <w:t>Pre-Effective Amendment No. 2 to Registration Statement on Form S-3</w:t>
      </w:r>
    </w:p>
    <w:p>
      <w:pPr>
        <w:spacing w:after="0" w:line="44" w:lineRule="exact"/>
        <w:rPr>
          <w:sz w:val="24"/>
          <w:szCs w:val="24"/>
          <w:color w:val="auto"/>
        </w:rPr>
      </w:pPr>
    </w:p>
    <w:p>
      <w:pPr>
        <w:ind w:left="1080"/>
        <w:spacing w:after="0"/>
        <w:rPr>
          <w:sz w:val="20"/>
          <w:szCs w:val="20"/>
          <w:color w:val="auto"/>
        </w:rPr>
      </w:pPr>
      <w:r>
        <w:rPr>
          <w:rFonts w:ascii="Arial" w:cs="Arial" w:eastAsia="Arial" w:hAnsi="Arial"/>
          <w:sz w:val="22"/>
          <w:szCs w:val="22"/>
          <w:b w:val="1"/>
          <w:bCs w:val="1"/>
          <w:color w:val="auto"/>
        </w:rPr>
        <w:t>(File No. 333-</w:t>
      </w:r>
    </w:p>
    <w:p>
      <w:pPr>
        <w:spacing w:after="0" w:line="14" w:lineRule="exact"/>
        <w:rPr>
          <w:sz w:val="24"/>
          <w:szCs w:val="24"/>
          <w:color w:val="auto"/>
        </w:rPr>
      </w:pPr>
    </w:p>
    <w:p>
      <w:pPr>
        <w:ind w:left="1080"/>
        <w:spacing w:after="0"/>
        <w:rPr>
          <w:sz w:val="20"/>
          <w:szCs w:val="20"/>
          <w:color w:val="auto"/>
        </w:rPr>
      </w:pPr>
      <w:r>
        <w:rPr>
          <w:rFonts w:ascii="Arial" w:cs="Arial" w:eastAsia="Arial" w:hAnsi="Arial"/>
          <w:sz w:val="22"/>
          <w:szCs w:val="22"/>
          <w:b w:val="1"/>
          <w:bCs w:val="1"/>
          <w:color w:val="auto"/>
        </w:rPr>
        <w:t>238085)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681990</wp:posOffset>
            </wp:positionH>
            <wp:positionV relativeFrom="paragraph">
              <wp:posOffset>4445</wp:posOffset>
            </wp:positionV>
            <wp:extent cx="12941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130" cy="1714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4"/>
          <w:szCs w:val="24"/>
          <w:color w:val="auto"/>
        </w:rPr>
      </w:pPr>
    </w:p>
    <w:p>
      <w:pPr>
        <w:jc w:val="both"/>
        <w:ind w:firstLine="630"/>
        <w:spacing w:after="0" w:line="238" w:lineRule="auto"/>
        <w:rPr>
          <w:sz w:val="20"/>
          <w:szCs w:val="20"/>
          <w:color w:val="auto"/>
        </w:rPr>
      </w:pPr>
      <w:r>
        <w:rPr>
          <w:rFonts w:ascii="Arial" w:cs="Arial" w:eastAsia="Arial" w:hAnsi="Arial"/>
          <w:sz w:val="22"/>
          <w:szCs w:val="22"/>
          <w:color w:val="auto"/>
        </w:rPr>
        <w:t xml:space="preserve">Pursuant to Rule 461 of the General Rules and Regulations under the Securities Act of 1933, as amended, the Company hereby requests that the effective date of the above-captioned Registration Statement be accelerated so that the Registration Statement may become effective at </w:t>
      </w:r>
      <w:r>
        <w:rPr>
          <w:rFonts w:ascii="Arial" w:cs="Arial" w:eastAsia="Arial" w:hAnsi="Arial"/>
          <w:sz w:val="22"/>
          <w:szCs w:val="22"/>
          <w:b w:val="1"/>
          <w:bCs w:val="1"/>
          <w:color w:val="auto"/>
        </w:rPr>
        <w:t>5:00 p.m.</w:t>
      </w:r>
      <w:r>
        <w:rPr>
          <w:rFonts w:ascii="Arial" w:cs="Arial" w:eastAsia="Arial" w:hAnsi="Arial"/>
          <w:sz w:val="22"/>
          <w:szCs w:val="22"/>
          <w:color w:val="auto"/>
        </w:rPr>
        <w:t xml:space="preserve"> Eastern Daylight Time, on </w:t>
      </w:r>
      <w:r>
        <w:rPr>
          <w:rFonts w:ascii="Arial" w:cs="Arial" w:eastAsia="Arial" w:hAnsi="Arial"/>
          <w:sz w:val="22"/>
          <w:szCs w:val="22"/>
          <w:b w:val="1"/>
          <w:bCs w:val="1"/>
          <w:color w:val="auto"/>
        </w:rPr>
        <w:t>Thursday, July 9, 2020</w:t>
      </w:r>
      <w:r>
        <w:rPr>
          <w:rFonts w:ascii="Arial" w:cs="Arial" w:eastAsia="Arial" w:hAnsi="Arial"/>
          <w:sz w:val="22"/>
          <w:szCs w:val="22"/>
          <w:color w:val="auto"/>
        </w:rPr>
        <w:t xml:space="preserve"> or as soon thereafter as practicable.</w:t>
      </w:r>
    </w:p>
    <w:p>
      <w:pPr>
        <w:spacing w:after="0" w:line="212" w:lineRule="exact"/>
        <w:rPr>
          <w:sz w:val="24"/>
          <w:szCs w:val="24"/>
          <w:color w:val="auto"/>
        </w:rPr>
      </w:pPr>
    </w:p>
    <w:p>
      <w:pPr>
        <w:ind w:left="640"/>
        <w:spacing w:after="0"/>
        <w:rPr>
          <w:sz w:val="20"/>
          <w:szCs w:val="20"/>
          <w:color w:val="auto"/>
        </w:rPr>
      </w:pPr>
      <w:r>
        <w:rPr>
          <w:rFonts w:ascii="Arial" w:cs="Arial" w:eastAsia="Arial" w:hAnsi="Arial"/>
          <w:sz w:val="22"/>
          <w:szCs w:val="22"/>
          <w:color w:val="auto"/>
        </w:rPr>
        <w:t>In connection herewith, the Company hereby acknowledges that:</w:t>
      </w:r>
    </w:p>
    <w:p>
      <w:pPr>
        <w:spacing w:after="0" w:line="112" w:lineRule="exact"/>
        <w:rPr>
          <w:sz w:val="24"/>
          <w:szCs w:val="24"/>
          <w:color w:val="auto"/>
        </w:rPr>
      </w:pPr>
    </w:p>
    <w:p>
      <w:pPr>
        <w:ind w:left="1100" w:right="160" w:hanging="282"/>
        <w:spacing w:after="0"/>
        <w:tabs>
          <w:tab w:leader="none" w:pos="1100" w:val="left"/>
        </w:tabs>
        <w:numPr>
          <w:ilvl w:val="0"/>
          <w:numId w:val="1"/>
        </w:numPr>
        <w:rPr>
          <w:rFonts w:ascii="Arial" w:cs="Arial" w:eastAsia="Arial" w:hAnsi="Arial"/>
          <w:sz w:val="22"/>
          <w:szCs w:val="22"/>
          <w:color w:val="auto"/>
        </w:rPr>
      </w:pPr>
      <w:r>
        <w:rPr>
          <w:rFonts w:ascii="Arial" w:cs="Arial" w:eastAsia="Arial" w:hAnsi="Arial"/>
          <w:sz w:val="22"/>
          <w:szCs w:val="22"/>
          <w:color w:val="auto"/>
        </w:rPr>
        <w:t>Should the Securities and Exchange Commission (the “Commission”), or the Commissions staff, acting pursuant to delegated authority, declare the filing effective, it does not foreclose the Commission from taking any action with respect to the filing;</w:t>
      </w:r>
    </w:p>
    <w:p>
      <w:pPr>
        <w:spacing w:after="0" w:line="91" w:lineRule="exact"/>
        <w:rPr>
          <w:rFonts w:ascii="Arial" w:cs="Arial" w:eastAsia="Arial" w:hAnsi="Arial"/>
          <w:sz w:val="22"/>
          <w:szCs w:val="22"/>
          <w:color w:val="auto"/>
        </w:rPr>
      </w:pPr>
    </w:p>
    <w:p>
      <w:pPr>
        <w:ind w:left="1100" w:right="340" w:hanging="282"/>
        <w:spacing w:after="0"/>
        <w:tabs>
          <w:tab w:leader="none" w:pos="110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05" w:lineRule="exact"/>
        <w:rPr>
          <w:rFonts w:ascii="Arial" w:cs="Arial" w:eastAsia="Arial" w:hAnsi="Arial"/>
          <w:sz w:val="22"/>
          <w:szCs w:val="22"/>
          <w:color w:val="auto"/>
        </w:rPr>
      </w:pPr>
    </w:p>
    <w:p>
      <w:pPr>
        <w:jc w:val="both"/>
        <w:ind w:left="1120" w:right="200" w:hanging="302"/>
        <w:spacing w:after="0"/>
        <w:tabs>
          <w:tab w:leader="none" w:pos="112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Company may not assert comments from the Commission or the staff or the declaration of effectiveness of the above-captioned Registration Statement as a defense in any proceeding initiated by the Commission or any person under the federal securities laws of the United States.</w:t>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60"/>
        <w:spacing w:after="0"/>
        <w:rPr>
          <w:sz w:val="20"/>
          <w:szCs w:val="20"/>
          <w:color w:val="auto"/>
        </w:rPr>
      </w:pPr>
      <w:r>
        <w:rPr>
          <w:rFonts w:ascii="Arial" w:cs="Arial" w:eastAsia="Arial" w:hAnsi="Arial"/>
          <w:sz w:val="22"/>
          <w:szCs w:val="22"/>
          <w:color w:val="auto"/>
        </w:rPr>
        <w:t>Sincerely,</w:t>
      </w:r>
    </w:p>
    <w:p>
      <w:pPr>
        <w:spacing w:after="0" w:line="362" w:lineRule="exact"/>
        <w:rPr>
          <w:sz w:val="24"/>
          <w:szCs w:val="24"/>
          <w:color w:val="auto"/>
        </w:rPr>
      </w:pPr>
    </w:p>
    <w:p>
      <w:pPr>
        <w:ind w:left="5120"/>
        <w:spacing w:after="0"/>
        <w:rPr>
          <w:sz w:val="20"/>
          <w:szCs w:val="20"/>
          <w:color w:val="auto"/>
        </w:rPr>
      </w:pPr>
      <w:r>
        <w:rPr>
          <w:rFonts w:ascii="Arial" w:cs="Arial" w:eastAsia="Arial" w:hAnsi="Arial"/>
          <w:sz w:val="22"/>
          <w:szCs w:val="22"/>
          <w:b w:val="1"/>
          <w:bCs w:val="1"/>
          <w:color w:val="auto"/>
        </w:rPr>
        <w:t>CLEARONE, INC.</w:t>
      </w:r>
    </w:p>
    <w:p>
      <w:pPr>
        <w:spacing w:after="0" w:line="347" w:lineRule="exact"/>
        <w:rPr>
          <w:sz w:val="24"/>
          <w:szCs w:val="24"/>
          <w:color w:val="auto"/>
        </w:rPr>
      </w:pPr>
    </w:p>
    <w:p>
      <w:pPr>
        <w:ind w:left="5120"/>
        <w:spacing w:after="0"/>
        <w:tabs>
          <w:tab w:leader="none" w:pos="6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Zeynep Hakimoglu</w:t>
      </w:r>
    </w:p>
    <w:p>
      <w:pPr>
        <w:spacing w:after="0" w:line="44" w:lineRule="exact"/>
        <w:rPr>
          <w:sz w:val="24"/>
          <w:szCs w:val="24"/>
          <w:color w:val="auto"/>
        </w:rPr>
      </w:pPr>
    </w:p>
    <w:p>
      <w:pPr>
        <w:ind w:left="6200"/>
        <w:spacing w:after="0"/>
        <w:rPr>
          <w:sz w:val="20"/>
          <w:szCs w:val="20"/>
          <w:color w:val="auto"/>
        </w:rPr>
      </w:pPr>
      <w:r>
        <w:rPr>
          <w:rFonts w:ascii="Arial" w:cs="Arial" w:eastAsia="Arial" w:hAnsi="Arial"/>
          <w:sz w:val="22"/>
          <w:szCs w:val="22"/>
          <w:color w:val="auto"/>
        </w:rPr>
        <w:t>Name: Zeynep Hakimoglu</w:t>
      </w:r>
    </w:p>
    <w:p>
      <w:pPr>
        <w:spacing w:after="0" w:line="44" w:lineRule="exact"/>
        <w:rPr>
          <w:sz w:val="24"/>
          <w:szCs w:val="24"/>
          <w:color w:val="auto"/>
        </w:rPr>
      </w:pPr>
    </w:p>
    <w:p>
      <w:pPr>
        <w:ind w:left="6200"/>
        <w:spacing w:after="0"/>
        <w:rPr>
          <w:sz w:val="20"/>
          <w:szCs w:val="20"/>
          <w:color w:val="auto"/>
        </w:rPr>
      </w:pPr>
      <w:r>
        <w:rPr>
          <w:rFonts w:ascii="Arial" w:cs="Arial" w:eastAsia="Arial" w:hAnsi="Arial"/>
          <w:sz w:val="22"/>
          <w:szCs w:val="22"/>
          <w:color w:val="auto"/>
        </w:rPr>
        <w:t>Title: Chief Executive Officer</w:t>
      </w:r>
    </w:p>
    <w:sectPr>
      <w:pgSz w:w="11900" w:h="16838" w:orient="portrait"/>
      <w:cols w:equalWidth="0" w:num="1">
        <w:col w:w="11240"/>
      </w:cols>
      <w:pgMar w:left="320" w:top="2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2020-08-06T23:05:03Z</dcterms:created>
  <dcterms:modified xsi:type="dcterms:W3CDTF">2020-08-06T23:05:03Z</dcterms:modified>
</cp:coreProperties>
</file>