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Proxy Statement Pursuant to Section 14(a)</w:t>
      </w:r>
    </w:p>
    <w:p>
      <w:pPr>
        <w:jc w:val="center"/>
        <w:ind w:right="219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jc w:val="center"/>
        <w:ind w:right="1999"/>
        <w:spacing w:after="0"/>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3" w:lineRule="exact"/>
        <w:rPr>
          <w:sz w:val="24"/>
          <w:szCs w:val="24"/>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Filed by the Registrant</w:t>
        <w:tab/>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Preliminary Proxy Statement</w:t>
      </w:r>
    </w:p>
    <w:p>
      <w:pPr>
        <w:spacing w:after="0" w:line="207" w:lineRule="exact"/>
        <w:rPr>
          <w:sz w:val="24"/>
          <w:szCs w:val="24"/>
          <w:color w:val="auto"/>
        </w:rPr>
      </w:pPr>
    </w:p>
    <w:p>
      <w:pPr>
        <w:ind w:left="540" w:right="2739"/>
        <w:spacing w:after="0" w:line="235"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ind w:left="540" w:hanging="321"/>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Definitive Additional Materials</w:t>
      </w:r>
    </w:p>
    <w:p>
      <w:pPr>
        <w:spacing w:after="0" w:line="201" w:lineRule="exact"/>
        <w:rPr>
          <w:sz w:val="24"/>
          <w:szCs w:val="24"/>
          <w:color w:val="auto"/>
        </w:rPr>
      </w:pPr>
    </w:p>
    <w:p>
      <w:pPr>
        <w:ind w:left="540"/>
        <w:spacing w:after="0"/>
        <w:tabs>
          <w:tab w:leader="none" w:pos="4420" w:val="left"/>
          <w:tab w:leader="none" w:pos="6720" w:val="left"/>
        </w:tabs>
        <w:rPr>
          <w:sz w:val="20"/>
          <w:szCs w:val="20"/>
          <w:color w:val="auto"/>
        </w:rPr>
      </w:pPr>
      <w:r>
        <w:rPr>
          <w:rFonts w:ascii="Courier New" w:cs="Courier New" w:eastAsia="Courier New" w:hAnsi="Courier New"/>
          <w:sz w:val="18"/>
          <w:szCs w:val="18"/>
          <w:color w:val="auto"/>
        </w:rPr>
        <w:t>Soliciting Material Pursuant to</w:t>
      </w:r>
      <w:r>
        <w:rPr>
          <w:sz w:val="20"/>
          <w:szCs w:val="20"/>
          <w:color w:val="auto"/>
        </w:rPr>
        <w:tab/>
      </w:r>
      <w:r>
        <w:rPr>
          <w:rFonts w:ascii="Courier New" w:cs="Courier New" w:eastAsia="Courier New" w:hAnsi="Courier New"/>
          <w:sz w:val="18"/>
          <w:szCs w:val="18"/>
          <w:color w:val="auto"/>
        </w:rPr>
        <w:t>240.14a-11(c) or</w:t>
      </w:r>
      <w:r>
        <w:rPr>
          <w:sz w:val="20"/>
          <w:szCs w:val="20"/>
          <w:color w:val="auto"/>
        </w:rPr>
        <w:tab/>
      </w:r>
      <w:r>
        <w:rPr>
          <w:rFonts w:ascii="Courier New" w:cs="Courier New" w:eastAsia="Courier New" w:hAnsi="Courier New"/>
          <w:sz w:val="16"/>
          <w:szCs w:val="16"/>
          <w:color w:val="auto"/>
        </w:rPr>
        <w:t>240.14a-12</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(Name of Person(s) Filing Proxy Statement if other than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Fee computed on table below per Exchange Act Rules 14a-6(i)(4) and 0-11.</w:t>
      </w:r>
    </w:p>
    <w:p>
      <w:pPr>
        <w:spacing w:after="0" w:line="218" w:lineRule="exact"/>
        <w:rPr>
          <w:sz w:val="24"/>
          <w:szCs w:val="24"/>
          <w:color w:val="auto"/>
        </w:rPr>
      </w:pPr>
    </w:p>
    <w:p>
      <w:pPr>
        <w:ind w:left="1280" w:hanging="745"/>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649" w:right="1440" w:bottom="1440" w:gutter="0" w:footer="0" w:header="0"/>
        </w:sectPr>
      </w:pPr>
    </w:p>
    <w:bookmarkStart w:id="1" w:name="page2"/>
    <w:bookmarkEnd w:id="1"/>
    <w:p>
      <w:pPr>
        <w:ind w:left="1280" w:hanging="745"/>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right="2199" w:firstLine="535"/>
        <w:spacing w:after="0" w:line="236"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099"/>
        <w:spacing w:after="0" w:line="268" w:lineRule="auto"/>
        <w:rPr>
          <w:sz w:val="20"/>
          <w:szCs w:val="20"/>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w:t>
      </w:r>
    </w:p>
    <w:p>
      <w:pPr>
        <w:ind w:right="2619"/>
        <w:spacing w:after="0" w:line="235" w:lineRule="auto"/>
        <w:rPr>
          <w:sz w:val="20"/>
          <w:szCs w:val="20"/>
          <w:color w:val="auto"/>
        </w:rPr>
      </w:pPr>
      <w:r>
        <w:rPr>
          <w:rFonts w:ascii="Courier New" w:cs="Courier New" w:eastAsia="Courier New" w:hAnsi="Courier New"/>
          <w:sz w:val="18"/>
          <w:szCs w:val="18"/>
          <w:color w:val="auto"/>
        </w:rPr>
        <w:t>paid previously. Identify the previous filing by registration statement number, or the Form or Schedule and the date of its filing.</w:t>
      </w:r>
    </w:p>
    <w:p>
      <w:pPr>
        <w:spacing w:after="0" w:line="203" w:lineRule="exact"/>
        <w:rPr>
          <w:sz w:val="20"/>
          <w:szCs w:val="20"/>
          <w:color w:val="auto"/>
        </w:rPr>
      </w:pPr>
    </w:p>
    <w:p>
      <w:pPr>
        <w:ind w:left="1280" w:hanging="745"/>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000"/>
        <w:spacing w:after="0" w:line="238" w:lineRule="auto"/>
        <w:rPr>
          <w:sz w:val="20"/>
          <w:szCs w:val="20"/>
          <w:color w:val="auto"/>
        </w:rPr>
      </w:pPr>
      <w:r>
        <w:rPr>
          <w:rFonts w:ascii="Courier New" w:cs="Courier New" w:eastAsia="Courier New" w:hAnsi="Courier New"/>
          <w:sz w:val="18"/>
          <w:szCs w:val="18"/>
          <w:color w:val="auto"/>
        </w:rPr>
        <w:t>NOTICE OF ANNUAL MEETING OF SHAREHOLDERS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October 23,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Shareholders of Gentner Communications Corporation (the "Company"), a Utah Corporation, will be held on November 21, at 3:00 P.M., local time, at the corporate offices located at 1825 Research Way, Salt Lake City, Utah 84119 for the following purposes:</w:t>
      </w:r>
    </w:p>
    <w:p>
      <w:pPr>
        <w:spacing w:after="0" w:line="203" w:lineRule="exact"/>
        <w:rPr>
          <w:sz w:val="20"/>
          <w:szCs w:val="20"/>
          <w:color w:val="auto"/>
        </w:rPr>
      </w:pPr>
    </w:p>
    <w:p>
      <w:pPr>
        <w:ind w:left="1280" w:hanging="745"/>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six members of the Company's Board of Directors;</w:t>
      </w:r>
    </w:p>
    <w:p>
      <w:pPr>
        <w:spacing w:after="0" w:line="206" w:lineRule="exact"/>
        <w:rPr>
          <w:rFonts w:ascii="Courier New" w:cs="Courier New" w:eastAsia="Courier New" w:hAnsi="Courier New"/>
          <w:sz w:val="18"/>
          <w:szCs w:val="18"/>
          <w:color w:val="auto"/>
        </w:rPr>
      </w:pPr>
    </w:p>
    <w:p>
      <w:pPr>
        <w:ind w:left="1280" w:right="2199" w:hanging="745"/>
        <w:spacing w:after="0" w:line="470"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the Company's independent auditors; and</w:t>
      </w:r>
    </w:p>
    <w:p>
      <w:pPr>
        <w:spacing w:after="0" w:line="11" w:lineRule="exact"/>
        <w:rPr>
          <w:rFonts w:ascii="Courier New" w:cs="Courier New" w:eastAsia="Courier New" w:hAnsi="Courier New"/>
          <w:sz w:val="18"/>
          <w:szCs w:val="18"/>
          <w:color w:val="auto"/>
        </w:rPr>
      </w:pPr>
    </w:p>
    <w:p>
      <w:pPr>
        <w:ind w:right="2319" w:firstLine="535"/>
        <w:spacing w:after="0" w:line="235"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Only the shareholders of record at the close of business on October 15, 1997 are entitled to notice of and to vote at the meeting and any adjournment thereof.</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previously returned a proxy.</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Russell D. Gentner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Russell D. Gentner, Chairman and</w:t>
      </w:r>
    </w:p>
    <w:p>
      <w:pPr>
        <w:ind w:left="31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800"/>
        <w:spacing w:after="0"/>
        <w:rPr>
          <w:sz w:val="20"/>
          <w:szCs w:val="20"/>
          <w:color w:val="auto"/>
        </w:rPr>
      </w:pPr>
      <w:r>
        <w:rPr>
          <w:rFonts w:ascii="Courier New" w:cs="Courier New" w:eastAsia="Courier New" w:hAnsi="Courier New"/>
          <w:sz w:val="18"/>
          <w:szCs w:val="18"/>
          <w:color w:val="auto"/>
        </w:rPr>
        <w:t>GENTNER COMMUNICATIONS CORPORATION</w:t>
      </w:r>
    </w:p>
    <w:p>
      <w:pPr>
        <w:ind w:left="1480"/>
        <w:spacing w:after="0" w:line="238" w:lineRule="auto"/>
        <w:rPr>
          <w:sz w:val="20"/>
          <w:szCs w:val="20"/>
          <w:color w:val="auto"/>
        </w:rPr>
      </w:pPr>
      <w:r>
        <w:rPr>
          <w:rFonts w:ascii="Courier New" w:cs="Courier New" w:eastAsia="Courier New" w:hAnsi="Courier New"/>
          <w:sz w:val="18"/>
          <w:szCs w:val="18"/>
          <w:color w:val="auto"/>
        </w:rPr>
        <w:t>PROXY STATEMENT FOR ANNUAL MEETING OF SHAREHOLDERS</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The enclosed Proxy is solicited on behalf of the Board of Directors of Gentner Communications Corporation (the "Company") for use at the Company's Annual Meeting of Shareholders ("Annual Meeting") to be held November 21, 1997 at 3:00 P.M. local time, or at any adjournment or postponement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18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These proxy solicitation materials were first mailed on or about October 23, 1997 to all shareholders entitled to vote at the Annual Meeting.</w:t>
      </w:r>
    </w:p>
    <w:p>
      <w:pPr>
        <w:spacing w:after="0" w:line="16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SHARES OUTSTANDING</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Shareholders of record at the close of business on October 15, 1997 (the "Record Date") are entitled to notice of, and to vote at, the Annual Meeting. On the Record Date, 7,675,443 shares of Common Stock were issued and outstanding. Each shareholder will be entitled to one vote for each share of Common Stock held on the record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Any proxy given pursuant to this solicitation may be revoked by the person giving it at any time before its use by delivering to Susie S. Strohm, Secretary of the Company, a written notice of revocation or a duly executed proxy bearing a later date or by attending the Annual Meeting and voting in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DEADLINE FOR RECEIPT OF SHAREHOLDER PROPOSALS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currently anticipates the Annual Meeting of Shareholders in shareholder desiring to submit a proposal for consideration at the 1998 Annual Meeting of Shareholders should transmit such proposal to the Secretary of the Company on or before July 23,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A quorum of the shares of the Company must be present at the Annual Meeting of the Shareholders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Further,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ratification of appointment of independent auditors will be approved if the votes cast at the Annual Meeting favoring the proposal exceed the votes cast at the Annual Meeting opposing the proposal.</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STOCK OWNERSHIP OF CERTAIN</w:t>
      </w:r>
    </w:p>
    <w:p>
      <w:pPr>
        <w:jc w:val="center"/>
        <w:ind w:right="1979"/>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ownership of the Common Stock of the Company as of September 1, 1997, by (i) each person known to the Company to be the beneficial owner of more than 5% of the outstanding Common Stock of the Company, (ii) each director of the Company,</w:t>
      </w:r>
    </w:p>
    <w:p>
      <w:pPr>
        <w:spacing w:after="0" w:line="1" w:lineRule="exact"/>
        <w:rPr>
          <w:sz w:val="20"/>
          <w:szCs w:val="20"/>
          <w:color w:val="auto"/>
        </w:rPr>
      </w:pPr>
    </w:p>
    <w:p>
      <w:pPr>
        <w:ind w:right="2199" w:firstLine="8"/>
        <w:spacing w:after="0" w:line="237"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as of June 30, 1997 whose salary and bonus for the year ended June 30, 1997 exceeded $100,000, and (iv) all executive officers and directors of the Company as a group. Each person has sole investment and voting power with respect to the shares indicated, subject to community property laws where applicable, except as otherwise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9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Amount of</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Percentage</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of Beneficial Owners</w:t>
            </w:r>
          </w:p>
        </w:tc>
        <w:tc>
          <w:tcPr>
            <w:tcW w:w="2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Beneficial Ownership</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2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736,128(1)</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451,207(2)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109,166(3)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299,833(4)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30,000(5)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 Jr.</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30,000(5)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Directors and Executive Officers</w:t>
            </w:r>
          </w:p>
        </w:tc>
        <w:tc>
          <w:tcPr>
            <w:tcW w:w="2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(9 persons)</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1,694,539(1,2,3,4,5,6)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8"/>
        <w:spacing w:after="0" w:line="279"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595,928 shares owned directly; options to purchase 140,000 shares that are exercisable within 60 days; and 200 shares owned by Mr. Gentner's wife. Excludes: options to purchase 110,000 shares that are not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514"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exercisable within 60 days.</w:t>
      </w:r>
    </w:p>
    <w:p>
      <w:pPr>
        <w:spacing w:after="0" w:line="207" w:lineRule="exact"/>
        <w:rPr>
          <w:sz w:val="20"/>
          <w:szCs w:val="20"/>
          <w:color w:val="auto"/>
        </w:rPr>
      </w:pPr>
    </w:p>
    <w:p>
      <w:pPr>
        <w:ind w:right="2099" w:firstLine="8"/>
        <w:spacing w:after="0" w:line="272"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316,157 shares owned directly; 100,000 shares owned by a corporation controlled by Mr. Bagley; 50 shares owned by Mr. Bagley's wife as custodian for one of Mr. Bagley's daughters; and options to purchase 35,000 another of Mr. Bagley's daughters; shares owned by the Bagley Family Revocable Trust, all of which Mr. Bagley disclaims beneficial ownership; and options to purchase 20,000 shares that are not exercisable within 60 days.</w:t>
      </w:r>
    </w:p>
    <w:p>
      <w:pPr>
        <w:spacing w:after="0" w:line="185" w:lineRule="exact"/>
        <w:rPr>
          <w:rFonts w:ascii="Courier New" w:cs="Courier New" w:eastAsia="Courier New" w:hAnsi="Courier New"/>
          <w:sz w:val="16"/>
          <w:szCs w:val="16"/>
          <w:color w:val="auto"/>
        </w:rPr>
      </w:pPr>
    </w:p>
    <w:p>
      <w:pPr>
        <w:ind w:right="231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54,666 shares owned directly; options to purchase 47,500 shares that are exercisable within 60 days; 5,000 shares owned by Mr. Baldwin's wife; and warrants to purchase 2,000 shares that are currently exercisable. Excludes: options to purchase 12,500 shares that are not exercisable within 60 days.</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257,333 shares owned by the Bagley Family Revocable Trust, of which Mr. Bagley is a co-trustee with his wife; and options to purchase 42,500 shares that are exercisable within 60 days. Excludes: shares held or controlled by Mr. Bagley's son (Edward Dallin Bagley) and granddaughters as described in footnote 2 above, all of which Mr. Edward N. Bagley disclaims beneficial ownership; and options to purchase 12,500 shares that are not exercisable within 60 days.</w:t>
      </w:r>
    </w:p>
    <w:p>
      <w:pPr>
        <w:spacing w:after="0" w:line="211" w:lineRule="exact"/>
        <w:rPr>
          <w:rFonts w:ascii="Courier New" w:cs="Courier New" w:eastAsia="Courier New" w:hAnsi="Courier New"/>
          <w:sz w:val="18"/>
          <w:szCs w:val="18"/>
          <w:color w:val="auto"/>
        </w:rPr>
      </w:pPr>
    </w:p>
    <w:p>
      <w:pPr>
        <w:ind w:right="2619" w:firstLine="8"/>
        <w:spacing w:after="0" w:line="236"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acquire 30,000 shares that are exercisable within 60 days. Excludes: options to acquire 12,500 shares that are not exercisable within 60 days.</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23,205 shares owned directly and options to acquire 15,000 shares by three other officers that are exercisable within 60 days. Excludes: options to acquire 125,500 shares by those officers that are not exercisable within 60 days.</w:t>
      </w:r>
    </w:p>
    <w:p>
      <w:pPr>
        <w:spacing w:after="0" w:line="200" w:lineRule="exact"/>
        <w:rPr>
          <w:sz w:val="20"/>
          <w:szCs w:val="20"/>
          <w:color w:val="auto"/>
        </w:rPr>
      </w:pPr>
    </w:p>
    <w:p>
      <w:pPr>
        <w:spacing w:after="0" w:line="204" w:lineRule="exact"/>
        <w:rPr>
          <w:sz w:val="20"/>
          <w:szCs w:val="20"/>
          <w:color w:val="auto"/>
        </w:rPr>
      </w:pP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PROPOSAL ONE</w:t>
      </w:r>
      <w:r>
        <w:rPr>
          <w:sz w:val="20"/>
          <w:szCs w:val="20"/>
          <w:color w:val="auto"/>
        </w:rPr>
        <w:tab/>
      </w:r>
      <w:r>
        <w:rPr>
          <w:rFonts w:ascii="Courier New" w:cs="Courier New" w:eastAsia="Courier New" w:hAnsi="Courier New"/>
          <w:sz w:val="16"/>
          <w:szCs w:val="16"/>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of the Company's current six directors are nominated for re-election at the Annual Meeting to serve until the next Annual Meeting of Shareholders or until their respective successors are duly elected and qualified. Unless otherwise instructed, the proxies will be voted for the election of the six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514"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NOMINEES</w:t>
            </w:r>
          </w:p>
        </w:tc>
        <w:tc>
          <w:tcPr>
            <w:tcW w:w="6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7440" w:type="dxa"/>
            <w:vAlign w:val="bottom"/>
            <w:gridSpan w:val="3"/>
          </w:tcPr>
          <w:p>
            <w:pPr>
              <w:spacing w:after="0"/>
              <w:rPr>
                <w:sz w:val="20"/>
                <w:szCs w:val="20"/>
                <w:color w:val="auto"/>
              </w:rPr>
            </w:pPr>
            <w:r>
              <w:rPr>
                <w:rFonts w:ascii="Courier New" w:cs="Courier New" w:eastAsia="Courier New" w:hAnsi="Courier New"/>
                <w:sz w:val="18"/>
                <w:szCs w:val="18"/>
                <w:color w:val="auto"/>
              </w:rPr>
              <w:t>The following individuals are currently directors of the Company:</w:t>
            </w:r>
          </w:p>
        </w:tc>
        <w:tc>
          <w:tcPr>
            <w:tcW w:w="680" w:type="dxa"/>
            <w:vAlign w:val="bottom"/>
          </w:tcPr>
          <w:p>
            <w:pPr>
              <w:spacing w:after="0"/>
              <w:rPr>
                <w:sz w:val="24"/>
                <w:szCs w:val="24"/>
                <w:color w:val="auto"/>
              </w:rPr>
            </w:pPr>
          </w:p>
        </w:tc>
      </w:tr>
      <w:tr>
        <w:trPr>
          <w:trHeight w:val="405"/>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tcPr>
          <w:p>
            <w:pPr>
              <w:ind w:left="1480"/>
              <w:spacing w:after="0"/>
              <w:rPr>
                <w:sz w:val="20"/>
                <w:szCs w:val="20"/>
                <w:color w:val="auto"/>
              </w:rPr>
            </w:pPr>
            <w:r>
              <w:rPr>
                <w:rFonts w:ascii="Courier New" w:cs="Courier New" w:eastAsia="Courier New" w:hAnsi="Courier New"/>
                <w:sz w:val="18"/>
                <w:szCs w:val="18"/>
                <w:color w:val="auto"/>
              </w:rPr>
              <w:t>Director</w:t>
            </w:r>
          </w:p>
        </w:tc>
        <w:tc>
          <w:tcPr>
            <w:tcW w:w="680" w:type="dxa"/>
            <w:vAlign w:val="bottom"/>
          </w:tcPr>
          <w:p>
            <w:pPr>
              <w:spacing w:after="0"/>
              <w:rPr>
                <w:sz w:val="24"/>
                <w:szCs w:val="24"/>
                <w:color w:val="auto"/>
              </w:rPr>
            </w:pP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Age</w:t>
            </w:r>
          </w:p>
        </w:tc>
        <w:tc>
          <w:tcPr>
            <w:tcW w:w="4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Since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42</w:t>
            </w: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of Directors,</w:t>
            </w:r>
          </w:p>
        </w:tc>
        <w:tc>
          <w:tcPr>
            <w:tcW w:w="6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 Officer, and President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1985</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59</w:t>
            </w: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Attorney</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42</w:t>
            </w: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President and Chief Executive Officer</w:t>
            </w:r>
          </w:p>
        </w:tc>
        <w:tc>
          <w:tcPr>
            <w:tcW w:w="6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Bank One, Utah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Edward N. Bagley*</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85</w:t>
            </w: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of Smith Barney and</w:t>
            </w:r>
          </w:p>
        </w:tc>
        <w:tc>
          <w:tcPr>
            <w:tcW w:w="6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of the Board of Mining</w:t>
            </w:r>
          </w:p>
        </w:tc>
        <w:tc>
          <w:tcPr>
            <w:tcW w:w="6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 International</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of Broadcast International, Inc.</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K. Bradford Romney</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41</w:t>
            </w: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President and Chief Executive Officer</w:t>
            </w:r>
          </w:p>
        </w:tc>
        <w:tc>
          <w:tcPr>
            <w:tcW w:w="6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Dayna Communications, Inc.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200" w:lineRule="exact"/>
        <w:rPr>
          <w:sz w:val="20"/>
          <w:szCs w:val="20"/>
          <w:color w:val="auto"/>
        </w:rPr>
      </w:pPr>
    </w:p>
    <w:p>
      <w:pPr>
        <w:spacing w:after="0" w:line="209" w:lineRule="exact"/>
        <w:rPr>
          <w:sz w:val="20"/>
          <w:szCs w:val="20"/>
          <w:color w:val="auto"/>
        </w:rPr>
      </w:pPr>
    </w:p>
    <w:p>
      <w:pPr>
        <w:ind w:right="2519" w:firstLine="1062"/>
        <w:spacing w:after="0" w:line="235"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Bagley and Edward Dallin Bagley are father and son, respectively.</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Russell D. Gentner is Chairman of the Board of Directors, Chief Executive officer, and President of the Company. Mr. Gentner has served in the positions of Chairman and Chief Executive officer since 1985, when the Company merged with its predecessor, Gentner Engineering Company, Inc. ("GEC"). GEC was founded by Mr. Gentner in 1981, and he served as its Chairman, Chief Executive Officer, and President from its inception until its merger with the Company. Mr. Gentner has served as President of the Company from 1985 to 1990 and from April 1994 to the present. Mr. Gentner earned his Bachelor of Science degree in Electrical Engineering in 1977 from the University of Utah and a Master of Business Administration degree from the University of Utah in 1990.</w:t>
      </w:r>
    </w:p>
    <w:p>
      <w:pPr>
        <w:spacing w:after="0" w:line="21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Edward Dallin Bagley has been a Director of the Company since April 1994. Previously, Mr. Bagley served as a Director of the Company from April 1987 to July 1991. Mr. Bagley began practicing law in 1965. He later founded Bagley Securities, Inc., a stock brokerage firm located in Salt Lake City, Utah. During the past five years, Mr. Bagley has served as vice president of National Financial, a computer back-up accounting firm for health clubs. Mr. Bagley is also currently a director of Mining Services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514"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right="2099"/>
        <w:spacing w:after="0" w:line="237" w:lineRule="auto"/>
        <w:rPr>
          <w:sz w:val="20"/>
          <w:szCs w:val="20"/>
          <w:color w:val="auto"/>
        </w:rPr>
      </w:pPr>
      <w:r>
        <w:rPr>
          <w:rFonts w:ascii="Courier New" w:cs="Courier New" w:eastAsia="Courier New" w:hAnsi="Courier New"/>
          <w:sz w:val="18"/>
          <w:szCs w:val="18"/>
          <w:color w:val="auto"/>
        </w:rPr>
        <w:t>International, a publicly held developer of explosives technology and supplier of chemicals to the mining industry located in Salt Lake City, Utah, and Tunex International, a chain of automotive engine performance and service centers. Mr. Bagley received a Juris Doctorate in 1965 from the University of Utah College of Law.</w:t>
      </w:r>
    </w:p>
    <w:p>
      <w:pPr>
        <w:spacing w:after="0" w:line="209"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Brad R. Baldwin has been a Director of the Company since September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 &amp; Hatch in Salt Lake City, Utah. Mr. Baldwin received a Juris Doctorate in 1980 from the University of Washington.</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Edward N. Bagley has been a director of the Company since January 1993. Mr. Bagley is currently Vice President of Smith Barney, with whom he has been associated since 1971. Mr. Bagley has worked in the investment industry since 1934. Mr. Bagley is also Chairman of the Board of Directors of Mining Services International. He received a bachelors degree from Utah State University in 1933.</w:t>
      </w:r>
    </w:p>
    <w:p>
      <w:pPr>
        <w:spacing w:after="0" w:line="210"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Dwight H. Egan has been a director of the Company since November 1994. Mr. Egan is currently the President, Chief Executive Officer, and a director of Broadcast International, Inc., a satellite communications and business information company located in Salt Lake City, Utah. He is also currently a director of Data Broadcasting Corp., the parent of Broadcast International, Inc. Mr. Egan has served as an officer and director of Broadcast</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K. Bradford Romney has been a Director of the Company since November 1994. Since 1991, Mr. Romney has been the President and Chief Executive officer of Dayna Communications, Inc., a computer networking company based in Salt Lake City, Utah. He has been a director of Dayna since 1990. He served as Executive Vice President of Dayna upon joining the company in 1986 until his appointment as President and Chief Executive Officer. From 1982 to 1986, Mr. Romney was Executive Vice President of Keith Romney &amp; Associates. Mr. Romney is also a director of EFI Electronics, Inc. Mr. Romney received a Juris Doctorate and a Master of Business Administration degree from Brigham Young University in 1982.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CONCERNING THE BOARD OF DIRECTORS</w:t>
      </w:r>
    </w:p>
    <w:p>
      <w:pPr>
        <w:ind w:left="2540"/>
        <w:spacing w:after="0" w:line="238" w:lineRule="auto"/>
        <w:rPr>
          <w:sz w:val="20"/>
          <w:szCs w:val="20"/>
          <w:color w:val="auto"/>
        </w:rPr>
      </w:pPr>
      <w:r>
        <w:rPr>
          <w:rFonts w:ascii="Courier New" w:cs="Courier New" w:eastAsia="Courier New" w:hAnsi="Courier New"/>
          <w:sz w:val="18"/>
          <w:szCs w:val="18"/>
          <w:color w:val="auto"/>
        </w:rPr>
        <w:t>AND CERTAIN COMMITTEES THEREOF</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All directors serve until their successors are elected and have qualified. The Company paid each director $650 per month for services provided as a director through February 1997. At that point, each director received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520"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options to purchase 25,000 shares of Gentner stock in lieu of the monthly fee for services rendered through June 30, 1998. Inside directors receive no additional compensation for serving on the Board of Directors. Officers are elected to serve, subject to the discretion of the Board of Directors, until their successors are appointed.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Board of Directors has three committees, the Executive, Audit, and Compensation Committees. The Executive Committee is composed of Mr. Russell D. Gentner, Mr. Brad R. Baldwin, and Mr. Dwight H. Egan. The Audit Committee is currently composed of Mr. Brad R. Baldwin, Mr. Edward Dallin Bagley, and Mr. K. Bradford Romney. The Compensation Committee is currently composed of Mr. Brad R. Baldwin, Mr. Edward Dallin Bagley, and Mr. Dwight H. Egan. The Executive Committee exercises all the powers and authority of the Board of Directors in the management of the business and affairs of the Company except those which by statute, Certificate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1990 Incentive Plan for directors, officers, and key employees, and administers the 1997 Employee Stock Purchase Plan for all employees.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Board of Directors held five meetings during the last fiscal year. The Executive Committee held no formal meetings during the last fiscal year. The Compensation Committee held one meeting during the last fiscal year.</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EXECUTIVE OFFICERS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executive officers of the Company are as follows:</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00" w:lineRule="exact"/>
        <w:rPr>
          <w:sz w:val="20"/>
          <w:szCs w:val="20"/>
          <w:color w:val="auto"/>
        </w:rPr>
      </w:pPr>
    </w:p>
    <w:p>
      <w:pPr>
        <w:sectPr>
          <w:pgSz w:w="11900" w:h="16838" w:orient="portrait"/>
          <w:cols w:equalWidth="0" w:num="3">
            <w:col w:w="1720" w:space="720"/>
            <w:col w:w="1700" w:space="720"/>
            <w:col w:w="5359"/>
          </w:cols>
          <w:pgMar w:left="240" w:top="520" w:right="1440" w:bottom="1440" w:gutter="0" w:footer="0" w:header="0"/>
          <w:type w:val="continuous"/>
        </w:sectPr>
      </w:pPr>
    </w:p>
    <w:p>
      <w:pPr>
        <w:spacing w:after="0" w:line="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Russell D. Gentner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Chairman, President and Chief Executive</w:t>
      </w:r>
    </w:p>
    <w:p>
      <w:pPr>
        <w:spacing w:after="0" w:line="418" w:lineRule="exact"/>
        <w:rPr>
          <w:sz w:val="20"/>
          <w:szCs w:val="20"/>
          <w:color w:val="auto"/>
        </w:rPr>
      </w:pPr>
    </w:p>
    <w:p>
      <w:pPr>
        <w:sectPr>
          <w:pgSz w:w="11900" w:h="16838" w:orient="portrait"/>
          <w:cols w:equalWidth="0" w:num="2">
            <w:col w:w="1900" w:space="640"/>
            <w:col w:w="7679"/>
          </w:cols>
          <w:pgMar w:left="240" w:top="5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19"/>
          </w:cols>
          <w:pgMar w:left="240" w:top="520" w:right="1440" w:bottom="144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41</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Vice</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Sales and Marketing</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w:t>
            </w:r>
          </w:p>
        </w:tc>
        <w:tc>
          <w:tcPr>
            <w:tcW w:w="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Vice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Finance, Secretary/Treasurer</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biography of Mr. Gentner, see "Nominees."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Frances M. Flood was elected Vice President of Sales and Marketing in 1996. Before joining the Company she was an Area Director of Sales and Marketing for Ernst &amp; Young, LLP, an international accounting and consulting firm. While there she assisted in the marketing efforts of eighty partners and principals across a variety of industries in six locations. Prior to her tenure with Ernst &amp; Young, Ms. Flood had been the founder of an international sales and marketing consulting firm focusing on change management, product development, training, database marketing, leveraging, technology, and sales culture creation.</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Susie S. Strohm became Vice President of Finance, Treasurer, and Secretary in 1997. In 1996, Ms. Strohm joined the Company as its Controller. She is responsible for all the Company's accounting, financial and tax planning, financial and management reporting, and SEC filings. Prior to joining the Company, Ms. Strohm was the Controller for Newspaper Agency Corporation in Salt Lake City. She graduated from the University of Utah with a Bachelor of Science degree in Accounting, and received her Masters of Business Administration degree from Westminster College.</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EXECUTIVE COMPENSATION AND OTHER MATTERS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compensation of the Chief Executive</w:t>
      </w:r>
    </w:p>
    <w:p>
      <w:pPr>
        <w:spacing w:after="0" w:line="238" w:lineRule="auto"/>
        <w:rPr>
          <w:sz w:val="20"/>
          <w:szCs w:val="20"/>
          <w:color w:val="auto"/>
        </w:rPr>
      </w:pPr>
      <w:r>
        <w:rPr>
          <w:rFonts w:ascii="Courier New" w:cs="Courier New" w:eastAsia="Courier New" w:hAnsi="Courier New"/>
          <w:sz w:val="18"/>
          <w:szCs w:val="18"/>
          <w:color w:val="auto"/>
        </w:rPr>
        <w:t>Officer of the Company and the other most highly compensated executive</w:t>
      </w:r>
    </w:p>
    <w:p>
      <w:pPr>
        <w:spacing w:after="0"/>
        <w:rPr>
          <w:sz w:val="20"/>
          <w:szCs w:val="20"/>
          <w:color w:val="auto"/>
        </w:rPr>
      </w:pPr>
      <w:r>
        <w:rPr>
          <w:rFonts w:ascii="Courier New" w:cs="Courier New" w:eastAsia="Courier New" w:hAnsi="Courier New"/>
          <w:sz w:val="18"/>
          <w:szCs w:val="18"/>
          <w:color w:val="auto"/>
        </w:rPr>
        <w:t>officers of the Company for each of the Company's last three fiscal years</w:t>
      </w:r>
    </w:p>
    <w:p>
      <w:pPr>
        <w:spacing w:after="0" w:line="237" w:lineRule="auto"/>
        <w:rPr>
          <w:sz w:val="20"/>
          <w:szCs w:val="20"/>
          <w:color w:val="auto"/>
        </w:rPr>
      </w:pPr>
      <w:r>
        <w:rPr>
          <w:rFonts w:ascii="Courier New" w:cs="Courier New" w:eastAsia="Courier New" w:hAnsi="Courier New"/>
          <w:sz w:val="18"/>
          <w:szCs w:val="18"/>
          <w:color w:val="auto"/>
        </w:rPr>
        <w:t>whose total salary and bonus for the year ended June 30, 1997 exceeded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 for services rendered in all capacities to the Company during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years.</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for Russell D. Gentner</w:t>
      </w:r>
    </w:p>
    <w:p>
      <w:pPr>
        <w:jc w:val="center"/>
        <w:ind w:right="1139"/>
        <w:spacing w:after="0" w:line="238" w:lineRule="auto"/>
        <w:rPr>
          <w:sz w:val="20"/>
          <w:szCs w:val="20"/>
          <w:color w:val="auto"/>
        </w:rPr>
      </w:pPr>
      <w:r>
        <w:rPr>
          <w:rFonts w:ascii="Courier New" w:cs="Courier New" w:eastAsia="Courier New" w:hAnsi="Courier New"/>
          <w:sz w:val="18"/>
          <w:szCs w:val="18"/>
          <w:color w:val="auto"/>
        </w:rPr>
        <w:t>Chairman, CEO,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514"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Annual Compensation</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Long Term Compensation</w:t>
            </w:r>
          </w:p>
        </w:tc>
        <w:tc>
          <w:tcPr>
            <w:tcW w:w="74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8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Awards</w:t>
            </w:r>
          </w:p>
        </w:tc>
        <w:tc>
          <w:tcPr>
            <w:tcW w:w="17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Payouts</w:t>
            </w:r>
          </w:p>
        </w:tc>
      </w:tr>
      <w:tr>
        <w:trPr>
          <w:trHeight w:val="405"/>
        </w:trPr>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Annual</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Restricted</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Underlying</w:t>
            </w:r>
          </w:p>
        </w:tc>
        <w:tc>
          <w:tcPr>
            <w:tcW w:w="104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Other</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Fiscal</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LTIP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Compen-</w:t>
            </w:r>
          </w:p>
        </w:tc>
      </w:tr>
      <w:tr>
        <w:trPr>
          <w:trHeight w:val="203"/>
        </w:trPr>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Year</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Salary</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Bonus</w:t>
            </w:r>
          </w:p>
        </w:tc>
        <w:tc>
          <w:tcPr>
            <w:tcW w:w="8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sation</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/SARS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Payouts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sation*</w:t>
            </w:r>
          </w:p>
        </w:tc>
      </w:tr>
      <w:tr>
        <w:trPr>
          <w:trHeight w:val="608"/>
        </w:trPr>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96-97</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$162,240</w:t>
            </w:r>
          </w:p>
        </w:tc>
        <w:tc>
          <w:tcPr>
            <w:tcW w:w="1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$11,760</w:t>
            </w:r>
          </w:p>
        </w:tc>
        <w:tc>
          <w:tcPr>
            <w:tcW w:w="80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None</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1320" w:type="dxa"/>
            <w:vAlign w:val="bottom"/>
          </w:tcPr>
          <w:p>
            <w:pPr>
              <w:ind w:left="460"/>
              <w:spacing w:after="0"/>
              <w:rPr>
                <w:sz w:val="20"/>
                <w:szCs w:val="20"/>
                <w:color w:val="auto"/>
              </w:rPr>
            </w:pPr>
            <w:r>
              <w:rPr>
                <w:rFonts w:ascii="Courier New" w:cs="Courier New" w:eastAsia="Courier New" w:hAnsi="Courier New"/>
                <w:sz w:val="18"/>
                <w:szCs w:val="18"/>
                <w:color w:val="auto"/>
              </w:rPr>
              <w:t>None</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95-96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$156,756</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None</w:t>
            </w:r>
          </w:p>
        </w:tc>
        <w:tc>
          <w:tcPr>
            <w:tcW w:w="8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None</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$890</w:t>
            </w:r>
          </w:p>
        </w:tc>
      </w:tr>
      <w:tr>
        <w:trPr>
          <w:trHeight w:val="203"/>
        </w:trPr>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94-95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$150,000</w:t>
            </w:r>
          </w:p>
        </w:tc>
        <w:tc>
          <w:tcPr>
            <w:tcW w:w="1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$15,000</w:t>
            </w:r>
          </w:p>
        </w:tc>
        <w:tc>
          <w:tcPr>
            <w:tcW w:w="8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13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None</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None</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$890</w:t>
            </w:r>
          </w:p>
        </w:tc>
      </w:tr>
    </w:tbl>
    <w:p>
      <w:pPr>
        <w:spacing w:after="0" w:line="207" w:lineRule="exact"/>
        <w:rPr>
          <w:sz w:val="20"/>
          <w:szCs w:val="20"/>
          <w:color w:val="auto"/>
        </w:rPr>
      </w:pPr>
    </w:p>
    <w:p>
      <w:pPr>
        <w:ind w:right="3159" w:firstLine="8"/>
        <w:spacing w:after="0" w:line="235"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reflect the Company's contributions to the deferred compensation plan (401(k)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OPTIONS/SARS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in the last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OPTION/SAR GRANTS IN FISCAL YEAR ENDED JUNE 30, 1997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338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(INDIVIDUAL GRANTS)</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Number of</w:t>
            </w:r>
          </w:p>
        </w:tc>
        <w:tc>
          <w:tcPr>
            <w:tcW w:w="1800" w:type="dxa"/>
            <w:vAlign w:val="bottom"/>
          </w:tcPr>
          <w:p>
            <w:pPr>
              <w:ind w:left="160"/>
              <w:spacing w:after="0"/>
              <w:rPr>
                <w:sz w:val="20"/>
                <w:szCs w:val="20"/>
                <w:color w:val="auto"/>
              </w:rPr>
            </w:pPr>
            <w:r>
              <w:rPr>
                <w:rFonts w:ascii="Courier New" w:cs="Courier New" w:eastAsia="Courier New" w:hAnsi="Courier New"/>
                <w:sz w:val="18"/>
                <w:szCs w:val="18"/>
                <w:color w:val="auto"/>
              </w:rPr>
              <w:t>Percent of</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Total Options</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/SARs Granted</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Options/SARs</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Employees</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or Base</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Expiration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Granted (#)</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Fiscal Year</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 ($/Sh)</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rPr>
              <w:t>100,000</w:t>
            </w:r>
          </w:p>
        </w:tc>
        <w:tc>
          <w:tcPr>
            <w:tcW w:w="1800" w:type="dxa"/>
            <w:vAlign w:val="bottom"/>
          </w:tcPr>
          <w:p>
            <w:pPr>
              <w:ind w:left="800"/>
              <w:spacing w:after="0"/>
              <w:rPr>
                <w:sz w:val="20"/>
                <w:szCs w:val="20"/>
                <w:color w:val="auto"/>
              </w:rPr>
            </w:pPr>
            <w:r>
              <w:rPr>
                <w:rFonts w:ascii="Courier New" w:cs="Courier New" w:eastAsia="Courier New" w:hAnsi="Courier New"/>
                <w:sz w:val="18"/>
                <w:szCs w:val="18"/>
                <w:color w:val="auto"/>
              </w:rPr>
              <w:t>17%</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$0.8125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6/30/04</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the last fiscal year and the year-end value of unexercised options and SARs: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AGGREGATED OPTION/SAR EXERCISES IN FISCAL YEAR ENDED JUNE 30, 1997 AND FISCAL YEAREND OPTION/SAR VALUES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514"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Securities</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Value of</w:t>
            </w:r>
          </w:p>
        </w:tc>
      </w:tr>
      <w:tr>
        <w:trPr>
          <w:trHeight w:val="203"/>
        </w:trPr>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Underlying</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Unexercised</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Options/SARs</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19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Shares</w:t>
            </w:r>
          </w:p>
        </w:tc>
        <w:tc>
          <w:tcPr>
            <w:tcW w:w="1100" w:type="dxa"/>
            <w:vAlign w:val="bottom"/>
          </w:tcPr>
          <w:p>
            <w:pPr>
              <w:spacing w:after="0"/>
              <w:rPr>
                <w:sz w:val="17"/>
                <w:szCs w:val="17"/>
                <w:color w:val="auto"/>
              </w:rPr>
            </w:pP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 FY-End (#)</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 FY-End ($)</w:t>
            </w:r>
          </w:p>
        </w:tc>
      </w:tr>
      <w:tr>
        <w:trPr>
          <w:trHeight w:val="203"/>
        </w:trPr>
        <w:tc>
          <w:tcPr>
            <w:tcW w:w="19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Acquired</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Value</w:t>
            </w:r>
          </w:p>
        </w:tc>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on</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Realized</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Exercisable/</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Unexercisable</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Russell D. Gentner</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130,000/100,000</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$89,375/$81,250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Gentner Research Ltd. ("GRL"), is a related limited partnership, formed in August 1985, in which the Company is the general partner and Russell D. Gentner, Edward Dallin Bagley and, among other unrelated parties, certain members of their families, are the limited partners. In 1987 and 1988, GRL sold to the Company proprietary interests in the VRC-1000 (now VRC-2000), VRC-1000 Modem (now VRC-2000), and Digital Hybrid in exchange for royalty payments. Royalty expense with GRL for the years ending June 30, 1997 and 1996 was $45,100 and $29,400 respectively. The following directors and/or executive officers and members of their immediate families have purchased the following interests in GRL:</w:t>
      </w:r>
    </w:p>
    <w:p>
      <w:pPr>
        <w:spacing w:after="0" w:line="215" w:lineRule="exact"/>
        <w:rPr>
          <w:sz w:val="20"/>
          <w:szCs w:val="20"/>
          <w:color w:val="auto"/>
        </w:rPr>
      </w:pPr>
    </w:p>
    <w:p>
      <w:pPr>
        <w:jc w:val="both"/>
        <w:ind w:left="640" w:right="2619"/>
        <w:spacing w:after="0" w:line="273" w:lineRule="auto"/>
        <w:rPr>
          <w:sz w:val="20"/>
          <w:szCs w:val="20"/>
          <w:color w:val="auto"/>
        </w:rPr>
      </w:pPr>
      <w:r>
        <w:rPr>
          <w:rFonts w:ascii="Courier New" w:cs="Courier New" w:eastAsia="Courier New" w:hAnsi="Courier New"/>
          <w:sz w:val="16"/>
          <w:szCs w:val="16"/>
          <w:color w:val="auto"/>
        </w:rPr>
        <w:t>Russell D. Gentner (Pres/CEO/Director). . . . . . . . . . . 5.21% Edward Dallin Bagley (Director) . . . . . . . . . . . . . . 10.42% Edward N. Bagley (Director) . . . . . . . . . . . . . . . . 5.21% Hyrum S. Gentner (father of Russell Gentner). . . . . . . . 5.21% Robert O. Baldwin (father of Brad Baldwin). . . . . . . . . 10.42%</w:t>
      </w:r>
    </w:p>
    <w:p>
      <w:pPr>
        <w:spacing w:after="0" w:line="18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with GR2L for the years ending June 30, 1997 and 1996 was $36,588 and $0 respectively. The following directors and/or executive officers and members of their immediate families have purchased the following interests in GR2L:</w:t>
      </w:r>
    </w:p>
    <w:p>
      <w:pPr>
        <w:spacing w:after="0" w:line="211" w:lineRule="exact"/>
        <w:rPr>
          <w:sz w:val="20"/>
          <w:szCs w:val="20"/>
          <w:color w:val="auto"/>
        </w:rPr>
      </w:pPr>
    </w:p>
    <w:p>
      <w:pPr>
        <w:jc w:val="both"/>
        <w:ind w:left="640" w:right="2619"/>
        <w:spacing w:after="0" w:line="273" w:lineRule="auto"/>
        <w:rPr>
          <w:sz w:val="20"/>
          <w:szCs w:val="20"/>
          <w:color w:val="auto"/>
        </w:rPr>
      </w:pPr>
      <w:r>
        <w:rPr>
          <w:rFonts w:ascii="Courier New" w:cs="Courier New" w:eastAsia="Courier New" w:hAnsi="Courier New"/>
          <w:sz w:val="16"/>
          <w:szCs w:val="16"/>
          <w:color w:val="auto"/>
        </w:rPr>
        <w:t>Brad R. Baldwin (Director) . . . . . . . . . . . . . . . . 3.19% Robert O. Baldwin (father of Brad Baldwin). . . . . . . . . 9.58% Hyrum S. Gentner (father of Russell Gentner). . . . . . . . 3.19% Edward D. Bagley (Director) . . . . . . . . . . . . . . . . 6.39% Edward N. Bagley (Father of Edward D. Bagley) . . . . . . . 6.39%</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514"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960"/>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To the Company's knowledge, all section 16(a) requirements have been complied with that were applicable to the persons defined above during the preceding fiscal year.</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ELECTION OF THE NOMINEES NAMED ABOVE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OF INDEPENDENT AUDITORS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Board of Directors has appointed Ernst &amp; Young, LLP, as independent auditors for the Company for the current fiscal year, and recommends that the shareholders vote for ratification of such appointment.</w:t>
      </w:r>
    </w:p>
    <w:p>
      <w:pPr>
        <w:spacing w:after="0" w:line="209"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and Young will attend the Annual Meeting and will be available to respond to questions. It is not anticipated that the representative will make any statement or presentation.</w:t>
      </w:r>
    </w:p>
    <w:p>
      <w:pPr>
        <w:spacing w:after="0" w:line="18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BOARD OF DIRECTORS UNANIMOUSLY RECOMMENDS A VOTE FOR</w:t>
      </w:r>
    </w:p>
    <w:p>
      <w:pPr>
        <w:jc w:val="center"/>
        <w:ind w:right="1979"/>
        <w:spacing w:after="0" w:line="238" w:lineRule="auto"/>
        <w:rPr>
          <w:sz w:val="20"/>
          <w:szCs w:val="20"/>
          <w:color w:val="auto"/>
        </w:rPr>
      </w:pPr>
      <w:r>
        <w:rPr>
          <w:rFonts w:ascii="Courier New" w:cs="Courier New" w:eastAsia="Courier New" w:hAnsi="Courier New"/>
          <w:sz w:val="18"/>
          <w:szCs w:val="18"/>
          <w:color w:val="auto"/>
        </w:rPr>
        <w:t>RATIFICATION OF THE APPOINTMENT OF THE INDEPENDENT AUDITORS.</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knows of no other matters to be submitted to the meeting. If any other matters properly come before the meeting, it is the intention of the persons named in the enclosed proxy to vote the shares they represent as the Board of Directors may recommend.</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514"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316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Russell D. Gentner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Russell D. Gentner, Chairman</w:t>
      </w:r>
    </w:p>
    <w:p>
      <w:pPr>
        <w:ind w:left="316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October 23,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[Front side of proxy card]</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PROXY FOR ANNUAL MEETING OF SHAREHOLDERS</w:t>
      </w:r>
    </w:p>
    <w:p>
      <w:pPr>
        <w:jc w:val="center"/>
        <w:ind w:right="1879"/>
        <w:spacing w:after="0"/>
        <w:rPr>
          <w:sz w:val="20"/>
          <w:szCs w:val="20"/>
          <w:color w:val="auto"/>
        </w:rPr>
      </w:pPr>
      <w:r>
        <w:rPr>
          <w:rFonts w:ascii="Courier New" w:cs="Courier New" w:eastAsia="Courier New" w:hAnsi="Courier New"/>
          <w:sz w:val="18"/>
          <w:szCs w:val="18"/>
          <w:color w:val="auto"/>
        </w:rPr>
        <w:t>NOVEMBER 21, 1997</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The undersigned shareholder of Gentner Communications Corporation, a Utah corporation (the "Company"), hereby acknowledges receipt of the Notice of Annual Meeting of Shareholders and Proxy Statement, each dated October 23, 1997, and hereby appoints Russell D. Gentner and Susie S. Strohm and each of them, proxies and attorneys-in-fact, with full power to each of substitution in behalf of and in the name of the undersigned, to represent the undersigned at the Annual Meeting of Shareholders to be held on November 21, 1997 at 3:00 Salt Lake City, Utah 84119, and at any adjournment thereof, and to vote all shares of Common Stock which the undersigned would be entitled to vote, if then and there personally present, on the matters set forth below.</w:t>
      </w:r>
    </w:p>
    <w:p>
      <w:pPr>
        <w:spacing w:after="0" w:line="18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majority of such attorneys or substitutes as shall be present and shall act at said meeting or any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adjournment thereof.</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ELECTION OF DIRECTORS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WITHHOLD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VOTE</w:t>
      </w:r>
    </w:p>
    <w:p>
      <w:pPr>
        <w:spacing w:after="0" w:line="200" w:lineRule="exact"/>
        <w:rPr>
          <w:sz w:val="20"/>
          <w:szCs w:val="20"/>
          <w:color w:val="auto"/>
        </w:rPr>
      </w:pPr>
    </w:p>
    <w:p>
      <w:pPr>
        <w:sectPr>
          <w:pgSz w:w="11900" w:h="16838" w:orient="portrait"/>
          <w:cols w:equalWidth="0" w:num="3">
            <w:col w:w="2980" w:space="720"/>
            <w:col w:w="860" w:space="720"/>
            <w:col w:w="4939"/>
          </w:cols>
          <w:pgMar w:left="240" w:top="514" w:right="1440" w:bottom="144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Russell D. Gentner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Edward Dallin Bagley</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Brad R. Baldwin</w:t>
      </w:r>
    </w:p>
    <w:p>
      <w:pPr>
        <w:ind w:left="740"/>
        <w:spacing w:after="0" w:line="238" w:lineRule="auto"/>
        <w:rPr>
          <w:sz w:val="20"/>
          <w:szCs w:val="20"/>
          <w:color w:val="auto"/>
        </w:rPr>
      </w:pPr>
      <w:r>
        <w:rPr>
          <w:rFonts w:ascii="Courier New" w:cs="Courier New" w:eastAsia="Courier New" w:hAnsi="Courier New"/>
          <w:sz w:val="18"/>
          <w:szCs w:val="18"/>
          <w:color w:val="auto"/>
        </w:rPr>
        <w:t>Edward N. Bagley</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19"/>
          </w:cols>
          <w:pgMar w:left="240" w:top="514" w:right="1440" w:bottom="1440" w:gutter="0" w:footer="0" w:header="0"/>
          <w:type w:val="continuous"/>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740"/>
        <w:spacing w:after="0"/>
        <w:rPr>
          <w:sz w:val="20"/>
          <w:szCs w:val="20"/>
          <w:color w:val="auto"/>
        </w:rPr>
      </w:pPr>
      <w:r>
        <w:rPr>
          <w:rFonts w:ascii="Courier New" w:cs="Courier New" w:eastAsia="Courier New" w:hAnsi="Courier New"/>
          <w:sz w:val="18"/>
          <w:szCs w:val="18"/>
          <w:color w:val="auto"/>
        </w:rPr>
        <w:t>Dwight H. Egan</w:t>
      </w:r>
    </w:p>
    <w:p>
      <w:pPr>
        <w:ind w:left="740"/>
        <w:spacing w:after="0" w:line="238" w:lineRule="auto"/>
        <w:rPr>
          <w:sz w:val="20"/>
          <w:szCs w:val="20"/>
          <w:color w:val="auto"/>
        </w:rPr>
      </w:pPr>
      <w:r>
        <w:rPr>
          <w:rFonts w:ascii="Courier New" w:cs="Courier New" w:eastAsia="Courier New" w:hAnsi="Courier New"/>
          <w:sz w:val="18"/>
          <w:szCs w:val="18"/>
          <w:color w:val="auto"/>
        </w:rPr>
        <w:t>K. Bradford Romney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Mark here to vote for the</w:t>
      </w:r>
    </w:p>
    <w:p>
      <w:pPr>
        <w:ind w:left="740"/>
        <w:spacing w:after="0" w:line="238" w:lineRule="auto"/>
        <w:rPr>
          <w:sz w:val="20"/>
          <w:szCs w:val="20"/>
          <w:color w:val="auto"/>
        </w:rPr>
      </w:pPr>
      <w:r>
        <w:rPr>
          <w:rFonts w:ascii="Courier New" w:cs="Courier New" w:eastAsia="Courier New" w:hAnsi="Courier New"/>
          <w:sz w:val="18"/>
          <w:szCs w:val="18"/>
          <w:color w:val="auto"/>
        </w:rPr>
        <w:t>entire slate of nominees</w:t>
      </w:r>
    </w:p>
    <w:p>
      <w:pPr>
        <w:ind w:left="740"/>
        <w:spacing w:after="0"/>
        <w:rPr>
          <w:sz w:val="20"/>
          <w:szCs w:val="20"/>
          <w:color w:val="auto"/>
        </w:rPr>
      </w:pPr>
      <w:r>
        <w:rPr>
          <w:rFonts w:ascii="Courier New" w:cs="Courier New" w:eastAsia="Courier New" w:hAnsi="Courier New"/>
          <w:sz w:val="18"/>
          <w:szCs w:val="18"/>
          <w:color w:val="auto"/>
        </w:rPr>
        <w:t>listed above</w:t>
      </w:r>
    </w:p>
    <w:p>
      <w:pPr>
        <w:spacing w:after="0" w:line="200" w:lineRule="exact"/>
        <w:rPr>
          <w:sz w:val="20"/>
          <w:szCs w:val="20"/>
          <w:color w:val="auto"/>
        </w:rPr>
      </w:pPr>
    </w:p>
    <w:p>
      <w:pPr>
        <w:ind w:left="740" w:hanging="732"/>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ERNST &amp;</w:t>
      </w:r>
    </w:p>
    <w:p>
      <w:pPr>
        <w:ind w:left="740"/>
        <w:spacing w:after="0"/>
        <w:tabs>
          <w:tab w:leader="none" w:pos="3560" w:val="left"/>
          <w:tab w:leader="none" w:pos="4620" w:val="left"/>
          <w:tab w:leader="none" w:pos="6200" w:val="left"/>
        </w:tabs>
        <w:rPr>
          <w:sz w:val="20"/>
          <w:szCs w:val="20"/>
          <w:color w:val="auto"/>
        </w:rPr>
      </w:pPr>
      <w:r>
        <w:rPr>
          <w:rFonts w:ascii="Courier New" w:cs="Courier New" w:eastAsia="Courier New" w:hAnsi="Courier New"/>
          <w:sz w:val="18"/>
          <w:szCs w:val="18"/>
          <w:color w:val="auto"/>
        </w:rPr>
        <w:t>YOUNG, LLP AS AUDITORS</w:t>
      </w:r>
      <w:r>
        <w:rPr>
          <w:sz w:val="20"/>
          <w:szCs w:val="20"/>
          <w:color w:val="auto"/>
        </w:rPr>
        <w:tab/>
      </w: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(Continued and signed on reverse side)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[Reverse side of proxy card]</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THIS PROXY WILL BE VOTED AS DIRECTED OR, IF NO CONTRARY DIRECTION IS INDICATED, WILL BE VOTED FOR ALL DIRECTORS SET FORTH HEREIN, AND FOR THE APPOINTMENT OF ERNST &amp; YOUNG AS INDEPENDENT PUBLIC ACCOUNTANTS, AND AS SAID PROXIES DEEM ADVISABLE ON SUCH OTHER MATTERS AS MAY COME BEFORE THE MEETING.</w:t>
      </w:r>
    </w:p>
    <w:p>
      <w:pPr>
        <w:sectPr>
          <w:pgSz w:w="11900" w:h="16838" w:orient="portrait"/>
          <w:cols w:equalWidth="0" w:num="1">
            <w:col w:w="10219"/>
          </w:cols>
          <w:pgMar w:left="240" w:top="51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720" w:space="720"/>
            <w:col w:w="5779"/>
          </w:cols>
          <w:pgMar w:left="240" w:top="514" w:right="1440" w:bottom="1440" w:gutter="0" w:footer="0" w:header="0"/>
          <w:type w:val="continuous"/>
        </w:sectPr>
      </w:pPr>
    </w:p>
    <w:p>
      <w:pPr>
        <w:spacing w:after="0" w:line="7" w:lineRule="exact"/>
        <w:rPr>
          <w:sz w:val="20"/>
          <w:szCs w:val="20"/>
          <w:color w:val="auto"/>
        </w:rPr>
      </w:pPr>
    </w:p>
    <w:p>
      <w:pPr>
        <w:ind w:right="860"/>
        <w:spacing w:after="0" w:line="290" w:lineRule="auto"/>
        <w:rPr>
          <w:sz w:val="20"/>
          <w:szCs w:val="20"/>
          <w:color w:val="auto"/>
        </w:rPr>
      </w:pPr>
      <w:r>
        <w:rPr>
          <w:rFonts w:ascii="Courier New" w:cs="Courier New" w:eastAsia="Courier New" w:hAnsi="Courier New"/>
          <w:sz w:val="16"/>
          <w:szCs w:val="16"/>
          <w:color w:val="auto"/>
        </w:rPr>
        <w:t>__________________________ Signature (if held jointly)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Shareholder (please print)</w:t>
      </w:r>
    </w:p>
    <w:p>
      <w:pPr>
        <w:spacing w:after="0" w:line="254" w:lineRule="exact"/>
        <w:rPr>
          <w:sz w:val="20"/>
          <w:szCs w:val="20"/>
          <w:color w:val="auto"/>
        </w:rPr>
      </w:pPr>
    </w:p>
    <w:p>
      <w:pPr>
        <w:sectPr>
          <w:pgSz w:w="11900" w:h="16838" w:orient="portrait"/>
          <w:cols w:equalWidth="0" w:num="2">
            <w:col w:w="3720" w:space="720"/>
            <w:col w:w="5779"/>
          </w:cols>
          <w:pgMar w:left="240" w:top="514" w:right="1440" w:bottom="1440" w:gutter="0" w:footer="0" w:header="0"/>
          <w:type w:val="continuous"/>
        </w:sectPr>
      </w:pPr>
    </w:p>
    <w:p>
      <w:pPr>
        <w:spacing w:after="0" w:line="17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Title (if any)</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(This proxy should be marked, dated, signed by each shareholder exactly as such shareholder's name appears hereon and returned promptly in the enclosed envelope. Persons signing in a fiduciary capacity should so indicate. If shares are held by joint tenants or as community property, both should 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514" w:right="1440" w:bottom="1440" w:gutter="0" w:footer="0" w:header="0"/>
          <w:type w:val="continuous"/>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X"/>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Roman"/>
      <w:start w:val="3"/>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2019-12-13T17:40:47Z</dcterms:created>
  <dcterms:modified xsi:type="dcterms:W3CDTF">2019-12-13T17:40:47Z</dcterms:modified>
</cp:coreProperties>
</file>