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July 22, 2020 (July 16,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(State or Other Jurisdiction</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2"/>
          </w:tcPr>
          <w:p>
            <w:pPr>
              <w:ind w:left="240"/>
              <w:spacing w:after="0" w:line="201" w:lineRule="exact"/>
              <w:rPr>
                <w:sz w:val="20"/>
                <w:szCs w:val="20"/>
                <w:color w:val="auto"/>
              </w:rPr>
            </w:pPr>
            <w:r>
              <w:rPr>
                <w:rFonts w:ascii="Arial" w:cs="Arial" w:eastAsia="Arial" w:hAnsi="Arial"/>
                <w:sz w:val="18"/>
                <w:szCs w:val="18"/>
                <w:color w:val="auto"/>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00" w:type="dxa"/>
            <w:vAlign w:val="bottom"/>
            <w:gridSpan w:val="3"/>
          </w:tcPr>
          <w:p>
            <w:pPr>
              <w:ind w:left="240"/>
              <w:spacing w:after="0"/>
              <w:rPr>
                <w:sz w:val="20"/>
                <w:szCs w:val="20"/>
                <w:color w:val="auto"/>
              </w:rPr>
            </w:pPr>
            <w:r>
              <w:rPr>
                <w:rFonts w:ascii="Arial" w:cs="Arial" w:eastAsia="Arial" w:hAnsi="Arial"/>
                <w:sz w:val="18"/>
                <w:szCs w:val="18"/>
                <w:color w:val="auto"/>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6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74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60" w:firstLine="53"/>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ectPr>
          <w:pgSz w:w="11900" w:h="16838" w:orient="portrait"/>
          <w:cols w:equalWidth="0" w:num="2">
            <w:col w:w="720" w:space="580"/>
            <w:col w:w="9920"/>
          </w:cols>
          <w:pgMar w:left="320" w:top="553" w:right="359" w:bottom="1440" w:gutter="0" w:footer="0" w:header="0"/>
        </w:sectPr>
      </w:pPr>
    </w:p>
    <w:p>
      <w:pPr>
        <w:ind w:firstLine="648"/>
        <w:spacing w:after="0" w:line="263" w:lineRule="auto"/>
        <w:rPr>
          <w:sz w:val="20"/>
          <w:szCs w:val="20"/>
          <w:color w:val="auto"/>
        </w:rPr>
      </w:pPr>
      <w:r>
        <w:rPr>
          <w:rFonts w:ascii="Arial" w:cs="Arial" w:eastAsia="Arial" w:hAnsi="Arial"/>
          <w:sz w:val="18"/>
          <w:szCs w:val="18"/>
          <w:color w:val="auto"/>
        </w:rPr>
        <w:t>On July 16, 2020, the Board of Directors (the “Board”) of ClearOne, Inc. (the “Company”) increased the size of the Board from four (4) to five (5) persons and elected Lisa Higley as a member of the Board effective as of July 20, 2020 to serve a term expiring at the next annual meeting of stockholders of the Company or until her earlier death, resignation or removal.</w:t>
      </w:r>
    </w:p>
    <w:p>
      <w:pPr>
        <w:spacing w:after="0" w:line="76"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Ms. Higley has been self-employed as a CPA since June 2009. Previously, she was the CFO for Daisy D’s Paper Company from March 2007 until January 2009, where she managed all aspects of the company’s financial and accounting responsibilities. Additionally, Ms. Higley was the CFO for Tunex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w:t>
      </w:r>
    </w:p>
    <w:p>
      <w:pPr>
        <w:spacing w:after="0" w:line="6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Ms. Higley is the daughter of Edward D. Bagley. Mr. Bagley is a significant stockholder of the Company who also performs consulting services to the Company and is the lender under a $3 million secured convertible note issued by the Company in December 2019. The Board has determined that Ms. Higley is not an independent director under Section 5605 of the NASDAQ Stock Market Rules.</w:t>
      </w:r>
    </w:p>
    <w:p>
      <w:pPr>
        <w:spacing w:after="0" w:line="7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All directors are eligible to receive equity awards under the Company’s equity compensation plans if, as and when such awards may be determined by the Board or its compensation committee. All directors are reimbursed by the Company for their out-of-pocket travel and related expenses incurred in attending all Board and committee meetings.</w:t>
      </w:r>
    </w:p>
    <w:p>
      <w:pPr>
        <w:spacing w:after="0" w:line="7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Except as set forth above, there are no agreements or understandings between the Company and Ms. Higley in respect of her service as a director of the Company, nor are there any transactions in which Ms. Higley has any interests that are subject to disclosure by the Company as related person transactions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ind w:left="360"/>
        <w:spacing w:after="0"/>
        <w:tabs>
          <w:tab w:leader="none" w:pos="5060" w:val="left"/>
        </w:tabs>
        <w:rPr>
          <w:sz w:val="20"/>
          <w:szCs w:val="20"/>
          <w:color w:val="auto"/>
        </w:rPr>
      </w:pPr>
      <w:r>
        <w:rPr>
          <w:rFonts w:ascii="Arial" w:cs="Arial" w:eastAsia="Arial" w:hAnsi="Arial"/>
          <w:sz w:val="18"/>
          <w:szCs w:val="18"/>
          <w:color w:val="auto"/>
        </w:rPr>
        <w:t>Date: July 22,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1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2020-07-22T16:16:57Z</dcterms:created>
  <dcterms:modified xsi:type="dcterms:W3CDTF">2020-07-22T16:16:57Z</dcterms:modified>
</cp:coreProperties>
</file>