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6" w:lineRule="exact"/>
        <w:rPr>
          <w:sz w:val="24"/>
          <w:szCs w:val="24"/>
          <w:color w:val="auto"/>
        </w:rPr>
      </w:pPr>
    </w:p>
    <w:p>
      <w:pPr>
        <w:ind w:left="3880" w:right="3860" w:hanging="3872"/>
        <w:spacing w:after="0" w:line="643" w:lineRule="auto"/>
        <w:tabs>
          <w:tab w:leader="none" w:pos="64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September 30, 2005</w:t>
      </w:r>
    </w:p>
    <w:p>
      <w:pPr>
        <w:jc w:val="center"/>
        <w:spacing w:after="0"/>
        <w:rPr>
          <w:sz w:val="20"/>
          <w:szCs w:val="20"/>
          <w:color w:val="auto"/>
        </w:rPr>
      </w:pPr>
      <w:r>
        <w:rPr>
          <w:rFonts w:ascii="Arial" w:cs="Arial" w:eastAsia="Arial" w:hAnsi="Arial"/>
          <w:sz w:val="18"/>
          <w:szCs w:val="18"/>
          <w:b w:val="1"/>
          <w:bCs w:val="1"/>
          <w:color w:val="auto"/>
        </w:rPr>
        <w:t>OR</w:t>
      </w:r>
    </w:p>
    <w:p>
      <w:pPr>
        <w:spacing w:after="0" w:line="320"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For the transition period from _______________ to _______________</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CLEARONE COMMUNICATIONS,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1" w:lineRule="exact"/>
        <w:rPr>
          <w:sz w:val="24"/>
          <w:szCs w:val="24"/>
          <w:color w:val="auto"/>
        </w:rPr>
      </w:pPr>
    </w:p>
    <w:tbl>
      <w:tblPr>
        <w:tblLayout w:type="fixed"/>
        <w:tblInd w:w="1720" w:type="dxa"/>
        <w:tblCellMar>
          <w:top w:w="0" w:type="dxa"/>
          <w:left w:w="0" w:type="dxa"/>
          <w:bottom w:w="0" w:type="dxa"/>
          <w:right w:w="0" w:type="dxa"/>
        </w:tblCellMar>
      </w:tblPr>
      <w:tr>
        <w:trPr>
          <w:trHeight w:val="241"/>
        </w:trPr>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346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4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2"/>
          </w:tcPr>
          <w:p>
            <w:pPr>
              <w:jc w:val="center"/>
              <w:ind w:right="8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340" w:type="dxa"/>
            <w:vAlign w:val="bottom"/>
          </w:tcPr>
          <w:p>
            <w:pPr>
              <w:spacing w:after="0"/>
              <w:rPr>
                <w:sz w:val="20"/>
                <w:szCs w:val="20"/>
                <w:color w:val="auto"/>
              </w:rPr>
            </w:pPr>
          </w:p>
        </w:tc>
        <w:tc>
          <w:tcPr>
            <w:tcW w:w="3120" w:type="dxa"/>
            <w:vAlign w:val="bottom"/>
            <w:gridSpan w:val="3"/>
          </w:tcPr>
          <w:p>
            <w:pPr>
              <w:jc w:val="center"/>
              <w:spacing w:after="0"/>
              <w:rPr>
                <w:sz w:val="20"/>
                <w:szCs w:val="20"/>
                <w:color w:val="auto"/>
              </w:rPr>
            </w:pPr>
            <w:r>
              <w:rPr>
                <w:rFonts w:ascii="Arial" w:cs="Arial" w:eastAsia="Arial" w:hAnsi="Arial"/>
                <w:sz w:val="18"/>
                <w:szCs w:val="18"/>
                <w:color w:val="auto"/>
                <w:w w:val="92"/>
              </w:rPr>
              <w:t>identification number)</w:t>
            </w:r>
          </w:p>
        </w:tc>
      </w:tr>
      <w:tr>
        <w:trPr>
          <w:trHeight w:val="493"/>
        </w:trPr>
        <w:tc>
          <w:tcPr>
            <w:tcW w:w="45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1825 Research Way, Salt Lake City, Utah</w:t>
            </w:r>
          </w:p>
        </w:tc>
        <w:tc>
          <w:tcPr>
            <w:tcW w:w="34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84119</w:t>
            </w:r>
          </w:p>
        </w:tc>
      </w:tr>
      <w:tr>
        <w:trPr>
          <w:trHeight w:val="230"/>
        </w:trPr>
        <w:tc>
          <w:tcPr>
            <w:tcW w:w="4520" w:type="dxa"/>
            <w:vAlign w:val="bottom"/>
            <w:tcBorders>
              <w:top w:val="single" w:sz="8" w:color="auto"/>
            </w:tcBorders>
          </w:tcPr>
          <w:p>
            <w:pPr>
              <w:jc w:val="center"/>
              <w:ind w:left="1170"/>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(801) 975-7200</w:t>
      </w:r>
    </w:p>
    <w:p>
      <w:pPr>
        <w:spacing w:after="0" w:line="283" w:lineRule="exact"/>
        <w:rPr>
          <w:sz w:val="24"/>
          <w:szCs w:val="24"/>
          <w:color w:val="auto"/>
        </w:rPr>
      </w:pPr>
    </w:p>
    <w:p>
      <w:pPr>
        <w:jc w:val="both"/>
        <w:ind w:right="100"/>
        <w:spacing w:after="0" w:line="256"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right"/>
        <w:spacing w:after="0" w:line="207" w:lineRule="exact"/>
        <w:tabs>
          <w:tab w:leader="none" w:pos="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1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19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x</w:t>
      </w:r>
    </w:p>
    <w:p>
      <w:pPr>
        <w:spacing w:after="0" w:line="320" w:lineRule="exact"/>
        <w:rPr>
          <w:sz w:val="24"/>
          <w:szCs w:val="24"/>
          <w:color w:val="auto"/>
        </w:rPr>
      </w:pPr>
    </w:p>
    <w:p>
      <w:pPr>
        <w:spacing w:after="0" w:line="207" w:lineRule="exact"/>
        <w:tabs>
          <w:tab w:leader="none" w:pos="926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APPLICABLE ONLY TO REGISTRANTS INVOLVED IN BANKRUPTCY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PROCEEDINGS DURING THE PRECEDING FIVE YEARS</w:t>
      </w: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w:t>
      </w:r>
    </w:p>
    <w:p>
      <w:pPr>
        <w:spacing w:after="0" w:line="46" w:lineRule="exact"/>
        <w:rPr>
          <w:sz w:val="24"/>
          <w:szCs w:val="24"/>
          <w:color w:val="auto"/>
        </w:rPr>
      </w:pPr>
    </w:p>
    <w:p>
      <w:pPr>
        <w:spacing w:after="0" w:line="207" w:lineRule="exact"/>
        <w:tabs>
          <w:tab w:leader="none" w:pos="7000" w:val="left"/>
          <w:tab w:leader="none" w:pos="8060" w:val="left"/>
        </w:tabs>
        <w:rPr>
          <w:sz w:val="20"/>
          <w:szCs w:val="20"/>
          <w:color w:val="auto"/>
        </w:rPr>
      </w:pPr>
      <w:r>
        <w:rPr>
          <w:rFonts w:ascii="Arial" w:cs="Arial" w:eastAsia="Arial" w:hAnsi="Arial"/>
          <w:sz w:val="18"/>
          <w:szCs w:val="18"/>
          <w:color w:val="auto"/>
        </w:rPr>
        <w:t>Act of 1934 subsequent to the distribution of securities under a plan confirmed by a court.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APPLICABLE ONLY TO CORPORATE REGISTRANTS</w:t>
      </w:r>
    </w:p>
    <w:p>
      <w:pPr>
        <w:spacing w:after="0" w:line="28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There were 12,184,727 shares of the Company’s Common Stock, par value $0.001, outstanding on May 15,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829"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2005</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 Number</w:t>
            </w:r>
          </w:p>
        </w:tc>
      </w:tr>
      <w:tr>
        <w:trPr>
          <w:trHeight w:val="460"/>
        </w:trPr>
        <w:tc>
          <w:tcPr>
            <w:tcW w:w="9920" w:type="dxa"/>
            <w:vAlign w:val="bottom"/>
            <w:gridSpan w:val="18"/>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486"/>
        </w:trPr>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180" w:type="dxa"/>
            <w:vAlign w:val="bottom"/>
            <w:tcBorders>
              <w:top w:val="single" w:sz="8" w:color="CCEEFF"/>
            </w:tcBorders>
            <w:gridSpan w:val="9"/>
          </w:tcPr>
          <w:p>
            <w:pPr>
              <w:jc w:val="center"/>
              <w:ind w:right="2240"/>
              <w:spacing w:after="0"/>
              <w:rPr>
                <w:sz w:val="20"/>
                <w:szCs w:val="20"/>
                <w:color w:val="auto"/>
              </w:rPr>
            </w:pPr>
            <w:r>
              <w:rPr>
                <w:rFonts w:ascii="Arial" w:cs="Arial" w:eastAsia="Arial" w:hAnsi="Arial"/>
                <w:sz w:val="18"/>
                <w:szCs w:val="18"/>
                <w:color w:val="auto"/>
                <w:w w:val="98"/>
              </w:rPr>
              <w:t>PART I - FINANCIAL INFORMATION</w:t>
            </w:r>
          </w:p>
        </w:tc>
        <w:tc>
          <w:tcPr>
            <w:tcW w:w="1500" w:type="dxa"/>
            <w:vAlign w:val="bottom"/>
            <w:tcBorders>
              <w:top w:val="single" w:sz="8" w:color="CCEEFF"/>
            </w:tcBorders>
          </w:tcPr>
          <w:p>
            <w:pPr>
              <w:spacing w:after="0"/>
              <w:rPr>
                <w:sz w:val="24"/>
                <w:szCs w:val="24"/>
                <w:color w:val="auto"/>
              </w:rPr>
            </w:pPr>
          </w:p>
        </w:tc>
      </w:tr>
      <w:tr>
        <w:trPr>
          <w:trHeight w:val="48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90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Condensed Consolidated Financial Statements</w:t>
            </w:r>
          </w:p>
        </w:tc>
        <w:tc>
          <w:tcPr>
            <w:tcW w:w="1500" w:type="dxa"/>
            <w:vAlign w:val="bottom"/>
            <w:shd w:val="clear" w:color="auto" w:fill="CCEEFF"/>
          </w:tcPr>
          <w:p>
            <w:pPr>
              <w:spacing w:after="0"/>
              <w:rPr>
                <w:sz w:val="24"/>
                <w:szCs w:val="24"/>
                <w:color w:val="auto"/>
              </w:rPr>
            </w:pPr>
          </w:p>
        </w:tc>
      </w:tr>
      <w:tr>
        <w:trPr>
          <w:trHeight w:val="44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2005 and June 30, 2005</w:t>
              </w:r>
            </w:hyperlink>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46"/>
        </w:trPr>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40" w:type="dxa"/>
            <w:vAlign w:val="bottom"/>
            <w:gridSpan w:val="16"/>
            <w:shd w:val="clear" w:color="auto" w:fill="CCEEFF"/>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Income (Loss) for the three months ended September</w:t>
              </w:r>
            </w:hyperlink>
          </w:p>
        </w:tc>
        <w:tc>
          <w:tcPr>
            <w:tcW w:w="1500" w:type="dxa"/>
            <w:vAlign w:val="bottom"/>
            <w:shd w:val="clear" w:color="auto" w:fill="CCEEFF"/>
          </w:tcPr>
          <w:p>
            <w:pPr>
              <w:spacing w:after="0"/>
              <w:rPr>
                <w:sz w:val="24"/>
                <w:szCs w:val="24"/>
                <w:color w:val="auto"/>
              </w:rPr>
            </w:pPr>
          </w:p>
        </w:tc>
      </w:tr>
      <w:tr>
        <w:trPr>
          <w:trHeight w:val="196"/>
        </w:trPr>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2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2005 and 2004</w:t>
              </w:r>
            </w:hyperlink>
          </w:p>
        </w:tc>
        <w:tc>
          <w:tcPr>
            <w:tcW w:w="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44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4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September 30, 2005 and 2004</w:t>
              </w:r>
            </w:hyperlink>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46"/>
        </w:trPr>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40" w:type="dxa"/>
            <w:vAlign w:val="bottom"/>
            <w:gridSpan w:val="16"/>
            <w:shd w:val="clear" w:color="auto" w:fill="CCEEFF"/>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446"/>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4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3</w:t>
            </w:r>
          </w:p>
        </w:tc>
        <w:tc>
          <w:tcPr>
            <w:tcW w:w="9040" w:type="dxa"/>
            <w:vAlign w:val="bottom"/>
            <w:gridSpan w:val="16"/>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 about Market Risk</w:t>
              </w:r>
            </w:hyperlink>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r>
      <w:tr>
        <w:trPr>
          <w:trHeight w:val="446"/>
        </w:trPr>
        <w:tc>
          <w:tcPr>
            <w:tcW w:w="8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800" w:type="dxa"/>
            <w:vAlign w:val="bottom"/>
            <w:tcBorders>
              <w:top w:val="single" w:sz="8" w:color="CCEEFF"/>
            </w:tcBorders>
            <w:gridSpan w:val="6"/>
          </w:tcPr>
          <w:p>
            <w:pPr>
              <w:spacing w:after="0"/>
              <w:rPr>
                <w:sz w:val="24"/>
                <w:szCs w:val="24"/>
                <w:color w:val="auto"/>
              </w:rPr>
            </w:pPr>
          </w:p>
        </w:tc>
        <w:tc>
          <w:tcPr>
            <w:tcW w:w="15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33</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86"/>
        </w:trPr>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180" w:type="dxa"/>
            <w:vAlign w:val="bottom"/>
            <w:gridSpan w:val="9"/>
            <w:shd w:val="clear" w:color="auto" w:fill="CCEEFF"/>
          </w:tcPr>
          <w:p>
            <w:pPr>
              <w:jc w:val="center"/>
              <w:ind w:right="2220"/>
              <w:spacing w:after="0"/>
              <w:rPr>
                <w:sz w:val="20"/>
                <w:szCs w:val="20"/>
                <w:color w:val="auto"/>
              </w:rPr>
            </w:pPr>
            <w:r>
              <w:rPr>
                <w:rFonts w:ascii="Arial" w:cs="Arial" w:eastAsia="Arial" w:hAnsi="Arial"/>
                <w:sz w:val="18"/>
                <w:szCs w:val="18"/>
                <w:color w:val="auto"/>
                <w:w w:val="96"/>
              </w:rPr>
              <w:t>PART II - OTHER INFORMATION</w:t>
            </w:r>
          </w:p>
        </w:tc>
        <w:tc>
          <w:tcPr>
            <w:tcW w:w="1500" w:type="dxa"/>
            <w:vAlign w:val="bottom"/>
            <w:shd w:val="clear" w:color="auto" w:fill="CCEEFF"/>
          </w:tcPr>
          <w:p>
            <w:pPr>
              <w:spacing w:after="0"/>
              <w:rPr>
                <w:sz w:val="24"/>
                <w:szCs w:val="24"/>
                <w:color w:val="auto"/>
              </w:rPr>
            </w:pPr>
          </w:p>
        </w:tc>
      </w:tr>
      <w:tr>
        <w:trPr>
          <w:trHeight w:val="446"/>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4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6"/>
        </w:trPr>
        <w:tc>
          <w:tcPr>
            <w:tcW w:w="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8120" w:type="dxa"/>
            <w:vAlign w:val="bottom"/>
            <w:tcBorders>
              <w:bottom w:val="single" w:sz="8" w:color="CCEEFF"/>
            </w:tcBorders>
            <w:gridSpan w:val="14"/>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446"/>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40" w:type="dxa"/>
            <w:vAlign w:val="bottom"/>
            <w:gridSpan w:val="1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6"/>
        </w:trPr>
        <w:tc>
          <w:tcPr>
            <w:tcW w:w="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Defaults Upon Senior Securities</w:t>
              </w:r>
            </w:hyperlink>
          </w:p>
        </w:tc>
        <w:tc>
          <w:tcPr>
            <w:tcW w:w="6700" w:type="dxa"/>
            <w:vAlign w:val="bottom"/>
            <w:tcBorders>
              <w:bottom w:val="single" w:sz="8" w:color="CCEEFF"/>
            </w:tcBorders>
            <w:gridSpan w:val="10"/>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446"/>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040" w:type="dxa"/>
            <w:vAlign w:val="bottom"/>
            <w:gridSpan w:val="1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Submission of Matters to a Vote of Security Holders</w:t>
              </w:r>
            </w:hyperlink>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5</w:t>
            </w:r>
          </w:p>
        </w:tc>
        <w:tc>
          <w:tcPr>
            <w:tcW w:w="9040" w:type="dxa"/>
            <w:vAlign w:val="bottom"/>
            <w:gridSpan w:val="16"/>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446"/>
        </w:trPr>
        <w:tc>
          <w:tcPr>
            <w:tcW w:w="8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7720" w:type="dxa"/>
            <w:vAlign w:val="bottom"/>
            <w:tcBorders>
              <w:top w:val="single" w:sz="8" w:color="CCEEFF"/>
            </w:tcBorders>
            <w:gridSpan w:val="13"/>
          </w:tcPr>
          <w:p>
            <w:pPr>
              <w:spacing w:after="0"/>
              <w:rPr>
                <w:sz w:val="24"/>
                <w:szCs w:val="24"/>
                <w:color w:val="auto"/>
              </w:rPr>
            </w:pPr>
          </w:p>
        </w:tc>
        <w:tc>
          <w:tcPr>
            <w:tcW w:w="15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43</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46"/>
        </w:trPr>
        <w:tc>
          <w:tcPr>
            <w:tcW w:w="880" w:type="dxa"/>
            <w:vAlign w:val="bottom"/>
            <w:gridSpan w:val="2"/>
            <w:shd w:val="clear" w:color="auto" w:fill="CCEEFF"/>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Signatures</w:t>
              </w:r>
            </w:hyperlink>
          </w:p>
        </w:tc>
        <w:tc>
          <w:tcPr>
            <w:tcW w:w="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however, not all forward-looking statements contain these words.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in Item 2, “Management’s Discussion and Analysis of Financial Condition and Results of Operations,” Item 3, “Quantitative and Qualitative Disclosures About Market Risk,” and Item 4, “Controls and Procedures” included in this Quarterly Report on Form 10-Q.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Part II - Other Information, Item 1A, “Risk Factors” and the application of “Critical Accounting Policies” as discussed in Item 2, “Management’s Discussion and Analysis of Financial Condition and Results of Operations.”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changes in circumstances, or changes in estimates.</w:t>
      </w:r>
    </w:p>
    <w:p>
      <w:pPr>
        <w:spacing w:after="0" w:line="200" w:lineRule="exact"/>
        <w:rPr>
          <w:sz w:val="20"/>
          <w:szCs w:val="20"/>
          <w:color w:val="auto"/>
        </w:rPr>
      </w:pPr>
    </w:p>
    <w:p>
      <w:pPr>
        <w:spacing w:after="0" w:line="243" w:lineRule="exact"/>
        <w:rPr>
          <w:sz w:val="20"/>
          <w:szCs w:val="20"/>
          <w:color w:val="auto"/>
        </w:rPr>
      </w:pPr>
    </w:p>
    <w:p>
      <w:pPr>
        <w:jc w:val="center"/>
        <w:ind w:left="600" w:right="460"/>
        <w:spacing w:after="0" w:line="277" w:lineRule="auto"/>
        <w:rPr>
          <w:sz w:val="20"/>
          <w:szCs w:val="20"/>
          <w:color w:val="auto"/>
        </w:rPr>
      </w:pPr>
      <w:r>
        <w:rPr>
          <w:rFonts w:ascii="Arial" w:cs="Arial" w:eastAsia="Arial" w:hAnsi="Arial"/>
          <w:sz w:val="18"/>
          <w:szCs w:val="18"/>
          <w:color w:val="auto"/>
        </w:rPr>
        <w:t>CAUTIONARY STATEMENT REGARDING THE FILING DATE OF THIS REPORT AND THE ANTICIPATED FUTURE FILINGS OF ADDITIONAL PAST-DUE REPORTS</w:t>
      </w:r>
    </w:p>
    <w:p>
      <w:pPr>
        <w:spacing w:after="0" w:line="224"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This Quarterly Report on Form 10-Q for the first quarter of the fiscal year ending June 30, 2006 is first being filed in May 2006. Shareholders and others are cautioned that the financial statements included in this report are over eight months old and are not necessarily indicative of the operating results that may be expected for the fiscal year ending June 30, 2006. Shareholders and others should also be aware that the staff of the Salt Lake District Office of the Securities and Exchange Commission (“SEC”) intended to recommend to the 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September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June 30,</w:t>
            </w:r>
          </w:p>
        </w:tc>
      </w:tr>
      <w:tr>
        <w:trPr>
          <w:trHeight w:val="270"/>
        </w:trPr>
        <w:tc>
          <w:tcPr>
            <w:tcW w:w="7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r>
      <w:tr>
        <w:trPr>
          <w:trHeight w:val="480"/>
        </w:trPr>
        <w:tc>
          <w:tcPr>
            <w:tcW w:w="7300" w:type="dxa"/>
            <w:vAlign w:val="bottom"/>
          </w:tcPr>
          <w:p>
            <w:pPr>
              <w:ind w:left="33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15,800</w:t>
            </w: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 of $49 and $46, respectively</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r>
      <w:tr>
        <w:trPr>
          <w:trHeight w:val="243"/>
        </w:trPr>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34,879</w:t>
            </w:r>
          </w:p>
        </w:tc>
        <w:tc>
          <w:tcPr>
            <w:tcW w:w="100" w:type="dxa"/>
            <w:vAlign w:val="bottom"/>
          </w:tcPr>
          <w:p>
            <w:pPr>
              <w:spacing w:after="0"/>
              <w:rPr>
                <w:sz w:val="20"/>
                <w:szCs w:val="20"/>
                <w:color w:val="auto"/>
              </w:rPr>
            </w:pPr>
          </w:p>
        </w:tc>
      </w:tr>
      <w:tr>
        <w:trPr>
          <w:trHeight w:val="243"/>
        </w:trPr>
        <w:tc>
          <w:tcPr>
            <w:tcW w:w="7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r>
      <w:tr>
        <w:trPr>
          <w:trHeight w:val="250"/>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73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38,244</w:t>
            </w:r>
          </w:p>
        </w:tc>
        <w:tc>
          <w:tcPr>
            <w:tcW w:w="1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38,021</w:t>
            </w:r>
          </w:p>
        </w:tc>
        <w:tc>
          <w:tcPr>
            <w:tcW w:w="10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7300" w:type="dxa"/>
            <w:vAlign w:val="bottom"/>
          </w:tcPr>
          <w:p>
            <w:pPr>
              <w:ind w:left="170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21"/>
                <w:szCs w:val="21"/>
                <w:color w:val="auto"/>
              </w:rPr>
            </w:pPr>
          </w:p>
        </w:tc>
      </w:tr>
      <w:tr>
        <w:trPr>
          <w:trHeight w:val="237"/>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00" w:type="dxa"/>
            <w:vAlign w:val="bottom"/>
            <w:shd w:val="clear" w:color="auto" w:fill="CCEEFF"/>
          </w:tcPr>
          <w:p>
            <w:pPr>
              <w:spacing w:after="0"/>
              <w:rPr>
                <w:sz w:val="20"/>
                <w:szCs w:val="20"/>
                <w:color w:val="auto"/>
              </w:rPr>
            </w:pPr>
          </w:p>
        </w:tc>
      </w:tr>
      <w:tr>
        <w:trPr>
          <w:trHeight w:val="243"/>
        </w:trPr>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5"/>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73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8,739</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13,110</w:t>
            </w:r>
          </w:p>
        </w:tc>
        <w:tc>
          <w:tcPr>
            <w:tcW w:w="100" w:type="dxa"/>
            <w:vAlign w:val="bottom"/>
            <w:tcBorders>
              <w:top w:val="single" w:sz="8" w:color="CCEEFF"/>
            </w:tcBorders>
          </w:tcPr>
          <w:p>
            <w:pPr>
              <w:spacing w:after="0"/>
              <w:rPr>
                <w:sz w:val="20"/>
                <w:szCs w:val="20"/>
                <w:color w:val="auto"/>
              </w:rPr>
            </w:pPr>
          </w:p>
        </w:tc>
      </w:tr>
      <w:tr>
        <w:trPr>
          <w:trHeight w:val="237"/>
        </w:trPr>
        <w:tc>
          <w:tcPr>
            <w:tcW w:w="7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Commitments and contingencies (see Note 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Arial" w:cs="Arial" w:eastAsia="Arial" w:hAnsi="Arial"/>
                <w:sz w:val="18"/>
                <w:szCs w:val="18"/>
                <w:color w:val="auto"/>
              </w:rPr>
              <w:t>12,184,727 and 11,264,233 shares issued and outstanding, respectively</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43"/>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(22,473)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(24,460)</w:t>
            </w:r>
          </w:p>
        </w:tc>
      </w:tr>
      <w:tr>
        <w:trPr>
          <w:trHeight w:val="264"/>
        </w:trPr>
        <w:tc>
          <w:tcPr>
            <w:tcW w:w="73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29,505</w:t>
            </w: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24,911</w:t>
            </w:r>
          </w:p>
        </w:tc>
        <w:tc>
          <w:tcPr>
            <w:tcW w:w="100" w:type="dxa"/>
            <w:vAlign w:val="bottom"/>
            <w:tcBorders>
              <w:top w:val="single" w:sz="8" w:color="CCEEFF"/>
            </w:tcBorders>
          </w:tcPr>
          <w:p>
            <w:pPr>
              <w:spacing w:after="0"/>
              <w:rPr>
                <w:sz w:val="22"/>
                <w:szCs w:val="22"/>
                <w:color w:val="auto"/>
              </w:rPr>
            </w:pPr>
          </w:p>
        </w:tc>
      </w:tr>
      <w:tr>
        <w:trPr>
          <w:trHeight w:val="257"/>
        </w:trPr>
        <w:tc>
          <w:tcPr>
            <w:tcW w:w="7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38,244</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38,021</w:t>
            </w:r>
          </w:p>
        </w:tc>
        <w:tc>
          <w:tcPr>
            <w:tcW w:w="100" w:type="dxa"/>
            <w:vAlign w:val="bottom"/>
            <w:shd w:val="clear" w:color="auto" w:fill="CCEEFF"/>
          </w:tcPr>
          <w:p>
            <w:pPr>
              <w:spacing w:after="0"/>
              <w:rPr>
                <w:sz w:val="22"/>
                <w:szCs w:val="22"/>
                <w:color w:val="auto"/>
              </w:rPr>
            </w:pPr>
          </w:p>
        </w:tc>
      </w:tr>
      <w:tr>
        <w:trPr>
          <w:trHeight w:val="20"/>
        </w:trPr>
        <w:tc>
          <w:tcPr>
            <w:tcW w:w="7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51764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inventory write-offs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cost of goods sold</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Gain on disposal of discontinued operations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13,346</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12,956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Comprehensive income:</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gridSpan w:val="2"/>
            <w:shd w:val="clear" w:color="auto" w:fill="CCEEFF"/>
          </w:tcPr>
          <w:p>
            <w:pPr>
              <w:spacing w:after="0"/>
              <w:rPr>
                <w:sz w:val="19"/>
                <w:szCs w:val="19"/>
                <w:color w:val="auto"/>
              </w:rPr>
            </w:pPr>
          </w:p>
        </w:tc>
        <w:tc>
          <w:tcPr>
            <w:tcW w:w="112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gridSpan w:val="5"/>
          </w:tcPr>
          <w:p>
            <w:pPr>
              <w:ind w:left="1960"/>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380" w:top="36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88900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INCOME (LOSS)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 from continuing operations</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r>
      <w:tr>
        <w:trPr>
          <w:trHeight w:val="243"/>
        </w:trPr>
        <w:tc>
          <w:tcPr>
            <w:tcW w:w="590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 from continuing operations</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900" w:type="dxa"/>
            <w:vAlign w:val="bottom"/>
            <w:gridSpan w:val="2"/>
          </w:tcPr>
          <w:p>
            <w:pPr>
              <w:spacing w:after="0"/>
              <w:rPr>
                <w:sz w:val="20"/>
                <w:szCs w:val="20"/>
                <w:color w:val="auto"/>
              </w:rPr>
            </w:pPr>
            <w:r>
              <w:rPr>
                <w:rFonts w:ascii="Arial" w:cs="Arial" w:eastAsia="Arial" w:hAnsi="Arial"/>
                <w:sz w:val="18"/>
                <w:szCs w:val="18"/>
                <w:color w:val="auto"/>
              </w:rPr>
              <w:t>Basic earnings (loss) per common share from discontinued operations</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 from discontinued operations</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1"/>
                <w:szCs w:val="21"/>
                <w:color w:val="auto"/>
              </w:rPr>
            </w:pPr>
          </w:p>
        </w:tc>
      </w:tr>
      <w:tr>
        <w:trPr>
          <w:trHeight w:val="243"/>
        </w:trPr>
        <w:tc>
          <w:tcPr>
            <w:tcW w:w="590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1"/>
                <w:szCs w:val="21"/>
                <w:color w:val="auto"/>
              </w:rPr>
            </w:pPr>
          </w:p>
        </w:tc>
      </w:tr>
      <w:tr>
        <w:trPr>
          <w:trHeight w:val="270"/>
        </w:trPr>
        <w:tc>
          <w:tcPr>
            <w:tcW w:w="590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900" w:type="dxa"/>
            <w:vAlign w:val="bottom"/>
            <w:gridSpan w:val="2"/>
          </w:tcPr>
          <w:p>
            <w:pPr>
              <w:spacing w:after="0"/>
              <w:rPr>
                <w:sz w:val="20"/>
                <w:szCs w:val="20"/>
                <w:color w:val="auto"/>
              </w:rPr>
            </w:pPr>
            <w:r>
              <w:rPr>
                <w:rFonts w:ascii="Arial" w:cs="Arial" w:eastAsia="Arial" w:hAnsi="Arial"/>
                <w:sz w:val="18"/>
                <w:szCs w:val="18"/>
                <w:color w:val="auto"/>
              </w:rPr>
              <w:t>Basic weighted average shares</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11,284,244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11,036,233</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12,278,664</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12,406,363</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-121920</wp:posOffset>
            </wp:positionV>
            <wp:extent cx="579755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860" w:top="364" w:right="8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3"/>
                <w:szCs w:val="23"/>
                <w:color w:val="auto"/>
              </w:rPr>
            </w:pP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Adjustments to reconcile net income (loss) from continuing operations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net cash provided by operations: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disposal of assets and fixed assets write-offs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accounting adjustment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product revenue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change in other assets/liabilities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continuing operating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Net cash provided by discontinued operating activities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cash used in continuing investing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(18,903)</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(4,687)</w:t>
            </w: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Principal payments on note payable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continuing financing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cash used in discontinued financing activities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r>
      <w:tr>
        <w:trPr>
          <w:trHeight w:val="270"/>
        </w:trPr>
        <w:tc>
          <w:tcPr>
            <w:tcW w:w="650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8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88900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320" w:type="dxa"/>
            <w:vAlign w:val="bottom"/>
            <w:gridSpan w:val="3"/>
          </w:tcPr>
          <w:p>
            <w:pPr>
              <w:ind w:left="120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3"/>
                <w:szCs w:val="23"/>
                <w:color w:val="auto"/>
              </w:rPr>
            </w:pPr>
          </w:p>
        </w:tc>
      </w:tr>
      <w:tr>
        <w:trPr>
          <w:trHeight w:val="237"/>
        </w:trPr>
        <w:tc>
          <w:tcPr>
            <w:tcW w:w="54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4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common shares issued in shareholder settlement</w:t>
            </w:r>
          </w:p>
        </w:tc>
        <w:tc>
          <w:tcPr>
            <w:tcW w:w="14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accompanying unaudited condensed consolidated financial statements, consisting of the condensed consolidated balance sheets as of September 30, 2005 and June 30, 2005, the condensed consolidated statements of operations for the three months ended September 30, 2005 and 2004, and the condensed consolidated statements of cash flows for the three months ended September 30, 2005 and 2004, have been prepared in accordance with accounting principles generally accepted in the United States for interim financial information and with the instructions to Form 10-Q of Regulation S-X. Accordingly, certain information and footnote disclosures normally included in complete financial statements have been condensed or omitted. These condensed consolidated financial statements should be read in conjunction with the consolidated financial statements and notes thereto included in the Company's Annual Report on Form 10-K for the year ended June 30, 2005.</w:t>
      </w:r>
    </w:p>
    <w:p>
      <w:pPr>
        <w:spacing w:after="0" w:line="24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management’s opinion, all adjustments (consisting of normal recurring adjustments) considered necessary for a fair presentation have been included. The results of operations for interim periods are not necessarily indicative of the results of operations to be expected for the entire year or for any future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Policy Update</w:t>
      </w:r>
    </w:p>
    <w:p>
      <w:pPr>
        <w:spacing w:after="0" w:line="2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disclosure of contingent assets and liabilities at the date of the financial statements and the reported amounts of sales and expenses during the reporting periods. Key estimates in the accompanying condensed consolidated financial statements include, among others, revenue recognition, allowances for doubtful accounts and product returns, provisions for obsolete inventory, valuation of long-lived assets including goodwill, and deferred income tax asset valuation allowances. Actual results could differ materially from these estimates.</w:t>
      </w:r>
    </w:p>
    <w:p>
      <w:pPr>
        <w:spacing w:after="0" w:line="2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evaluates, at each quarter-end, the inventory in the channel through information provided by certain of its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The level of inventory in the channel will fluctuate up or down, each quarter, based upon these distributors’ individual operations. Accordingly, each quarter-end revenue deferral is calculated and recorded based upon the underlying, estimated channel inventory at quarter-end. The amounts of deferred cost of goods sold were included in consigned inventory. The following table details the amount of deferred revenue and cost of goods sold at each period end for the 15-month period ended September 30, 2005.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4"/>
              </w:rPr>
              <w:t>Deferred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Cost of</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1"/>
              </w:rPr>
              <w:t>Deferred</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9"/>
              </w:rPr>
              <w:t>Deferred</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Goods</w:t>
            </w:r>
          </w:p>
        </w:tc>
        <w:tc>
          <w:tcPr>
            <w:tcW w:w="10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Gross</w:t>
            </w:r>
          </w:p>
        </w:tc>
        <w:tc>
          <w:tcPr>
            <w:tcW w:w="284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Sold</w:t>
            </w:r>
          </w:p>
        </w:tc>
        <w:tc>
          <w:tcPr>
            <w:tcW w:w="10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Profit</w:t>
            </w:r>
          </w:p>
        </w:tc>
        <w:tc>
          <w:tcPr>
            <w:tcW w:w="2840" w:type="dxa"/>
            <w:vAlign w:val="bottom"/>
          </w:tcPr>
          <w:p>
            <w:pPr>
              <w:spacing w:after="0"/>
              <w:rPr>
                <w:sz w:val="20"/>
                <w:szCs w:val="20"/>
                <w:color w:val="auto"/>
              </w:rPr>
            </w:pPr>
          </w:p>
        </w:tc>
      </w:tr>
      <w:tr>
        <w:trPr>
          <w:trHeight w:val="237"/>
        </w:trPr>
        <w:tc>
          <w:tcPr>
            <w:tcW w:w="2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2880" w:type="dxa"/>
            <w:vAlign w:val="bottom"/>
          </w:tcPr>
          <w:p>
            <w:pPr>
              <w:spacing w:after="0"/>
              <w:rPr>
                <w:sz w:val="21"/>
                <w:szCs w:val="21"/>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2,373</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2,475</w:t>
            </w:r>
          </w:p>
        </w:tc>
        <w:tc>
          <w:tcPr>
            <w:tcW w:w="2840" w:type="dxa"/>
            <w:vAlign w:val="bottom"/>
          </w:tcPr>
          <w:p>
            <w:pPr>
              <w:spacing w:after="0"/>
              <w:rPr>
                <w:sz w:val="21"/>
                <w:szCs w:val="21"/>
                <w:color w:val="auto"/>
              </w:rPr>
            </w:pPr>
          </w:p>
        </w:tc>
      </w:tr>
      <w:tr>
        <w:trPr>
          <w:trHeight w:val="243"/>
        </w:trPr>
        <w:tc>
          <w:tcPr>
            <w:tcW w:w="4980" w:type="dxa"/>
            <w:vAlign w:val="bottom"/>
            <w:gridSpan w:val="2"/>
          </w:tcPr>
          <w:p>
            <w:pPr>
              <w:ind w:left="2860"/>
              <w:spacing w:after="0"/>
              <w:rPr>
                <w:sz w:val="20"/>
                <w:szCs w:val="20"/>
                <w:color w:val="auto"/>
              </w:rPr>
            </w:pPr>
            <w:r>
              <w:rPr>
                <w:rFonts w:ascii="Arial" w:cs="Arial" w:eastAsia="Arial" w:hAnsi="Arial"/>
                <w:sz w:val="18"/>
                <w:szCs w:val="18"/>
                <w:color w:val="auto"/>
              </w:rPr>
              <w:t>June 30, 2005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5,055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2,758</w:t>
            </w: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March 31, 2005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840" w:type="dxa"/>
            <w:vAlign w:val="bottom"/>
          </w:tcPr>
          <w:p>
            <w:pPr>
              <w:spacing w:after="0"/>
              <w:rPr>
                <w:sz w:val="21"/>
                <w:szCs w:val="21"/>
                <w:color w:val="auto"/>
              </w:rPr>
            </w:pPr>
          </w:p>
        </w:tc>
      </w:tr>
      <w:tr>
        <w:trPr>
          <w:trHeight w:val="243"/>
        </w:trPr>
        <w:tc>
          <w:tcPr>
            <w:tcW w:w="4980" w:type="dxa"/>
            <w:vAlign w:val="bottom"/>
            <w:gridSpan w:val="2"/>
          </w:tcPr>
          <w:p>
            <w:pPr>
              <w:ind w:left="2860"/>
              <w:spacing w:after="0"/>
              <w:rPr>
                <w:sz w:val="20"/>
                <w:szCs w:val="20"/>
                <w:color w:val="auto"/>
              </w:rPr>
            </w:pPr>
            <w:r>
              <w:rPr>
                <w:rFonts w:ascii="Arial" w:cs="Arial" w:eastAsia="Arial" w:hAnsi="Arial"/>
                <w:sz w:val="18"/>
                <w:szCs w:val="18"/>
                <w:color w:val="auto"/>
              </w:rPr>
              <w:t>December 31, 2004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3,867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2,258</w:t>
            </w: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840" w:type="dxa"/>
            <w:vAlign w:val="bottom"/>
          </w:tcPr>
          <w:p>
            <w:pPr>
              <w:spacing w:after="0"/>
              <w:rPr>
                <w:sz w:val="21"/>
                <w:szCs w:val="21"/>
                <w:color w:val="auto"/>
              </w:rPr>
            </w:pPr>
          </w:p>
        </w:tc>
      </w:tr>
      <w:tr>
        <w:trPr>
          <w:trHeight w:val="243"/>
        </w:trPr>
        <w:tc>
          <w:tcPr>
            <w:tcW w:w="4980" w:type="dxa"/>
            <w:vAlign w:val="bottom"/>
            <w:gridSpan w:val="2"/>
          </w:tcPr>
          <w:p>
            <w:pPr>
              <w:ind w:left="2860"/>
              <w:spacing w:after="0"/>
              <w:rPr>
                <w:sz w:val="20"/>
                <w:szCs w:val="20"/>
                <w:color w:val="auto"/>
              </w:rPr>
            </w:pPr>
            <w:r>
              <w:rPr>
                <w:rFonts w:ascii="Arial" w:cs="Arial" w:eastAsia="Arial" w:hAnsi="Arial"/>
                <w:sz w:val="18"/>
                <w:szCs w:val="18"/>
                <w:color w:val="auto"/>
              </w:rPr>
              <w:t>June 30, 2004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6,107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3,726</w:t>
            </w:r>
          </w:p>
        </w:tc>
        <w:tc>
          <w:tcPr>
            <w:tcW w:w="2840" w:type="dxa"/>
            <w:vAlign w:val="bottom"/>
          </w:tcPr>
          <w:p>
            <w:pPr>
              <w:spacing w:after="0"/>
              <w:rPr>
                <w:sz w:val="21"/>
                <w:szCs w:val="21"/>
                <w:color w:val="auto"/>
              </w:rPr>
            </w:pPr>
          </w:p>
        </w:tc>
      </w:tr>
      <w:tr>
        <w:trPr>
          <w:trHeight w:val="486"/>
        </w:trPr>
        <w:tc>
          <w:tcPr>
            <w:tcW w:w="2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Share-Based Payment </w:t>
      </w:r>
      <w:r>
        <w:rPr>
          <w:rFonts w:ascii="Arial" w:cs="Arial" w:eastAsia="Arial" w:hAnsi="Arial"/>
          <w:sz w:val="17"/>
          <w:szCs w:val="17"/>
          <w:color w:val="auto"/>
        </w:rPr>
        <w:t>- Prior to June 30, 2005 and as permitted under the original Statement of Financial Accounting Standards (“SFAS”) No. 123,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accounted for its share-based payments following the recognition and measurement principles of Accounting Principles Board Opinion No. 25, “Accounting for Stock Issued to Employees,” as interpreted. Accordingly, no share-based compensation expense had been reflected in the Company’s fiscal 2005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SFAS No. 123R requires the Company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July 1, 2005, the Company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 See Note 9 for information about the Company’s various share-based compensation plans, the impact of adoption of SFAS No. 123R, and the assumptions used to calculate the fair value of share-based compensation.</w:t>
      </w:r>
    </w:p>
    <w:p>
      <w:pPr>
        <w:spacing w:after="0" w:line="2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assumptions change in the application of SFAS No. 123R in future periods, the stock-based compensation cost ultimately recorded under SFAS No. 123R may differ significantly from what was recorded in the current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Asset Retirement Obligations in the European Union</w:t>
      </w:r>
    </w:p>
    <w:p>
      <w:pPr>
        <w:spacing w:after="0" w:line="2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June 2005, the FASB issued a FASB Staff Position (“FSP”) interpreting SFAS No. 143, “Accounting for Asset Retirement Obligations,” specifically FSP 143-1, “Accounting for Electronic Equipment Waste Obligations.”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is effective beginning with the Company’s fiscal 2006 financial statements. Management does not believe that the adoption of FSP 143-1 had a material effect on the Company’s business,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Costs</w:t>
      </w:r>
    </w:p>
    <w:p>
      <w:pPr>
        <w:spacing w:after="0" w:line="27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is effective beginning with the Company’s fiscal 2006 financial statements. There was not a significant impact on the Company’s business, results of operations, financial position, or liquidity from the adoption of this standard.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 and Error Corrections</w:t>
      </w:r>
    </w:p>
    <w:p>
      <w:pPr>
        <w:spacing w:after="0" w:line="2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The Company does not believe that the adoption of SFAS No. 154 will have a material effect on its business, results of operations, financial position, or liquidity.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Other-Than-Temporary Impairment</w:t>
      </w:r>
    </w:p>
    <w:p>
      <w:pPr>
        <w:spacing w:after="0" w:line="2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March 2004, the FASB issued Emerging Issues Task Force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The Company does not expect that the adoption of this EITF to have a material impact on its business,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3. Earnings Per Common Share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7640" w:type="dxa"/>
            <w:vAlign w:val="bottom"/>
            <w:gridSpan w:val="2"/>
          </w:tcPr>
          <w:p>
            <w:pPr>
              <w:spacing w:after="0"/>
              <w:rPr>
                <w:sz w:val="20"/>
                <w:szCs w:val="20"/>
                <w:color w:val="auto"/>
              </w:rPr>
            </w:pPr>
            <w:r>
              <w:rPr>
                <w:rFonts w:ascii="Arial" w:cs="Arial" w:eastAsia="Arial" w:hAnsi="Arial"/>
                <w:sz w:val="18"/>
                <w:szCs w:val="18"/>
                <w:color w:val="auto"/>
                <w:w w:val="94"/>
              </w:rPr>
              <w:t>The following table sets forth the computation of basic and diluted earnings (loss) per common share: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0"/>
        </w:trPr>
        <w:tc>
          <w:tcPr>
            <w:tcW w:w="1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116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6"/>
                <w:szCs w:val="16"/>
                <w:color w:val="auto"/>
              </w:rPr>
            </w:pPr>
          </w:p>
        </w:tc>
      </w:tr>
      <w:tr>
        <w:trPr>
          <w:trHeight w:val="234"/>
        </w:trPr>
        <w:tc>
          <w:tcPr>
            <w:tcW w:w="11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300" w:type="dxa"/>
            <w:vAlign w:val="bottom"/>
            <w:gridSpan w:val="3"/>
          </w:tcPr>
          <w:p>
            <w:pPr>
              <w:ind w:left="18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r>
      <w:tr>
        <w:trPr>
          <w:trHeight w:val="264"/>
        </w:trPr>
        <w:tc>
          <w:tcPr>
            <w:tcW w:w="116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 net of tax</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50"/>
        </w:trPr>
        <w:tc>
          <w:tcPr>
            <w:tcW w:w="116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(loss) on disposal of discontinued operations,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12,956</w:t>
            </w:r>
          </w:p>
        </w:tc>
        <w:tc>
          <w:tcPr>
            <w:tcW w:w="8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Basic weighted average shares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11,284,244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11,036,233</w:t>
            </w:r>
          </w:p>
        </w:tc>
        <w:tc>
          <w:tcPr>
            <w:tcW w:w="80" w:type="dxa"/>
            <w:vAlign w:val="bottom"/>
          </w:tcPr>
          <w:p>
            <w:pPr>
              <w:spacing w:after="0"/>
              <w:rPr>
                <w:sz w:val="21"/>
                <w:szCs w:val="21"/>
                <w:color w:val="auto"/>
              </w:rPr>
            </w:pPr>
          </w:p>
        </w:tc>
      </w:tr>
      <w:tr>
        <w:trPr>
          <w:trHeight w:val="275"/>
        </w:trPr>
        <w:tc>
          <w:tcPr>
            <w:tcW w:w="116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994,420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1,370,130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116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12,278,664</w:t>
            </w: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12,406,363</w:t>
            </w:r>
          </w:p>
        </w:tc>
        <w:tc>
          <w:tcPr>
            <w:tcW w:w="80" w:type="dxa"/>
            <w:vAlign w:val="bottom"/>
            <w:tcBorders>
              <w:top w:val="single" w:sz="8" w:color="CCEEFF"/>
            </w:tcBorders>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Basic earnings (loss) per common share:</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 of discontinued operations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Disposal of discontinued operations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1"/>
                <w:szCs w:val="21"/>
                <w:color w:val="auto"/>
              </w:rPr>
            </w:pPr>
          </w:p>
        </w:tc>
      </w:tr>
    </w:tbl>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Options that had an exercise price greater than the average market price of the common shares (“Out-of-the-Money Options”) during the respective period were not included in the computation of diluted earnings per share as the effect would be anti-dilutive. An average total of 1,454,061 and 1,503,057 Out-of-the-Money Options were not included during the three months ended September 30, 2005 and 2004, respectively. Warrants to purchase 150,000 shares of common stock were outstanding as of September 30, 2005 and 2004, but were not included in the computation of diluted earnings per share for the three month periods ended September 30, 2005 and 2004 as the effect would be anti-dilutive. During fiscal 2004, the Company entered into a settlement agreement related to the shareholders’ class action and agreed to issue 1.2 million shares of its common stock; however, certain of these shares were settled in cash in lieu of common stock (see Note 8). The Company issued 228,000 shares in November 2004 and 920,494 shares in September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2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fiscal 2005, the Company completed the sale of its conferencing services business component to Clarinet, Inc., an affiliate of American Teleconferencing Services, Ltd. doing business as Premiere Conferencing (“Premiere”) and the sale of its Canadian audiovisual integration services, OM Video, to 6351352 Canada Inc, a Canada corporation (the “OM Purchaser”). Accordingly, the results of operations and the financial position have been reclassified in the accompanying condensed consolidated financial statements as discontinued operations. Additionally, during fiscal 2001, the Company sold certain assets to Burk Technology, Inc. (“Burk”) whose sales proceeds are included with discontinued operations. Summary operating results of the discontinued operations are as follows:</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480"/>
        </w:trPr>
        <w:tc>
          <w:tcPr>
            <w:tcW w:w="650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Conferencing services business</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17,369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Burk</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gain on disposal of discontinued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Conferencing services business</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(3,991)</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Burk</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income tax (provision) benefit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(3,982)</w:t>
            </w: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income taxes: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Conferencing services business</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13,378</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Burk</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income from discontinued operations,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of income taxes</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13,346</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Conferencing Services</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July 1, 2004, the Company sold its conferencing services business component to Premiere. Consideration for the sale consisted of $21,300 in cash. Of the purchase price, $300 was placed into a working capital escrow account and an additional $1,000 was placed into an 18-month Indemnity Escrow account. The Company received the $300 working capital escrow funds approximately 90 days after the execution date of the contract. The Company received the $1,000 in the Indemnity Escrow account in January 2006. Additionally, $1,365 of the proceeds was utilized to pay off equipment leases pertaining to assets being conveyed to Premiere. The Company realized a pre-tax gain on the sale of $17,369 during the three months ended September 30, 2004.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OM Video revenues, reported in discontinued operations, for the three months ended September 30, 2004 were $879. OM Video pre-tax income (loss), reported in discontinued operations, for the three months ended September 30, 2005 and 2004 were $150 and ($41), respectively.</w:t>
      </w:r>
    </w:p>
    <w:p>
      <w:pPr>
        <w:sectPr>
          <w:pgSz w:w="11900" w:h="16838" w:orient="portrait"/>
          <w:cols w:equalWidth="0" w:num="1">
            <w:col w:w="11420"/>
          </w:cols>
          <w:pgMar w:left="240" w:top="121" w:right="239" w:bottom="811"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811" w:gutter="0" w:footer="0" w:header="0"/>
          <w:type w:val="continuous"/>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2005, all payments required through such date had been received and $854 of the promissory note remained outstanding; however, OM Purchaser has failed to make any subsequent, required payments under the note receivable and is in default thereunder. The Company is currently considering its collection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Burk</w:t>
      </w:r>
    </w:p>
    <w:p>
      <w:pPr>
        <w:spacing w:after="0" w:line="2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August 22, 2005, the Company entered into a Mutual Release and Waiver Agreement with Burk pursuant to which Burk paid the Company $1,346 in full satisfaction of the promissory note, which included a discount of $119. As part of the Mutual Release and Waiver Agreement, the Company waived any right to future commission payments from Burk. Additionally, Burk and the Company granted mutual releases to one another with respect to future claims and liabilities. Accordingly, the total pre-tax gain on the disposal of discontinued operations, related to Burk, was approximately $2,419. The Company realized pre-tax gain from discontinued operations of $1,346 during the three months ended September 30, 2005.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three months ended September 30, 2005, the Company recorded a benefit for income taxes from continuing operations of $178. This compares to a benefit for income taxes of $232 during the three months ended September 30, 2004.</w:t>
      </w:r>
    </w:p>
    <w:p>
      <w:pPr>
        <w:spacing w:after="0" w:line="2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requires that a valuation allowance be established when it is more likely than not that all or a portion of a deferred tax asset will not be realized. Valuation allowances were recorded in fiscal 2006 and fiscal 2005 due to the uncertainty of realization of the assets. As of September 30, 2005, the Company has recorded a valuation allowance against all of its net deferred tax assets. Based on the Company’s lack of cumulative profitability in recent years it is more likely than not that all of the net deferred tax assets will not be realized.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 of the following as of September 30, 2005 and June 30, 2005:</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June 30,</w:t>
            </w: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Total inventory</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4,640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5,806</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-205105</wp:posOffset>
            </wp:positionV>
            <wp:extent cx="3429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 as of September 30, 2005 and June 30, 2005:</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other compensation</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60" w:type="dxa"/>
            <w:vAlign w:val="bottom"/>
            <w:shd w:val="clear" w:color="auto" w:fill="CCEEFF"/>
          </w:tcPr>
          <w:p>
            <w:pPr>
              <w:spacing w:after="0"/>
              <w:rPr>
                <w:sz w:val="20"/>
                <w:szCs w:val="20"/>
                <w:color w:val="auto"/>
              </w:rPr>
            </w:pP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1,049</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action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5,622</w:t>
            </w:r>
          </w:p>
        </w:tc>
        <w:tc>
          <w:tcPr>
            <w:tcW w:w="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-187960</wp:posOffset>
            </wp:positionV>
            <wp:extent cx="342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8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business, results of operations, financial position, or liquidity.</w:t>
      </w:r>
    </w:p>
    <w:p>
      <w:pPr>
        <w:spacing w:after="0" w:line="22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the Company is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 However, based on the information available to the Company as of May 15, 2006 and after discussions with legal counsel, the Company does not believe any such other proceedings will have a material, adverse effect on its business, results of operations, financial position, or liquidity, except as described below.</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The Shareholders’ Class Action</w:t>
      </w:r>
      <w:r>
        <w:rPr>
          <w:rFonts w:ascii="Arial" w:cs="Arial" w:eastAsia="Arial" w:hAnsi="Arial"/>
          <w:sz w:val="16"/>
          <w:szCs w:val="16"/>
          <w:color w:val="auto"/>
        </w:rPr>
        <w:t>. On June 30, 2003, a consolidated complaint was filed against the Company, eight present or former officers and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an SEC complaint described in the Company’s Annual Report on Form 10-K for the year ended June 30, 2005. On December 4, 2003, the Company, on behalf of itself and all other defendants with the exception of Ernst &amp; Young, entered into a settlement agreement with the class pursuant to which the Company agreed to pay the class $5,000 and to issue the class 1.2 million shares of its common stock. The cash payment was made in two equal installments, the first on November 10, 2003 (fiscal 2004) and the second on January 14, 2005 (fiscal 2005). On May 23, 2005, the court order was amended to require the Company to pay cash in lieu of stock to those members of the class who would otherwise have been entitled to receive fewer than 100 shares of stock. On September 29, 2005 (fiscal 2006), the Company completed its obligations under the settlement agreement by issuing a total of 1,148,494 shares of the Company’s common stock to the plaintiff class, including 228,000 shares previously issued in November 2004 (fiscal 2005), and the Company paid an aggregate of $127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w:t>
      </w:r>
    </w:p>
    <w:p>
      <w:pPr>
        <w:spacing w:after="0" w:line="22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On a quarterly basis, the Company revalued the un-issued shares to the closing price of the stock on the later of the date the shares were mailed or the last day of the quarter. During the three months ended September 30, 2005 and 2004, the Company received a benefit of $1,205 and $1,020, respectively, related to the revaluation of the 1.2 million shares of the Company’s common stock that were issued in November 2004 and September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The Shareholder Derivative Actions</w:t>
      </w:r>
      <w:r>
        <w:rPr>
          <w:rFonts w:ascii="Arial" w:cs="Arial" w:eastAsia="Arial" w:hAnsi="Arial"/>
          <w:sz w:val="16"/>
          <w:szCs w:val="16"/>
          <w:color w:val="auto"/>
        </w:rPr>
        <w:t>. Between March and August 2003, four shareholder derivative actions were filed by certain shareholders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various present and past officers and directors of the Company and against Ernst &amp; Young. The complaints asserted allegations similar to those asserted in an SEC complaint described in the Company’s Annual Report on Form 10-K for the year ended June 30, 2005 and the shareholders’ class action described above and also alleged that the defendant directors and officers violated their fiduciary duties to the Company by causing or allowing the Company to recognize revenue in violation of generally accepted accounting principles (“GAAP”) and to issue materially misstated financial statements and that Ernst</w:t>
      </w:r>
    </w:p>
    <w:p>
      <w:pPr>
        <w:spacing w:after="0" w:line="2" w:lineRule="exact"/>
        <w:rPr>
          <w:sz w:val="20"/>
          <w:szCs w:val="20"/>
          <w:color w:val="auto"/>
        </w:rPr>
      </w:pPr>
    </w:p>
    <w:p>
      <w:pPr>
        <w:ind w:right="200" w:firstLine="8"/>
        <w:spacing w:after="0" w:line="288" w:lineRule="auto"/>
        <w:tabs>
          <w:tab w:leader="none" w:pos="185" w:val="left"/>
        </w:tabs>
        <w:numPr>
          <w:ilvl w:val="0"/>
          <w:numId w:val="3"/>
        </w:numPr>
        <w:rPr>
          <w:rFonts w:ascii="Arial" w:cs="Arial" w:eastAsia="Arial" w:hAnsi="Arial"/>
          <w:sz w:val="16"/>
          <w:szCs w:val="16"/>
          <w:color w:val="auto"/>
        </w:rPr>
      </w:pPr>
      <w:r>
        <w:rPr>
          <w:rFonts w:ascii="Arial" w:cs="Arial" w:eastAsia="Arial" w:hAnsi="Arial"/>
          <w:sz w:val="16"/>
          <w:szCs w:val="16"/>
          <w:color w:val="auto"/>
        </w:rPr>
        <w:t>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the Company’s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the Company moved to dismiss those claims. In March 2004, the Company’s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the Company,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the Company’s present and former directors and officers in connection with an SEC complaint described in the Company’s Annual Report on Form 10-K for the year ended June 30, 2005, and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the Company and certain of its current and former directors. In this action, the insurers assert that they are entitled to rescind insurance coverage under the Company’s directors and officers liability insurance policies, $3,000 of which was provided by National Union and $2,000 of which was provided by Lumbermens Mutual, based on alleged misstatements in the Company’s insurance applications. In February 2005, the Company entered into a confidential settlement agreement with Lumbermens Mutual pursuant to which the Company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the Company will ultimately receive, the Company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 in expenses. However, due to the Lumbermans Mutual cash proceeds discussed above and the appeal of the summary judgment discussed below, this potential liability has not been recorded in the balance sheet as of September 30, 2005. On February 2, 2006, the Company and Mr. Bagley filed an appeal of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Wells Submission. </w:t>
      </w:r>
      <w:r>
        <w:rPr>
          <w:rFonts w:ascii="Arial" w:cs="Arial" w:eastAsia="Arial" w:hAnsi="Arial"/>
          <w:sz w:val="18"/>
          <w:szCs w:val="18"/>
          <w:color w:val="auto"/>
        </w:rPr>
        <w:t>The Company had been advised by the staff of the Salt Lake District Office of the SEC that the staff intended to recommend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Payment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share-based compensation primarily consists of the following plans:</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1990 Incentive Plan (the “1990 Plan”) has shares of common stock available for issuance to employees and directors. Provisions of the 1990 Plan include the granting of stock options. Generally, stock options vest over a five-year period at 10 percent, 15 percent, 20 percent, 25 percent, and 30 percent per year. Certain other stock options vest in full after eight years. As of September 30, 2005, there were 30,750 options outstanding under the 1990 Plan and no additional options were available for grant under such plan.</w:t>
      </w: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also has a 1998 Stock Option Plan (the “1998 Plan”). Provisions of the 1998 Plan include the granting of incentive and non-qualified stock options. Options may be granted to directors, officers, and key employees and may be granted upon such terms as the Board of Directors, in their sole discretion, determine. Of the options granted through December 1999, 1,066,000 will cliff vest after 9.75 years; however, such vesting was accelerated for 637,089 of these options upon meeting certain earnings per share goals through the fiscal year ended June 30, 2003. Of the options granted subsequent to December 1999 through June 2002, 1,248,250 will cliff vest after six years; however, such vesting was accelerated for 300,494 of these options upon meeting certain earnings per share goals through the fiscal year ended June 30, 2005. Of the options granted subsequent to June 2002, all vesting schedules are based on three or four-year vesting schedules, with either one-third or one-fourth vesting on the first anniversary and the remaining options vesting ratably over the remainder of the vesting term. Generally, directors and officers have three-year vesting schedules and all other employees have four-year vesting schedules. All options have contractual lives of ten years. Under the 1998 Plan, 2,500,000 shares were authorized for grant. The 1998 Plan expires June 10, 2008, or when all the shares available under the plan have been issued if this occurs earlier. As of September 30, 2005, there were 1,415,819 options outstanding under the 1998 Plan and 782,057 options available for grant in the future.</w:t>
      </w:r>
    </w:p>
    <w:p>
      <w:pPr>
        <w:spacing w:after="0" w:line="2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Employee Stock Purchase Plan: The Company has an Employee Stock Purchase Plan (“ESPP”). Employees can purchase common stock through payroll deductions of up to 10 percent of their base pay. Amounts deducted and accumulated by the employees are used to purchase shares of common stock on the last day of each month. The Company contributes to the account of the employee one share of common stock for every nine shares purchased by the employee under the ESPP. The program was suspended during fiscal 2003 due to the Company’s failure to remain current in its filing of periodic reports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Prior to July 1, 2005, the Company accounted for compensation expense associated with its stock options under the intrinsic value method in Accounting Principles Board (“APB”) Opinion No. 25, “Accounting for Stock Issued to Employees.” Accordingly, no compensation cost has been recognized for the Company’s unmodified stock options in its condensed consolidated financial statements for the three months ended September 30, 2004. If the compensation cost of its stock options had been determined consistent with the original SFAS No. 123, the Company’s net income and earnings per common share and common share equivalent would have changed to the pro-forma amounts indicated below:</w:t>
      </w:r>
    </w:p>
    <w:p>
      <w:pPr>
        <w:spacing w:after="0" w:line="22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Three Months</w:t>
            </w:r>
          </w:p>
        </w:tc>
      </w:tr>
      <w:tr>
        <w:trPr>
          <w:trHeight w:val="234"/>
        </w:trPr>
        <w:tc>
          <w:tcPr>
            <w:tcW w:w="5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Ended</w:t>
            </w:r>
          </w:p>
        </w:tc>
        <w:tc>
          <w:tcPr>
            <w:tcW w:w="60" w:type="dxa"/>
            <w:vAlign w:val="bottom"/>
          </w:tcPr>
          <w:p>
            <w:pPr>
              <w:spacing w:after="0"/>
              <w:rPr>
                <w:sz w:val="20"/>
                <w:szCs w:val="20"/>
                <w:color w:val="auto"/>
              </w:rPr>
            </w:pPr>
          </w:p>
        </w:tc>
      </w:tr>
      <w:tr>
        <w:trPr>
          <w:trHeight w:val="264"/>
        </w:trPr>
        <w:tc>
          <w:tcPr>
            <w:tcW w:w="5640" w:type="dxa"/>
            <w:vAlign w:val="bottom"/>
          </w:tcPr>
          <w:p>
            <w:pPr>
              <w:spacing w:after="0"/>
              <w:rPr>
                <w:sz w:val="22"/>
                <w:szCs w:val="22"/>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September 30,</w:t>
            </w:r>
          </w:p>
        </w:tc>
      </w:tr>
      <w:tr>
        <w:trPr>
          <w:trHeight w:val="264"/>
        </w:trPr>
        <w:tc>
          <w:tcPr>
            <w:tcW w:w="56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12,956</w:t>
            </w: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Stock-based employee compensation expense included in</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reported net loss, net of income taxes</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Stock-based employee compensation expense determined</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5"/>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under the fair-value method of all awards, net of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7"/>
        </w:trPr>
        <w:tc>
          <w:tcPr>
            <w:tcW w:w="5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 forma</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12,793</w:t>
            </w:r>
          </w:p>
        </w:tc>
        <w:tc>
          <w:tcPr>
            <w:tcW w:w="60" w:type="dxa"/>
            <w:vAlign w:val="bottom"/>
            <w:tcBorders>
              <w:top w:val="single" w:sz="8" w:color="CCEEFF"/>
            </w:tcBorders>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5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r>
      <w:tr>
        <w:trPr>
          <w:trHeight w:val="243"/>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bl>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4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share-based payments granted under SFAS No. 123R. The Company uses judgment in determining the fair-value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w:t>
      </w:r>
    </w:p>
    <w:p>
      <w:pPr>
        <w:spacing w:after="0" w:line="24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applying the Black-Scholes methodology to the options granted during the three months ended September 30, 2005, the Company used the following assumptions:</w:t>
      </w:r>
    </w:p>
    <w:p>
      <w:pPr>
        <w:spacing w:after="0" w:line="234"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average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Expected option life, 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5.8 years</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 average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88.3%</w:t>
            </w: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0.0%</w:t>
            </w:r>
          </w:p>
        </w:tc>
      </w:tr>
    </w:tbl>
    <w:p>
      <w:pPr>
        <w:spacing w:after="0" w:line="200" w:lineRule="exact"/>
        <w:rPr>
          <w:sz w:val="20"/>
          <w:szCs w:val="20"/>
          <w:color w:val="auto"/>
        </w:rPr>
      </w:pP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risk-free interest rate is determined using the U.S. Treasury rate in effect as of the date of the grant, based on the expected life of the stock option. The expected life of the stock options is determined using historical data. The expected price volatility is determined using a weighted average of daily historical volatility of the Company’s stock price over the corresponding expected option life. The Company does not currently intend to distribute any dividend payments to shareholders.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forfeiture rate for options that will cliff vest after 9.75 or six years to be 38.0 percent and the forfeiture rate for options that vest on three or four-year vesting schedules to be 10.0 percent.</w:t>
      </w:r>
    </w:p>
    <w:p>
      <w:pPr>
        <w:spacing w:after="0" w:line="2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three months ended September 30, 2005, the adoption of SFAS No. 123R resulted in incremental, pre-tax, stock-based compensation cost of $342. For the three months ended September 30, 2005, the Company expensed $12 in cost of goods sold, $24 in marketing and selling, $229 in general and administrative, $43 in research and development expense, and $34 in other income (expense) related to the transition to SFAS No. 123R. The stock-based compensation cost associated with adoption of SFAS No. 123R reduced net operating income for the three months ended September 30, 2005 by $308, decreased net income by $412, and reduced basic and diluted earnings per share by $0.03 per share. As of September 30, 2005, the total compensation cost related to unvested stock options not yet recognized was $1,660, which is expected to be recognized over the next 6.6 years on a straight-line basis. The total income tax benefit related to share-based compensation for the three months ended September 30, 2005 was $70 and was shown as a cash flow from operating activities in our cash flow statement.</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b w:val="1"/>
                <w:bCs w:val="1"/>
                <w:color w:val="auto"/>
                <w:w w:val="89"/>
              </w:rPr>
              <w:t>September 30, 2005</w:t>
            </w:r>
          </w:p>
        </w:tc>
        <w:tc>
          <w:tcPr>
            <w:tcW w:w="10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Pro-Forma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Results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SFAS</w:t>
            </w:r>
          </w:p>
        </w:tc>
        <w:tc>
          <w:tcPr>
            <w:tcW w:w="1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Excluding</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No. 123R</w:t>
            </w:r>
          </w:p>
        </w:tc>
        <w:tc>
          <w:tcPr>
            <w:tcW w:w="120" w:type="dxa"/>
            <w:vAlign w:val="bottom"/>
          </w:tcPr>
          <w:p>
            <w:pPr>
              <w:spacing w:after="0"/>
              <w:rPr>
                <w:sz w:val="21"/>
                <w:szCs w:val="21"/>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No. 123R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Compensation</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4"/>
              </w:rPr>
              <w:t>Compensation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As Reported</w:t>
            </w:r>
          </w:p>
        </w:tc>
        <w:tc>
          <w:tcPr>
            <w:tcW w:w="14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23"/>
                <w:szCs w:val="2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estimated fair value of the stock options granted during the three months ended September 30, 2005 and 2004 was $2.91 and $4.24.</w:t>
      </w:r>
    </w:p>
    <w:p>
      <w:pPr>
        <w:sectPr>
          <w:pgSz w:w="11900" w:h="16838" w:orient="portrait"/>
          <w:cols w:equalWidth="0" w:num="1">
            <w:col w:w="11360"/>
          </w:cols>
          <w:pgMar w:left="240" w:top="121" w:right="299" w:bottom="6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69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 for the three months ending September 30, 2005.</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2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2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80" w:type="dxa"/>
            <w:vAlign w:val="bottom"/>
          </w:tcPr>
          <w:p>
            <w:pPr>
              <w:ind w:left="280"/>
              <w:spacing w:after="0"/>
              <w:rPr>
                <w:sz w:val="20"/>
                <w:szCs w:val="20"/>
                <w:color w:val="auto"/>
              </w:rPr>
            </w:pPr>
            <w:r>
              <w:rPr>
                <w:rFonts w:ascii="Arial" w:cs="Arial" w:eastAsia="Arial" w:hAnsi="Arial"/>
                <w:sz w:val="18"/>
                <w:szCs w:val="18"/>
                <w:b w:val="1"/>
                <w:bCs w:val="1"/>
                <w:color w:val="auto"/>
              </w:rPr>
              <w:t>Stock Options</w:t>
            </w:r>
          </w:p>
        </w:tc>
        <w:tc>
          <w:tcPr>
            <w:tcW w:w="2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180" w:type="dxa"/>
            <w:vAlign w:val="bottom"/>
          </w:tcPr>
          <w:p>
            <w:pPr>
              <w:spacing w:after="0"/>
              <w:rPr>
                <w:sz w:val="20"/>
                <w:szCs w:val="20"/>
                <w:color w:val="auto"/>
              </w:rPr>
            </w:pPr>
          </w:p>
        </w:tc>
        <w:tc>
          <w:tcPr>
            <w:tcW w:w="12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Term (years)</w:t>
            </w:r>
          </w:p>
        </w:tc>
        <w:tc>
          <w:tcPr>
            <w:tcW w:w="6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June 30, 2005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1,493,112</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Expired and canceled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(51,043)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Exercised</w:t>
            </w:r>
          </w:p>
        </w:tc>
        <w:tc>
          <w:tcPr>
            <w:tcW w:w="2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2005</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1,446,569</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6.6 years</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Exercisable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797,077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6.2 years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Grant-</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Number</w:t>
            </w:r>
          </w:p>
        </w:tc>
        <w:tc>
          <w:tcPr>
            <w:tcW w:w="9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6"/>
              </w:rPr>
              <w:t>Date Fair</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4"/>
          </w:tcPr>
          <w:p>
            <w:pPr>
              <w:ind w:left="1720"/>
              <w:spacing w:after="0"/>
              <w:rPr>
                <w:sz w:val="20"/>
                <w:szCs w:val="20"/>
                <w:color w:val="auto"/>
              </w:rPr>
            </w:pPr>
            <w:r>
              <w:rPr>
                <w:rFonts w:ascii="Arial" w:cs="Arial" w:eastAsia="Arial" w:hAnsi="Arial"/>
                <w:sz w:val="18"/>
                <w:szCs w:val="18"/>
                <w:b w:val="1"/>
                <w:bCs w:val="1"/>
                <w:color w:val="auto"/>
              </w:rPr>
              <w:t>Non-vested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0"/>
              </w:rPr>
              <w:t>of Shares</w:t>
            </w:r>
          </w:p>
        </w:tc>
        <w:tc>
          <w:tcPr>
            <w:tcW w:w="100" w:type="dxa"/>
            <w:vAlign w:val="bottom"/>
          </w:tcPr>
          <w:p>
            <w:pPr>
              <w:spacing w:after="0"/>
              <w:rPr>
                <w:sz w:val="20"/>
                <w:szCs w:val="2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2005</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802,400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4,500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Vested</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6"/>
          </w:tcPr>
          <w:p>
            <w:pPr>
              <w:jc w:val="right"/>
              <w:ind w:right="80"/>
              <w:spacing w:after="0"/>
              <w:rPr>
                <w:sz w:val="20"/>
                <w:szCs w:val="20"/>
                <w:color w:val="auto"/>
              </w:rPr>
            </w:pPr>
            <w:r>
              <w:rPr>
                <w:rFonts w:ascii="Arial" w:cs="Arial" w:eastAsia="Arial" w:hAnsi="Arial"/>
                <w:sz w:val="18"/>
                <w:szCs w:val="18"/>
                <w:color w:val="auto"/>
              </w:rPr>
              <w:t>(106,365)</w:t>
            </w: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spacing w:after="0"/>
              <w:rPr>
                <w:sz w:val="21"/>
                <w:szCs w:val="21"/>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(51,043)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gridSpan w:val="2"/>
          </w:tcPr>
          <w:p>
            <w:pPr>
              <w:ind w:left="1140"/>
              <w:spacing w:after="0"/>
              <w:rPr>
                <w:sz w:val="20"/>
                <w:szCs w:val="20"/>
                <w:color w:val="auto"/>
              </w:rPr>
            </w:pPr>
            <w:r>
              <w:rPr>
                <w:rFonts w:ascii="Arial" w:cs="Arial" w:eastAsia="Arial" w:hAnsi="Arial"/>
                <w:sz w:val="18"/>
                <w:szCs w:val="18"/>
                <w:color w:val="auto"/>
                <w:w w:val="98"/>
              </w:rPr>
              <w:t>Non-vested at September 30, 2005</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649,492</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Due to the Company’s failure to remain current in its filing of periodic reports with the SEC, employees, executive officers, and directors are currently not allowed to exercise options under the 1998 Plan. Since December 2003, individual grants that had been affected by this situation were modified to extend the exercise period of the option through the date the Company becomes current in its filings with the SEC and options again become exercisable. Since July 1, 2005, modifications of stock option grants include the extension of the post-service exercise period of vested options held by persons who have ceased to remain employed by the Company. Compensation cost is recognized immediately for options that are fully vested on the date of modification. In the three months ended September 30, 2005, the Company expensed $13 in compensation cost associated with these modifications. These costs are included in the $308 of SFAS No. 123R compensation expense disclosed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and Geographic Information</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fiscal 2006 and fiscal 2005, all revenue and income (loss) from continuing operations was included in the product segment. Additionally, the United States was the only country to contribute more than 10 percent of total revenues in each fiscal year. The Company’s revenues are substantially denominated in U.S. dollars and are summarized geographically as follows:</w:t>
      </w:r>
    </w:p>
    <w:p>
      <w:pPr>
        <w:spacing w:after="0" w:line="285"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5"/>
              </w:rPr>
              <w:t>Three Months Ended</w:t>
            </w:r>
          </w:p>
        </w:tc>
      </w:tr>
      <w:tr>
        <w:trPr>
          <w:trHeight w:val="191"/>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4"/>
              </w:rPr>
              <w:t>September</w:t>
            </w: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w:t>
            </w:r>
          </w:p>
        </w:tc>
      </w:tr>
      <w:tr>
        <w:trPr>
          <w:trHeight w:val="264"/>
        </w:trPr>
        <w:tc>
          <w:tcPr>
            <w:tcW w:w="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2004</w:t>
            </w: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r>
      <w:tr>
        <w:trPr>
          <w:trHeight w:val="270"/>
        </w:trPr>
        <w:tc>
          <w:tcPr>
            <w:tcW w:w="3740" w:type="dxa"/>
            <w:vAlign w:val="bottom"/>
            <w:gridSpan w:val="2"/>
          </w:tcPr>
          <w:p>
            <w:pPr>
              <w:spacing w:after="0"/>
              <w:rPr>
                <w:sz w:val="20"/>
                <w:szCs w:val="20"/>
                <w:color w:val="auto"/>
              </w:rPr>
            </w:pPr>
            <w:r>
              <w:rPr>
                <w:rFonts w:ascii="Arial" w:cs="Arial" w:eastAsia="Arial" w:hAnsi="Arial"/>
                <w:sz w:val="18"/>
                <w:szCs w:val="18"/>
                <w:color w:val="auto"/>
              </w:rPr>
              <w:t>All other countries</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r>
      <w:tr>
        <w:trPr>
          <w:trHeight w:val="257"/>
        </w:trPr>
        <w:tc>
          <w:tcPr>
            <w:tcW w:w="20" w:type="dxa"/>
            <w:vAlign w:val="bottom"/>
          </w:tcPr>
          <w:p>
            <w:pPr>
              <w:spacing w:after="0"/>
              <w:rPr>
                <w:sz w:val="22"/>
                <w:szCs w:val="2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6,747</w:t>
            </w: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-25400</wp:posOffset>
            </wp:positionV>
            <wp:extent cx="3429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Manufacturing Transition</w:t>
      </w:r>
    </w:p>
    <w:p>
      <w:pPr>
        <w:spacing w:after="0" w:line="2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2005, the Company approved an impairment action and a restructuring action in connection with its decision to outsource its Salt Lake City manufacturing operations. These actions were intended to improve the overall cost structure for the product segment by focusing resources on other strategic areas of the business. The Company recorded an impairment charge of $180 and a restructuring charge of $110 during the fiscal year ended June 30, 2005 as a result of these actions. These charges were disclosed separately in the consolidated statements of operations. The impairment charge consisted of an immediate impairment of certain property and equipment of $180 that had value to the Company while it manufactured product but that was not purchased by Third Party Manufacturer (“TPM”) and at the time were not considered likely to be sold. These assets would have remained in service had the Company not outsourced its manufacturing operations. The restructuring charge also consisted of severance and other employee termination benefits of $70 related to a workforce reduction of approximately 20 employees who were transferred to an employment agency used by TPM to transition the workforce and a charge of $40 related to the operating lease for the Company’s manufacturing facilities that would no longer be used by the Company. All severance payments were paid by December 31, 2005.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restructuring charges for the three months ended September 30, 2005:</w:t>
      </w:r>
    </w:p>
    <w:p>
      <w:pPr>
        <w:spacing w:after="0" w:line="275" w:lineRule="exact"/>
        <w:rPr>
          <w:sz w:val="20"/>
          <w:szCs w:val="20"/>
          <w:color w:val="auto"/>
        </w:rPr>
      </w:pPr>
    </w:p>
    <w:p>
      <w:pPr>
        <w:jc w:val="center"/>
        <w:ind w:left="3680"/>
        <w:spacing w:after="0"/>
        <w:rPr>
          <w:sz w:val="20"/>
          <w:szCs w:val="20"/>
          <w:color w:val="auto"/>
        </w:rPr>
      </w:pPr>
      <w:r>
        <w:rPr>
          <w:rFonts w:ascii="Arial" w:cs="Arial" w:eastAsia="Arial" w:hAnsi="Arial"/>
          <w:sz w:val="18"/>
          <w:szCs w:val="18"/>
          <w:b w:val="1"/>
          <w:bCs w:val="1"/>
          <w:color w:val="auto"/>
        </w:rPr>
        <w:t>Manufacturing</w:t>
      </w:r>
    </w:p>
    <w:p>
      <w:pPr>
        <w:spacing w:after="0" w:line="27" w:lineRule="exact"/>
        <w:rPr>
          <w:sz w:val="20"/>
          <w:szCs w:val="20"/>
          <w:color w:val="auto"/>
        </w:rPr>
      </w:pPr>
    </w:p>
    <w:p>
      <w:pPr>
        <w:jc w:val="center"/>
        <w:ind w:left="3680"/>
        <w:spacing w:after="0"/>
        <w:rPr>
          <w:sz w:val="20"/>
          <w:szCs w:val="20"/>
          <w:color w:val="auto"/>
        </w:rPr>
      </w:pPr>
      <w:r>
        <w:rPr>
          <w:rFonts w:ascii="Arial" w:cs="Arial" w:eastAsia="Arial" w:hAnsi="Arial"/>
          <w:sz w:val="18"/>
          <w:szCs w:val="18"/>
          <w:b w:val="1"/>
          <w:bCs w:val="1"/>
          <w:color w:val="auto"/>
        </w:rPr>
        <w:t>Facilities</w:t>
      </w:r>
    </w:p>
    <w:p>
      <w:pPr>
        <w:spacing w:after="0" w:line="9" w:lineRule="exact"/>
        <w:rPr>
          <w:sz w:val="20"/>
          <w:szCs w:val="20"/>
          <w:color w:val="auto"/>
        </w:rPr>
      </w:pPr>
    </w:p>
    <w:p>
      <w:pPr>
        <w:ind w:left="6020"/>
        <w:spacing w:after="0"/>
        <w:tabs>
          <w:tab w:leader="none" w:pos="7300" w:val="left"/>
          <w:tab w:leader="none" w:pos="8440" w:val="left"/>
        </w:tabs>
        <w:rPr>
          <w:sz w:val="20"/>
          <w:szCs w:val="20"/>
          <w:color w:val="auto"/>
        </w:rPr>
      </w:pPr>
      <w:r>
        <w:rPr>
          <w:rFonts w:ascii="Arial" w:cs="Arial" w:eastAsia="Arial" w:hAnsi="Arial"/>
          <w:sz w:val="18"/>
          <w:szCs w:val="18"/>
          <w:b w:val="1"/>
          <w:bCs w:val="1"/>
          <w:u w:val="single" w:color="auto"/>
          <w:color w:val="auto"/>
        </w:rPr>
        <w:t>Severance</w:t>
      </w:r>
      <w:r>
        <w:rPr>
          <w:sz w:val="20"/>
          <w:szCs w:val="20"/>
          <w:color w:val="auto"/>
        </w:rPr>
        <w:tab/>
      </w:r>
      <w:r>
        <w:rPr>
          <w:rFonts w:ascii="Arial" w:cs="Arial" w:eastAsia="Arial" w:hAnsi="Arial"/>
          <w:sz w:val="18"/>
          <w:szCs w:val="18"/>
          <w:b w:val="1"/>
          <w:bCs w:val="1"/>
          <w:color w:val="auto"/>
        </w:rPr>
        <w:t>Lease</w:t>
      </w:r>
      <w:r>
        <w:rPr>
          <w:sz w:val="20"/>
          <w:szCs w:val="20"/>
          <w:color w:val="auto"/>
        </w:rPr>
        <w:tab/>
      </w: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5715</wp:posOffset>
            </wp:positionV>
            <wp:extent cx="13379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46" w:lineRule="exact"/>
        <w:rPr>
          <w:sz w:val="20"/>
          <w:szCs w:val="20"/>
          <w:color w:val="auto"/>
        </w:rPr>
      </w:pPr>
    </w:p>
    <w:tbl>
      <w:tblPr>
        <w:tblLayout w:type="fixed"/>
        <w:tblInd w:w="2300" w:type="dxa"/>
        <w:tblCellMar>
          <w:top w:w="0" w:type="dxa"/>
          <w:left w:w="0" w:type="dxa"/>
          <w:bottom w:w="0" w:type="dxa"/>
          <w:right w:w="0" w:type="dxa"/>
        </w:tblCellMar>
      </w:tblPr>
      <w:tr>
        <w:trPr>
          <w:trHeight w:val="24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70</w:t>
            </w:r>
          </w:p>
        </w:tc>
        <w:tc>
          <w:tcPr>
            <w:tcW w:w="14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70"/>
        </w:trPr>
        <w:tc>
          <w:tcPr>
            <w:tcW w:w="3560" w:type="dxa"/>
            <w:vAlign w:val="bottom"/>
          </w:tcPr>
          <w:p>
            <w:pPr>
              <w:ind w:left="320"/>
              <w:spacing w:after="0"/>
              <w:rPr>
                <w:sz w:val="20"/>
                <w:szCs w:val="20"/>
                <w:color w:val="auto"/>
              </w:rPr>
            </w:pPr>
            <w:r>
              <w:rPr>
                <w:rFonts w:ascii="Arial" w:cs="Arial" w:eastAsia="Arial" w:hAnsi="Arial"/>
                <w:sz w:val="18"/>
                <w:szCs w:val="18"/>
                <w:color w:val="auto"/>
              </w:rPr>
              <w:t>Utilized</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(30)</w:t>
            </w:r>
          </w:p>
        </w:tc>
        <w:tc>
          <w:tcPr>
            <w:tcW w:w="54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40</w:t>
            </w:r>
          </w:p>
        </w:tc>
        <w:tc>
          <w:tcPr>
            <w:tcW w:w="140" w:type="dxa"/>
            <w:vAlign w:val="bottom"/>
            <w:tcBorders>
              <w:right w:val="single" w:sz="8" w:color="CCEEFF"/>
            </w:tcBorders>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22"/>
                <w:szCs w:val="22"/>
                <w:color w:val="auto"/>
              </w:rPr>
            </w:pP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1, 2005, the Company entered into a Manufacturing Agreement with TPM pursuant to which the Company agreed to outsource its Salt Lake City manufacturing operations. The parties also entered into a one-year sublease for approximately 12,000 square feet of manufacturing space located in the Company's headquarters in Salt Lake City, Utah, which sublease may be terminated by either party upon 90 days notice. TPM paid $11 per month under the sublease through May 31, 2006 when the sublease was terminated.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8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Sale of OM Video. </w:t>
      </w:r>
      <w:r>
        <w:rPr>
          <w:rFonts w:ascii="Arial" w:cs="Arial" w:eastAsia="Arial" w:hAnsi="Arial"/>
          <w:sz w:val="18"/>
          <w:szCs w:val="18"/>
          <w:color w:val="auto"/>
        </w:rPr>
        <w:t>As of December 31, 2005, all payments due under the note receivable through such date had been received and $854 of the promissory</w:t>
      </w:r>
      <w:r>
        <w:rPr>
          <w:rFonts w:ascii="Arial" w:cs="Arial" w:eastAsia="Arial" w:hAnsi="Arial"/>
          <w:sz w:val="18"/>
          <w:szCs w:val="18"/>
          <w:i w:val="1"/>
          <w:iCs w:val="1"/>
          <w:color w:val="auto"/>
        </w:rPr>
        <w:t xml:space="preserve"> </w:t>
      </w:r>
      <w:r>
        <w:rPr>
          <w:rFonts w:ascii="Arial" w:cs="Arial" w:eastAsia="Arial" w:hAnsi="Arial"/>
          <w:sz w:val="18"/>
          <w:szCs w:val="18"/>
          <w:color w:val="auto"/>
        </w:rPr>
        <w:t>note remained outstanding; however, OM Purchaser has failed to make any subsequent, required payments under the note receivable and is in default thereunder. The Company is currently considering its collection options.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Sale of Conferencing Services. </w:t>
      </w:r>
      <w:r>
        <w:rPr>
          <w:rFonts w:ascii="Arial" w:cs="Arial" w:eastAsia="Arial" w:hAnsi="Arial"/>
          <w:sz w:val="17"/>
          <w:szCs w:val="17"/>
          <w:color w:val="auto"/>
        </w:rPr>
        <w:t>In January 2006, the Company received the $1,000 in the Indemnity Escrow account from Premiere. (see Note 4.)</w:t>
      </w:r>
    </w:p>
    <w:p>
      <w:pPr>
        <w:spacing w:after="0" w:line="29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i w:val="1"/>
          <w:iCs w:val="1"/>
          <w:color w:val="auto"/>
        </w:rPr>
        <w:t>Settlement Agreement and Release</w:t>
      </w:r>
      <w:r>
        <w:rPr>
          <w:rFonts w:ascii="Arial" w:cs="Arial" w:eastAsia="Arial" w:hAnsi="Arial"/>
          <w:sz w:val="16"/>
          <w:szCs w:val="16"/>
          <w:color w:val="auto"/>
        </w:rPr>
        <w:t>. The Company entered into a settlement agreement and release with its former Vice-President - Human Resources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cessation of her employment, which generally provided for her resignation from her position and employment with the Company, the payment of severance, and a general release of claims against the Company by her. On February 20, 2006, an agreement was entered into which generally provided for a severance payment of $93.3 and her surrender and delivery to the Company of 145,000 stock options (86,853 of which were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our unaudited condensed consolidated financial statements and related notes to condensed consolidated financial statements included in this Form 10-Q and our audited consolidated financial statements included in our Annual Report on Form 10-K for the year ended June 30, 2005 filed with the SEC and management’s discussion and analysis contained therein.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Part II, Item 1A, as well as other information found in the documents we file from time to time with the SEC. Unless otherwise indicated, all references to a year reflect our fiscal year that ends on June 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w:t>
      </w:r>
    </w:p>
    <w:p>
      <w:pPr>
        <w:spacing w:after="0" w:line="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of goods sold could differ from actual amounts, we believe that our calculations are indicative of actual levels of inventory in the distribution channel. As of September 30, 2004, the Company deferred $5.6 million in revenue and $1.9 million in cost of goods sold related to products sold where return rights had not lapsed. As of September 30, 2005, the Company deferred $4.8 million in revenue and $2.4 million in cost of goods sold related to products sold where return rights had not lapsed. The amounts of deferred cost of goods sold were included in consigned inventory. The following table details the amount of deferred revenue and cost of goods sold at each period end for the 15-month period ended September 30, 2005 (in thousands).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4"/>
              </w:rPr>
              <w:t>Deferred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Cost of</w:t>
            </w:r>
          </w:p>
        </w:tc>
        <w:tc>
          <w:tcPr>
            <w:tcW w:w="10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9"/>
              </w:rPr>
              <w:t>Deferred</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Goods</w:t>
            </w:r>
          </w:p>
        </w:tc>
        <w:tc>
          <w:tcPr>
            <w:tcW w:w="10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Gross</w:t>
            </w: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Sold</w:t>
            </w:r>
          </w:p>
        </w:tc>
        <w:tc>
          <w:tcPr>
            <w:tcW w:w="100" w:type="dxa"/>
            <w:vAlign w:val="bottom"/>
          </w:tcPr>
          <w:p>
            <w:pPr>
              <w:spacing w:after="0"/>
              <w:rPr>
                <w:sz w:val="20"/>
                <w:szCs w:val="20"/>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Profit</w:t>
            </w:r>
          </w:p>
        </w:tc>
      </w:tr>
      <w:tr>
        <w:trPr>
          <w:trHeight w:val="237"/>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2,475</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Arial" w:cs="Arial" w:eastAsia="Arial" w:hAnsi="Arial"/>
                <w:sz w:val="18"/>
                <w:szCs w:val="18"/>
                <w:color w:val="auto"/>
              </w:rPr>
              <w:t>June 30, 2005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5,055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2,297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2,758</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March 31, 2005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Arial" w:cs="Arial" w:eastAsia="Arial" w:hAnsi="Arial"/>
                <w:sz w:val="18"/>
                <w:szCs w:val="18"/>
                <w:color w:val="auto"/>
              </w:rPr>
              <w:t>December 31, 2004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3,867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2,258</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Arial" w:cs="Arial" w:eastAsia="Arial" w:hAnsi="Arial"/>
                <w:sz w:val="18"/>
                <w:szCs w:val="18"/>
                <w:color w:val="auto"/>
              </w:rPr>
              <w:t>June 30, 2004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6,107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3,726</w:t>
            </w:r>
          </w:p>
        </w:tc>
        <w:tc>
          <w:tcPr>
            <w:tcW w:w="60" w:type="dxa"/>
            <w:vAlign w:val="bottom"/>
          </w:tcPr>
          <w:p>
            <w:pPr>
              <w:spacing w:after="0"/>
              <w:rPr>
                <w:sz w:val="21"/>
                <w:szCs w:val="21"/>
                <w:color w:val="auto"/>
              </w:rPr>
            </w:pPr>
          </w:p>
        </w:tc>
      </w:tr>
    </w:tbl>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offer rebates and market development funds to certain of our distributors and direct dealers/resellers based upon volume of product purchased by such customers.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Purchased Intangibles</w:t>
      </w:r>
    </w:p>
    <w:p>
      <w:pPr>
        <w:spacing w:after="0" w:line="28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01"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6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0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Accounting for Income Taxes</w:t>
      </w: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condensed consolidated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write-down the value of inventory to the lower-of-cost or market.</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write-down our excess and obsolete inventory by an amount that is equal to the difference between the cost of the inventory and its estimated market value if market value is less than cost, based upon assumptions about future product life-cycles, product demand, or market conditions. Those items that are found to have a supply in excess of our estimated demand are considered to be slow-moving or obsolete and the appropriate reserve is made to write-down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June 30, 2005 and as permitted under the original SFAS No. 123,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grant-date fair value of the award (within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4" w:name="page25"/>
    <w:bookmarkEnd w:id="24"/>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audio conferencing products revenue has historically been strongest during our second and fourth quarters. Our camera product line revenue is usually strongest during the third and fourth quarters. There can be no assurance that any historic sales patterns will continue and, as a result, sales for any prior quarter are not necessarily indicative of the sales to be expected in any future quarter.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believe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2005 and 2004</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items from our unaudited condensed consolidated statements of operations (in thousands)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2005 and 2004, together with the percentage of total revenue which each such item represents:</w:t>
      </w:r>
    </w:p>
    <w:p>
      <w:pPr>
        <w:spacing w:after="0" w:line="28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8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0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Pr>
          <w:p>
            <w:pPr>
              <w:spacing w:after="0"/>
              <w:rPr>
                <w:sz w:val="20"/>
                <w:szCs w:val="20"/>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5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 of Revenue</w:t>
            </w: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 of Revenue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4,645</w:t>
            </w:r>
          </w:p>
        </w:tc>
        <w:tc>
          <w:tcPr>
            <w:tcW w:w="1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3,797</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80" w:type="dxa"/>
            <w:vAlign w:val="bottom"/>
            <w:shd w:val="clear" w:color="auto" w:fill="CCEEFF"/>
          </w:tcPr>
          <w:p>
            <w:pPr>
              <w:spacing w:after="0"/>
              <w:rPr>
                <w:sz w:val="20"/>
                <w:szCs w:val="20"/>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c>
          <w:tcPr>
            <w:tcW w:w="5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and selling</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1,771</w:t>
            </w:r>
          </w:p>
        </w:tc>
        <w:tc>
          <w:tcPr>
            <w:tcW w:w="1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w:t>
            </w: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w:t>
            </w: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1,799</w:t>
            </w:r>
          </w:p>
        </w:tc>
        <w:tc>
          <w:tcPr>
            <w:tcW w:w="1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80" w:type="dxa"/>
            <w:vAlign w:val="bottom"/>
            <w:shd w:val="clear" w:color="auto" w:fill="CCEEFF"/>
          </w:tcPr>
          <w:p>
            <w:pPr>
              <w:spacing w:after="0"/>
              <w:rPr>
                <w:sz w:val="20"/>
                <w:szCs w:val="20"/>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5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c>
          <w:tcPr>
            <w:tcW w:w="6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3"/>
              </w:rPr>
              <w:t>Income (loss) from continuing operations before income</w:t>
            </w:r>
          </w:p>
        </w:tc>
        <w:tc>
          <w:tcPr>
            <w:tcW w:w="20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w:t>
            </w: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(622)</w:t>
            </w:r>
          </w:p>
        </w:tc>
        <w:tc>
          <w:tcPr>
            <w:tcW w:w="6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1,049</w:t>
            </w: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5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6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13,346</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1,987</w:t>
            </w: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12,956</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68" w:right="2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type w:val="continuous"/>
        </w:sectPr>
      </w:pPr>
    </w:p>
    <w:bookmarkStart w:id="25" w:name="page26"/>
    <w:bookmarkEnd w:id="25"/>
    <w:p>
      <w:pPr>
        <w:ind w:right="80"/>
        <w:spacing w:after="0" w:line="254" w:lineRule="auto"/>
        <w:rPr>
          <w:sz w:val="20"/>
          <w:szCs w:val="20"/>
          <w:color w:val="auto"/>
        </w:rPr>
      </w:pPr>
      <w:r>
        <w:rPr>
          <w:rFonts w:ascii="Arial" w:cs="Arial" w:eastAsia="Arial" w:hAnsi="Arial"/>
          <w:sz w:val="18"/>
          <w:szCs w:val="18"/>
          <w:color w:val="auto"/>
        </w:rPr>
        <w:t>Our revenue increased 41.2 percent from the three months ended September 30, 2004 to the three months ended September 30, 2005. After the three months ended September 30, 2004, we introduced several new products in our products segment, including expansion of our MAX® tabletop audio conferencing products and the introduction of our RAV™ audio conferencing systems. For the three months ended September 30, 2005 our settlement in shareholders’ class action benefit increased $185 over the same period in fiscal 2004 due to a quarterly mark-to-market adjustment of the liability associated with our December 2003 settlement agreement, while research and development expense for the three months ended September 30, 2005 increased primarily due to salaries and benefit-related costs, including compensation cost related to SFAS No. 123R, over the same period in fiscal 2004. Our income (loss) from continuing operations before income taxes increased approximately $1.5 million for the three months ended September 30, 2005 over the three months ended September 2004.</w:t>
      </w:r>
    </w:p>
    <w:p>
      <w:pPr>
        <w:spacing w:after="0" w:line="2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is a discussion of our results of operations for our three months ended September 30, 2005 and 2004. All items are discussed on a consolidated basis.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September 30, 2005 (“First Quarter of Fiscal 2006”)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Compared to Three Months Ended September 30, 2004 (“First Quarter of Fiscal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revenues were $9.5 million for the three months ended September 30, 2005 compared to revenues of $6.7 million for the three months ended September 30, 2004. Total revenues increased $2.8 million, or 41.2 percent, for the three months ended September 30, 2005 compared to the three months ended September 30, 2004. The increase in revenue was due to continued growth in professional audio conferencing products sales of $1.2 million, sales of products that were introduced after September 30, 2004 of $1.0 million, and increased sales in other on-going product lines of approximately $500,000. We do not necessarily believe that revenue increases of 41.2 percent are likely to occur in future periods.</w:t>
      </w:r>
    </w:p>
    <w:p>
      <w:pPr>
        <w:spacing w:after="0" w:line="2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three months ended September 30, 2005 and 2004, the net change in deferred revenue based on the net movement of inventory in the channel was a net recognition of $207,000 and $490,000 in revenue, respectively.</w:t>
      </w:r>
    </w:p>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indicates the number of individual unit shipments to our distributors for certain of our product lines for the three months ended September 30, 2005 and 2004. Due to our current revenue recognition policy, the figures do not tie directly to recognized revenues because revenues are recognized when the return rights lapse rather than at the time of shipment.</w:t>
      </w:r>
    </w:p>
    <w:p>
      <w:pPr>
        <w:spacing w:after="0" w:line="231" w:lineRule="exact"/>
        <w:rPr>
          <w:sz w:val="20"/>
          <w:szCs w:val="20"/>
          <w:color w:val="auto"/>
        </w:rPr>
      </w:pPr>
    </w:p>
    <w:p>
      <w:pPr>
        <w:jc w:val="center"/>
        <w:ind w:left="414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left="4140"/>
        <w:spacing w:after="0"/>
        <w:rPr>
          <w:sz w:val="20"/>
          <w:szCs w:val="20"/>
          <w:color w:val="auto"/>
        </w:rPr>
      </w:pPr>
      <w:r>
        <w:rPr>
          <w:rFonts w:ascii="Arial" w:cs="Arial" w:eastAsia="Arial" w:hAnsi="Arial"/>
          <w:sz w:val="18"/>
          <w:szCs w:val="18"/>
          <w:b w:val="1"/>
          <w:bCs w:val="1"/>
          <w:color w:val="auto"/>
        </w:rPr>
        <w:t>Ended September</w:t>
      </w:r>
    </w:p>
    <w:p>
      <w:pPr>
        <w:spacing w:after="0" w:line="9" w:lineRule="exact"/>
        <w:rPr>
          <w:sz w:val="20"/>
          <w:szCs w:val="20"/>
          <w:color w:val="auto"/>
        </w:rPr>
      </w:pPr>
    </w:p>
    <w:p>
      <w:pPr>
        <w:jc w:val="center"/>
        <w:ind w:left="4140"/>
        <w:spacing w:after="0"/>
        <w:rPr>
          <w:sz w:val="20"/>
          <w:szCs w:val="20"/>
          <w:color w:val="auto"/>
        </w:rPr>
      </w:pPr>
      <w:r>
        <w:rPr>
          <w:rFonts w:ascii="Arial" w:cs="Arial" w:eastAsia="Arial" w:hAnsi="Arial"/>
          <w:sz w:val="18"/>
          <w:szCs w:val="18"/>
          <w:b w:val="1"/>
          <w:bCs w:val="1"/>
          <w:color w:val="auto"/>
        </w:rPr>
        <w:t>30,</w:t>
      </w:r>
    </w:p>
    <w:p>
      <w:pPr>
        <w:spacing w:after="0" w:line="9" w:lineRule="exact"/>
        <w:rPr>
          <w:sz w:val="20"/>
          <w:szCs w:val="20"/>
          <w:color w:val="auto"/>
        </w:rPr>
      </w:pPr>
    </w:p>
    <w:p>
      <w:pPr>
        <w:jc w:val="center"/>
        <w:ind w:left="4140"/>
        <w:spacing w:after="0"/>
        <w:rPr>
          <w:sz w:val="20"/>
          <w:szCs w:val="20"/>
          <w:color w:val="auto"/>
        </w:rPr>
      </w:pPr>
      <w:r>
        <w:rPr>
          <w:rFonts w:ascii="Arial" w:cs="Arial" w:eastAsia="Arial" w:hAnsi="Arial"/>
          <w:sz w:val="18"/>
          <w:szCs w:val="18"/>
          <w:b w:val="1"/>
          <w:bCs w:val="1"/>
          <w:color w:val="auto"/>
        </w:rPr>
        <w:t>(by individual</w:t>
      </w:r>
    </w:p>
    <w:p>
      <w:pPr>
        <w:spacing w:after="0" w:line="9" w:lineRule="exact"/>
        <w:rPr>
          <w:sz w:val="20"/>
          <w:szCs w:val="20"/>
          <w:color w:val="auto"/>
        </w:rPr>
      </w:pPr>
    </w:p>
    <w:p>
      <w:pPr>
        <w:jc w:val="center"/>
        <w:ind w:left="4140"/>
        <w:spacing w:after="0"/>
        <w:rPr>
          <w:sz w:val="20"/>
          <w:szCs w:val="20"/>
          <w:color w:val="auto"/>
        </w:rPr>
      </w:pPr>
      <w:r>
        <w:rPr>
          <w:rFonts w:ascii="Arial" w:cs="Arial" w:eastAsia="Arial" w:hAnsi="Arial"/>
          <w:sz w:val="18"/>
          <w:szCs w:val="18"/>
          <w:b w:val="1"/>
          <w:bCs w:val="1"/>
          <w:color w:val="auto"/>
        </w:rPr>
        <w:t>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5715</wp:posOffset>
            </wp:positionV>
            <wp:extent cx="9347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8"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conferencing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60" w:type="dxa"/>
            <w:vAlign w:val="bottom"/>
            <w:shd w:val="clear" w:color="auto" w:fill="CCEEFF"/>
          </w:tcPr>
          <w:p>
            <w:pPr>
              <w:spacing w:after="0"/>
              <w:rPr>
                <w:sz w:val="20"/>
                <w:szCs w:val="20"/>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Premium and tabletop conferencing</w:t>
            </w:r>
          </w:p>
        </w:tc>
        <w:tc>
          <w:tcPr>
            <w:tcW w:w="700" w:type="dxa"/>
            <w:vAlign w:val="bottom"/>
          </w:tcPr>
          <w:p>
            <w:pPr>
              <w:jc w:val="right"/>
              <w:spacing w:after="0"/>
              <w:rPr>
                <w:sz w:val="20"/>
                <w:szCs w:val="20"/>
                <w:color w:val="auto"/>
              </w:rPr>
            </w:pPr>
            <w:r>
              <w:rPr>
                <w:rFonts w:ascii="Arial" w:cs="Arial" w:eastAsia="Arial" w:hAnsi="Arial"/>
                <w:sz w:val="18"/>
                <w:szCs w:val="18"/>
                <w:color w:val="auto"/>
              </w:rPr>
              <w:t>5,391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1,593</w:t>
            </w:r>
          </w:p>
        </w:tc>
        <w:tc>
          <w:tcPr>
            <w:tcW w:w="60" w:type="dxa"/>
            <w:vAlign w:val="bottom"/>
          </w:tcPr>
          <w:p>
            <w:pPr>
              <w:spacing w:after="0"/>
              <w:rPr>
                <w:sz w:val="21"/>
                <w:szCs w:val="21"/>
                <w:color w:val="auto"/>
              </w:rPr>
            </w:pPr>
          </w:p>
        </w:tc>
      </w:tr>
    </w:tbl>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revenues from sales outside of the United States accounted for 23.0 percent of total revenue for the three months ended September 30, 2005 and 26.7 percent of total revenue for the three months ended September 30, 2004.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tooling amortization, warranty expense, freight expense, royalty payments, and the allocation of overhead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8"/>
          </w:tcPr>
          <w:p>
            <w:pPr>
              <w:jc w:val="center"/>
              <w:ind w:right="250"/>
              <w:spacing w:after="0"/>
              <w:rPr>
                <w:sz w:val="20"/>
                <w:szCs w:val="20"/>
                <w:color w:val="auto"/>
              </w:rPr>
            </w:pPr>
            <w:r>
              <w:rPr>
                <w:rFonts w:ascii="Arial" w:cs="Arial" w:eastAsia="Arial" w:hAnsi="Arial"/>
                <w:sz w:val="18"/>
                <w:szCs w:val="18"/>
                <w:b w:val="1"/>
                <w:bCs w:val="1"/>
                <w:color w:val="auto"/>
                <w:w w:val="91"/>
              </w:rPr>
              <w:t>Three Months Ended September 30,</w:t>
            </w:r>
          </w:p>
        </w:tc>
      </w:tr>
      <w:tr>
        <w:trPr>
          <w:trHeight w:val="270"/>
        </w:trPr>
        <w:tc>
          <w:tcPr>
            <w:tcW w:w="2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87"/>
              </w:rPr>
              <w:t>(in thousands)</w:t>
            </w:r>
          </w:p>
        </w:tc>
        <w:tc>
          <w:tcPr>
            <w:tcW w:w="880" w:type="dxa"/>
            <w:vAlign w:val="bottom"/>
            <w:tcBorders>
              <w:bottom w:val="single" w:sz="8" w:color="auto"/>
            </w:tcBorders>
          </w:tcPr>
          <w:p>
            <w:pPr>
              <w:spacing w:after="0"/>
              <w:rPr>
                <w:sz w:val="23"/>
                <w:szCs w:val="23"/>
                <w:color w:val="auto"/>
              </w:rPr>
            </w:pPr>
          </w:p>
        </w:tc>
      </w:tr>
      <w:tr>
        <w:trPr>
          <w:trHeight w:val="264"/>
        </w:trPr>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2004</w:t>
            </w:r>
          </w:p>
        </w:tc>
      </w:tr>
      <w:tr>
        <w:trPr>
          <w:trHeight w:val="191"/>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r>
      <w:tr>
        <w:trPr>
          <w:trHeight w:val="234"/>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r>
      <w:tr>
        <w:trPr>
          <w:trHeight w:val="237"/>
        </w:trPr>
        <w:tc>
          <w:tcPr>
            <w:tcW w:w="29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4,645</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48.8%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3,797</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56.3%</w:t>
            </w:r>
          </w:p>
        </w:tc>
      </w:tr>
      <w:tr>
        <w:trPr>
          <w:trHeight w:val="224"/>
        </w:trPr>
        <w:tc>
          <w:tcPr>
            <w:tcW w:w="29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9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4,882</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51.2%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2,950</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43.7%</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COGS increased by $848,000, or 22.3 percent, to $4.6 million for the three months ended September 30, 2005 compared with $3.8 million for the three months ended September 30, 2004. The increase in COGS from the three months ended September 30, 2004 to the three months ended September 30, 2005 was primarily attributable to a $2.8 million or 41.2 percent increase in total revenue, the addition of SFAS No. 123R compensation cost of $12,000, partially offset by a $281,000 decrease in our obsolete product inventory write-offs.</w:t>
      </w:r>
    </w:p>
    <w:p>
      <w:pPr>
        <w:spacing w:after="0" w:line="24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COGS for the three months ended September 30, 2005 and 2004, include ($76,000) and $461,000 in net (increases) decreases related to the deferral of product revenue from the respective deferral at June 30, 2005 and 2004 because return rights had not lapsed.</w:t>
      </w:r>
    </w:p>
    <w:p>
      <w:pPr>
        <w:spacing w:after="0" w:line="2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gross profit from continuing operations was $4.9 million or 51.2 percent of revenue for the three months ended September 30, 2005 compared to $3.0 million or 43.7 percent of revenue for the three months ended September 30, 2004. The increase in gross profit is mostly due to the increase in revenue from sales of professional conferencing products which have a higher gross profit margin than our premium and tabletop conferencing products. The increase in gross profit was also impacted by reduced inventory write-offs, cost cutting, and improved efficiencies. During the past five quarters, the gross profit percentage has ranged from a high of 55.6 percent in the three months ended June 30, 2005 to a low of 43.7 percent for the three months ended September 30, 2004. We believe quarterly fluctuations will continue to occur based upon actual product mix. We anticipate that the decline in gross profit percentage from the fourth quarter of fiscal 2005 level will continue in our near-term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operating expenses were $4.2 million for the three months ended September 30, 2005, an increase of $571,000, or 15.8 percent, from $3.6 million for the three months ended September 30, 2004. The increase in operating expenses from the levels for the three months ended September 30, 2004 to the levels for the three months ended September 30, 2005 is primarily related to the introduction of compensation cost related the SFAS No. 123R and increased research and product development expenses partially offset by decreased spending in marketing and selling and a larger benefit related to the settlement in the shareholders’ class action expense. The following is a more detailed discussion of expenses related to marketing and selling, general and administrative, settlement in shareholders’ class action, and research and product development.</w:t>
      </w:r>
    </w:p>
    <w:p>
      <w:pPr>
        <w:spacing w:after="0" w:line="22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u w:val="single" w:color="auto"/>
          <w:color w:val="auto"/>
        </w:rPr>
        <w:t>Marketing and selling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and selling expenses include selling, customer service, and marketing expenses such as employee-related costs,</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allocations of overhead expenses, trade shows, and other advertising and selling expenses. Total marketing and selling expenses decreased $274,000, or 13.1 percent, to $1.8 million for the three months ended September 30, 2005 compared with the three months ended September 30, 2004 expenses of $2.1 million. As a percentage of revenues, marketing and selling expenses were 19.0 percent for the three months ended September 30, 2005 and 30.9 percent for the three months ended September 30, 2004. The decrease in marketing and selling expenses from the three months ended September 30, 2004 to the three months ended September 30, 2005 was primarily attributable to a decrease in employee related expenses of $123,000, a decrease in our international sales offices of $109,000, and a decrease of $80,000 of other marketing and selling expenses that were partially offset by the addition of SFAS No. 123R compensation cost of $24,000.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7" w:name="page28"/>
    <w:bookmarkEnd w:id="27"/>
    <w:p>
      <w:pPr>
        <w:ind w:right="40"/>
        <w:spacing w:after="0" w:line="298"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including costs associated with the SEC investigation and subsequent litigation, and corporate administrative costs, including finance and human resources. Total G&amp;A expenses increased $336,000, or 23.4 percent, to $1.8 million for the three months ended September 30, 2005 compared with the three months ended September 30, 2004 expenses of $1.4 million. As a percentage of revenues, G&amp;A expenses were 18.6 percent for the three months ended September 30, 2005 and 21.3 percent for the three months ended September 30, 2004. A summary of our general and administrative expenses are as follows:</w:t>
      </w:r>
    </w:p>
    <w:p>
      <w:pPr>
        <w:spacing w:after="0" w:line="208"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Three Months Ended September</w:t>
      </w:r>
    </w:p>
    <w:p>
      <w:pPr>
        <w:spacing w:after="0" w:line="27"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30,</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17145</wp:posOffset>
            </wp:positionV>
            <wp:extent cx="17240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57"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r>
      <w:tr>
        <w:trPr>
          <w:trHeight w:val="237"/>
        </w:trPr>
        <w:tc>
          <w:tcPr>
            <w:tcW w:w="5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G&amp;A before discontinued operations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1,514</w:t>
            </w:r>
          </w:p>
        </w:tc>
      </w:tr>
      <w:tr>
        <w:trPr>
          <w:trHeight w:val="270"/>
        </w:trPr>
        <w:tc>
          <w:tcPr>
            <w:tcW w:w="5200" w:type="dxa"/>
            <w:vAlign w:val="bottom"/>
          </w:tcPr>
          <w:p>
            <w:pPr>
              <w:spacing w:after="0"/>
              <w:rPr>
                <w:sz w:val="20"/>
                <w:szCs w:val="20"/>
                <w:color w:val="auto"/>
              </w:rPr>
            </w:pPr>
            <w:r>
              <w:rPr>
                <w:rFonts w:ascii="Arial" w:cs="Arial" w:eastAsia="Arial" w:hAnsi="Arial"/>
                <w:sz w:val="18"/>
                <w:szCs w:val="18"/>
                <w:color w:val="auto"/>
              </w:rPr>
              <w:t>OM Video G&amp;A</w:t>
            </w:r>
          </w:p>
        </w:tc>
        <w:tc>
          <w:tcPr>
            <w:tcW w:w="8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5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1,435</w:t>
            </w:r>
          </w:p>
        </w:tc>
      </w:tr>
      <w:tr>
        <w:trPr>
          <w:trHeight w:val="224"/>
        </w:trPr>
        <w:tc>
          <w:tcPr>
            <w:tcW w:w="5200" w:type="dxa"/>
            <w:vAlign w:val="bottom"/>
            <w:tcBorders>
              <w:top w:val="single" w:sz="8" w:color="CCEEFF"/>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(SEC investigation and subsequent litigation)</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Professional fees (Other)</w:t>
            </w: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512</w:t>
            </w: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related to SFAS No. 123R</w:t>
            </w:r>
          </w:p>
        </w:tc>
        <w:tc>
          <w:tcPr>
            <w:tcW w:w="8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18"/>
                <w:szCs w:val="18"/>
                <w:color w:val="auto"/>
              </w:rPr>
              <w:t>Other general and administrative expense</w:t>
            </w:r>
          </w:p>
        </w:tc>
        <w:tc>
          <w:tcPr>
            <w:tcW w:w="8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60" w:type="dxa"/>
            <w:vAlign w:val="bottom"/>
          </w:tcPr>
          <w:p>
            <w:pPr>
              <w:spacing w:after="0"/>
              <w:rPr>
                <w:sz w:val="23"/>
                <w:szCs w:val="23"/>
                <w:color w:val="auto"/>
              </w:rPr>
            </w:pPr>
          </w:p>
        </w:tc>
      </w:tr>
      <w:tr>
        <w:trPr>
          <w:trHeight w:val="257"/>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1,435</w:t>
            </w: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attribute the decrease in G&amp;A as a percentage of revenues to 18.6 percent for the three months ended September 30, 2005 from 21.3 percent for the three months ended September 30, 2004 mostly due to the 41.2 percent increase in revenue. The increase in actual expenses is mainly due to the addition of SFAS No. 123R compensation cost of $229,000, an increase in SEC investigation and subsequent litigation-related professional fees of $131,000, and an increase in professional fees, including accounting and audit fees, of $160,000 partially offset by a $51,000 decrease in directors and officers insurance premiums, a $43,000 reduction in salaries and benefits-related costs, and a $90,000 decrease in other G&amp;A expense.</w:t>
      </w: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u w:val="single" w:color="auto"/>
          <w:color w:val="auto"/>
        </w:rPr>
        <w:t>Settlement in shareholders’ class action expense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We attribute the decrease in benefit for settlement in shareholders’ class action expense as a</w:t>
      </w:r>
      <w:r>
        <w:rPr>
          <w:rFonts w:ascii="Arial" w:cs="Arial" w:eastAsia="Arial" w:hAnsi="Arial"/>
          <w:sz w:val="17"/>
          <w:szCs w:val="17"/>
          <w:b w:val="1"/>
          <w:bCs w:val="1"/>
          <w:color w:val="auto"/>
        </w:rPr>
        <w:t xml:space="preserve"> </w:t>
      </w:r>
      <w:r>
        <w:rPr>
          <w:rFonts w:ascii="Arial" w:cs="Arial" w:eastAsia="Arial" w:hAnsi="Arial"/>
          <w:sz w:val="17"/>
          <w:szCs w:val="17"/>
          <w:color w:val="auto"/>
        </w:rPr>
        <w:t>percentage of revenue to (12.6) percent for the three months ended September 30, 2005 from (15.1) percent for the three months ended September 30, 2004 to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to reflect the current liability amount associated with the 1.2 million shares based upon the closing price of the Company’s common stock at the end of each quarter through the date the shares were issued on September 29, 2005. Accordingly, we will no longer recognize any expense (benefit) associated with these stock price fluctuations.</w:t>
      </w:r>
    </w:p>
    <w:p>
      <w:pPr>
        <w:spacing w:after="0" w:line="22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u w:val="single" w:color="auto"/>
          <w:color w:val="auto"/>
        </w:rPr>
        <w:t>Research and product development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product development expenses include research and development, product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services, and test and application expenses, including employee-related costs, outside services, expensed materials, depreciation, and an allocation of overhead expenses. Total research and product development expenses increased $694,000, or 62.8 percent, to $1.8 million for the three months ended September 30, 2005 compared with the three months ended September 30, 2004 expenses of $1.1 million. As a percentage of revenues, research and product development expenses were 18.9 percent for the three months ended September 30, 2005 and 16.4 percent for the three months ended September 30, 2004. The increase in product development expenses from the three months ended September 30, 2004 to the three months ended September 30, 2005 was due to ongoing research and product development efforts and the addition of SFAS No. 123R compensation cost of $43,000.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 xml:space="preserve">Operating income (loss). </w:t>
      </w:r>
      <w:r>
        <w:rPr>
          <w:rFonts w:ascii="Arial" w:cs="Arial" w:eastAsia="Arial" w:hAnsi="Arial"/>
          <w:sz w:val="16"/>
          <w:szCs w:val="16"/>
          <w:color w:val="auto"/>
        </w:rPr>
        <w:t>For the three months ended September 30, 2005, our operating income increased $1.4 million, or 207.5 percent, to $705,000 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revenue of $9.5 million, from an operating loss of $656,000 on revenue of $6.7 million for the three months ended September 30, 2004. As discussed above,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factors affecting this increase in operating income were an increase in gross profit of $1.9 million, a decrease in marketing and selling expenses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$274,000, and an increase in settlement in shareholders’ class action benefit of $185,000, partially offset by an increase in research and product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of $694,000 and an increase in general and administrative expenses of $336,000.</w:t>
      </w:r>
    </w:p>
    <w:p>
      <w:pPr>
        <w:spacing w:after="0" w:line="26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includes our interest income, interest expense, capital gains, gain (loss) on the disposal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currency gain (loss). Other income was $166,000 for the three months ended September 30, 2005, an increase of $132,000, or 388.2 percent, from income of $34,000 for the three months ended September 30, 2004. The increase in other income for the three months ended September 30, 2005 over the same period in fiscal 2004 was primarily due to an increase in interest income associated with our marketable securities and a decrease in interest expense related to our Oracle system-related note payable.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(loss) from continuing operations before income taxes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(loss) from continuing operations increased $1.5 million, or 240.0 percent to</w:t>
      </w:r>
    </w:p>
    <w:p>
      <w:pPr>
        <w:spacing w:after="0" w:line="50"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$871,000 for the three months ended September 30, 2005 compared with the three months ended September 30, 2004 net loss from continuing operations of ($622,000). As a percentage of revenues, net income (loss) from continuing operations was 9.1 percent for the three months ended September 30, 2005 and (9.2) percent for the three months ended September 30, 2004. We attribute the change in income to the results of operations as described above.</w:t>
      </w:r>
    </w:p>
    <w:p>
      <w:pPr>
        <w:spacing w:after="0" w:line="205"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b w:val="1"/>
          <w:bCs w:val="1"/>
          <w:color w:val="auto"/>
        </w:rPr>
        <w:t>Benefit from income taxes</w:t>
      </w:r>
      <w:r>
        <w:rPr>
          <w:rFonts w:ascii="Arial" w:cs="Arial" w:eastAsia="Arial" w:hAnsi="Arial"/>
          <w:sz w:val="17"/>
          <w:szCs w:val="17"/>
          <w:color w:val="auto"/>
        </w:rPr>
        <w:t>. Benefit from income taxes from continuing operations was $178,000 for the three months ended September 30, 2005 and</w:t>
      </w:r>
      <w:r>
        <w:rPr>
          <w:rFonts w:ascii="Arial" w:cs="Arial" w:eastAsia="Arial" w:hAnsi="Arial"/>
          <w:sz w:val="17"/>
          <w:szCs w:val="17"/>
          <w:b w:val="1"/>
          <w:bCs w:val="1"/>
          <w:color w:val="auto"/>
        </w:rPr>
        <w:t xml:space="preserve"> </w:t>
      </w:r>
      <w:r>
        <w:rPr>
          <w:rFonts w:ascii="Arial" w:cs="Arial" w:eastAsia="Arial" w:hAnsi="Arial"/>
          <w:sz w:val="17"/>
          <w:szCs w:val="17"/>
          <w:color w:val="auto"/>
        </w:rPr>
        <w:t>$232,000 for the three months ended September 30, 2004. The change is mostly due to the income from discontinued operations during the three months ended September 30, 2005 being partially offset by and our ability to decrease a portion of the valuation allowance against deferred tax assets. Given the Company’s history of consecutive years of losses from continuing operations, we followed the guidance of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and recorded a valuation allowance against certain deferred tax assets where it is not considered more likely than not that the deferred tax assets will be realized. As of September 30, 2005, we have fully reserved against our net deferred tax assets.</w:t>
      </w:r>
    </w:p>
    <w:p>
      <w:pPr>
        <w:spacing w:after="0" w:line="228"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Income from discontinued operations, net of tax. </w:t>
      </w:r>
      <w:r>
        <w:rPr>
          <w:rFonts w:ascii="Arial" w:cs="Arial" w:eastAsia="Arial" w:hAnsi="Arial"/>
          <w:sz w:val="17"/>
          <w:szCs w:val="17"/>
          <w:color w:val="auto"/>
        </w:rPr>
        <w:t>Income from discontinued operations, net of tax, includes the gain on the sale of our conferencing</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business, payments on our note receivable related to the sale of our Canadian audiovisual integration services business which was sold on March 4, 2005, loss from discontinued operations related to our Canadian audiovisual integration services, and the final payment received on our note receivable related to the sale to Burk. The income from discontinued operations was approximately $938,000 for the three months ended September 30, 2005, a decrease of $12.4 million or 93.0 percent, from approximately $13.3 million for the three months ended September 30, 2004.</w:t>
      </w:r>
    </w:p>
    <w:p>
      <w:pPr>
        <w:spacing w:after="0" w:line="2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July 1, 2004, we sold our conferencing services business component to Premiere. Consideration for the sale consisted of $21.3 million in cash. Of the purchase price, $300,000 was placed into a working capital escrow account and an additional $1.0 million was placed into an 18-month Indemnity Escrow account. The Company received the $300,000 working capital escrow funds approximately 90 days after the execution date of the contract. The Company received the $1.0 million in the Indemnity Escrow account in January 2006. Additionally, $1.4 million of the proceeds was utilized to pay off equipment leases pertaining to assets being conveyed to Premiere. The Company realized a gain, net of tax, on the sale of $13.4 million during the fiscal year ended June 30, 2005.</w:t>
      </w:r>
    </w:p>
    <w:p>
      <w:pPr>
        <w:spacing w:after="0" w:line="2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received payments on our OM Video note receivable, net of tax, of $94,000 for the three months ended September 30, 2005 while OM Video services loss, net of tax, was ($32,000) for the three months ended September 30, 2004. OM Video audiovisual integration services business revenue was $879,000 for the three months ended September 30, 2004.</w:t>
      </w:r>
    </w:p>
    <w:p>
      <w:pPr>
        <w:spacing w:after="0" w:line="23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August 22, 2005 we entered into a Mutual Release and Waiver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We realized a gain, net of tax, of $844,000 for the three months ended September 30,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THIRD-PARTY MANUFACTURING AGREEMENT</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1, 2005, we entered into a Manufacturing Agreement with a third-party manufacturer (“TPM”), pursuant to which we agreed to outsource our Salt Lake City manufacturing operations. The parties also entered into a one-year sublease for approximately 12,000 square feet of manufacturing space located in our headquarters in Salt Lake City, Utah, which sublease may be terminated by either party upon 90 days notice. TPM paid $11,000 per month under the sublease through May 31, 2006, when the sublease was terminated. Costs associated with outsourcing our manufacturing totaled approximately $290,000 including severance payments, facilities we no longer use, and impairment of property and equipment that will be disposed of. We recorded the change related to these costs in the fiscal 2005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9"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 xml:space="preserve">Sale of OM Video. </w:t>
      </w:r>
      <w:r>
        <w:rPr>
          <w:rFonts w:ascii="Arial" w:cs="Arial" w:eastAsia="Arial" w:hAnsi="Arial"/>
          <w:sz w:val="18"/>
          <w:szCs w:val="18"/>
          <w:color w:val="auto"/>
        </w:rPr>
        <w:t>As of December 31, 2005, all payments due under the note receivable through such date had been received and $854,000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promissory note remained outstanding; however, OM Purchaser has failed to make any subsequent, required payments under the note receivable and is in default thereunder. We are currently considering our collection options.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Conferencing Services. </w:t>
      </w:r>
      <w:r>
        <w:rPr>
          <w:rFonts w:ascii="Arial" w:cs="Arial" w:eastAsia="Arial" w:hAnsi="Arial"/>
          <w:sz w:val="18"/>
          <w:szCs w:val="18"/>
          <w:color w:val="auto"/>
        </w:rPr>
        <w:t>In January 2006, we received the $1.0 million in the Indemnity Escrow account from Premiere.</w:t>
      </w:r>
    </w:p>
    <w:p>
      <w:pPr>
        <w:spacing w:after="0" w:line="279"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Settlement Agreement and Release. </w:t>
      </w:r>
      <w:r>
        <w:rPr>
          <w:rFonts w:ascii="Arial" w:cs="Arial" w:eastAsia="Arial" w:hAnsi="Arial"/>
          <w:sz w:val="17"/>
          <w:szCs w:val="17"/>
          <w:color w:val="auto"/>
        </w:rPr>
        <w:t>We entered into a settlement agreement and release with our former Vice-President - Human Resources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cessation of her employment, which generally provided for her resignation from her position and employment, the payment of severance, and a general release of claims against us by her. On February 20, 2006, an agreement was entered into which generally provided for a severance payment of $93,300 and her surrender and delivery to the Company of 145,000 stock options (86,853 of which were vested).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September 30, 2005, our cash and cash equivalents were approximately $2.2 million and our marketable securities were approximately $17.0 million, which represented an overall increase of $1.5 million in our balances from June 30, 2005 which were cash and cash equivalents of approximately $1.9 million and our marketable securities of approximately $15.8 million.</w:t>
      </w:r>
    </w:p>
    <w:p>
      <w:pPr>
        <w:spacing w:after="0" w:line="23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Net cash flows provided by operating activities were $580,000 for the three months ended September 30, 2005, a decrease of $3.2 million, from the net cash flows provided by operating activities of $3.8 million for the three months ended September 30, 2004. The year-over-year decrease was attributable to an increase of $3.4 million in cash used in changes in working capital, a $618,000 decrease in cash provided by discontinued operations, and a decrease of $569,000 in cash provided by non-cash expenses, partially offset by an increase in net income from continuing operations of $1.4 million.</w:t>
      </w:r>
    </w:p>
    <w:p>
      <w:pPr>
        <w:spacing w:after="0" w:line="20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cash flows used in investing activities were $283,000 for the three months ended September 30, 2005, a decrease of $4.4 million, from the net cash flows used in investing activities of $4.7 million for the three months ended September 30, 2004. The change was primarily attributable to a decrease in the net (purchase) of marketable securities of approximately $17.5 million, a decrease in the purchase of property and equipment of $190,000, and an increase in the proceeds from the sale of property and equipment of $42,000, partially offset by a decrease in net cash provided by discontinued operations of $13.3 million. On August 22, 2005 we entered into a Mutual Release and Waiver with Burk pursuant to which Burk paid us $1.3 million, pre-tax, in full satisfaction of the promissory note, which is included in net cash provided by discontinued investing activities.</w:t>
      </w:r>
    </w:p>
    <w:p>
      <w:pPr>
        <w:spacing w:after="0" w:line="23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did not have any net cash flows used in financing activities for the three months ended September 30, 2005, a decrease of $178,000, from the net cash flows used in financing activities of $178,000 for the three months ended September 30, 2004. This increase was attributable to a $178,000 decrease in cash used in payments on long-term debt and capital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ind w:right="40"/>
        <w:spacing w:after="0" w:line="277" w:lineRule="auto"/>
        <w:rPr>
          <w:sz w:val="20"/>
          <w:szCs w:val="20"/>
          <w:color w:val="auto"/>
        </w:rPr>
      </w:pPr>
      <w:r>
        <w:rPr>
          <w:rFonts w:ascii="Arial" w:cs="Arial" w:eastAsia="Arial" w:hAnsi="Arial"/>
          <w:sz w:val="18"/>
          <w:szCs w:val="18"/>
          <w:color w:val="auto"/>
        </w:rPr>
        <w:t>We have no off-balance-sheet financing arrangements with related parties and no unconsolidated subsidiaries. Contractual obligations related to our operating leases at September 30, 2005 are summarized below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right"/>
              <w:ind w:right="970"/>
              <w:spacing w:after="0"/>
              <w:rPr>
                <w:sz w:val="20"/>
                <w:szCs w:val="20"/>
                <w:color w:val="auto"/>
              </w:rPr>
            </w:pPr>
            <w:r>
              <w:rPr>
                <w:rFonts w:ascii="Arial" w:cs="Arial" w:eastAsia="Arial" w:hAnsi="Arial"/>
                <w:sz w:val="18"/>
                <w:szCs w:val="18"/>
                <w:color w:val="auto"/>
              </w:rPr>
              <w:t>Payments Due by Period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120"/>
              <w:spacing w:after="0" w:line="195" w:lineRule="exact"/>
              <w:rPr>
                <w:sz w:val="20"/>
                <w:szCs w:val="20"/>
                <w:color w:val="auto"/>
              </w:rPr>
            </w:pPr>
            <w:r>
              <w:rPr>
                <w:rFonts w:ascii="Arial" w:cs="Arial" w:eastAsia="Arial" w:hAnsi="Arial"/>
                <w:sz w:val="18"/>
                <w:szCs w:val="18"/>
                <w:color w:val="auto"/>
                <w:w w:val="90"/>
              </w:rPr>
              <w:t>Remainder of</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1"/>
              </w:rPr>
              <w:t>Fiscal 2007</w:t>
            </w:r>
          </w:p>
        </w:tc>
        <w:tc>
          <w:tcPr>
            <w:tcW w:w="120" w:type="dxa"/>
            <w:vAlign w:val="bottom"/>
          </w:tcPr>
          <w:p>
            <w:pPr>
              <w:spacing w:after="0"/>
              <w:rPr>
                <w:sz w:val="16"/>
                <w:szCs w:val="16"/>
                <w:color w:val="auto"/>
              </w:rPr>
            </w:pPr>
          </w:p>
        </w:tc>
        <w:tc>
          <w:tcPr>
            <w:tcW w:w="112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1"/>
              </w:rPr>
              <w:t>Fiscal 2009</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Contractual Obligations</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Fiscal 2006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and 2008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and 2010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Thereafter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4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top w:val="single" w:sz="8" w:color="CCEEFF"/>
            </w:tcBorders>
            <w:gridSpan w:val="2"/>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September 30, 2005, we had open purchase orders related to our contract manufacturers and other contractual obligations of approximately $3.0 million primarily related to inventory purchases.</w:t>
      </w:r>
    </w:p>
    <w:p>
      <w:pPr>
        <w:spacing w:after="0" w:line="22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non-cancellable, non-returnable, and long-lead time commitments with our outsourced manufacturers and certain suppliers for inventory components that will be used in production. Our exposure associated with these commitments is approximately $1.5 million, with the fiscal 2006 exposure being approximately $800,000 and the fiscal 2007 and 2008 exposure being approximately $700,000.</w:t>
      </w:r>
    </w:p>
    <w:p>
      <w:pPr>
        <w:spacing w:after="0" w:line="23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December 31, 2005, all payments due under the note receivable from the sale of OM Video through such date had been received and $854,000 of the promissory note remained outstanding; however, OM Purchaser has failed to make any subsequent, required payments under the note receivable and is in default thereunder. We are currently considering our collection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January 2006, we received the $1.0 million in the Indemnity Escrow account from Premiere.</w:t>
      </w: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2005, we had a net income tax receivable of $3.6 million. The receivable was generated from net operating loss carrybacks related to tax returns for the fiscal years ended June 30, 2004 and 2003, of $3.1 million and $359,000, respectively, and an overpayment of income taxes of approximately $500,000 for the fiscal year ended June 30, 2005. Additionally, we recorded in continuing and discontinued operations a combined tax provision of $380,000 during the three months ended September 30, 2005.</w:t>
      </w:r>
    </w:p>
    <w:p>
      <w:pPr>
        <w:spacing w:after="0" w:line="2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Beginning in January 2003 and continuing through the date of this report, we have incurred significant costs with respect to the defense and settlement of legal proceedings and the audits of our consolidated financial statements. The restatement of fiscal 2002 and fiscal 2001 consolidated financial statements and the fiscal 2004 and fiscal 2003 audits were significantly more time consuming and expensive than originally anticipated. The extended time commitment required to complete the restatement of financial information continues to be costly and divert our resources, as well as to have a material effect on our results of operations. We paid $127,000 in fiscal 2006, $2.5 million in fiscal 2005, and $2.5 million in fiscal 2004 in cash to settle the shareholders’ class action lawsuit. We have incurred legal fees in the amount of approximately $1.9 million from January 2003 through May 2006 and we have incurred audit and tax fees in the amount of approximately $3.6 million from January 2004 through May 2006. We expect that in fiscal 2007 these costs will be substantially less.</w:t>
      </w:r>
    </w:p>
    <w:p>
      <w:pPr>
        <w:spacing w:after="0" w:line="2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During fiscal 2006, we increased our research and development spending for new product development, including the hiring of new engineering and support staff, as well as increased spending on software, hardware, prototype development, and testing. We have also invested in the introduction of new products, including the Converge 560/590, the MaxAttach IP and Max IP, the Tabletop Controller for XAP Platform, as well as the Chat 50.</w:t>
      </w:r>
    </w:p>
    <w:p>
      <w:pPr>
        <w:spacing w:after="0" w:line="22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not exercised our five-year renewal option on our existing Company headquarters. We have entered into a letter of intent on a new corporate headquarters facility that we believe will better meet our current and future requirements. The proposed lease term is seven years, with a five-year exit clause, and a minimum of 33,000 square feet. The lease is anticipated to commence November 1, 2006.</w:t>
      </w:r>
    </w:p>
    <w:p>
      <w:pPr>
        <w:spacing w:after="0" w:line="23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Our principal source of funding for these and other expenses has been cash generated from operations and from the sale of discontinued operations. We believe that our working capital and cash flows from operating activities will be sufficient to satisfy our operating and capital expenditure requirements through fiscal 2007.</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Asset Retirement Obligations in the European Union</w:t>
      </w:r>
    </w:p>
    <w:p>
      <w:pPr>
        <w:spacing w:after="0" w:line="2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2005, the FASB issued a FSP interpreting SFAS No. 143, “Accounting for Asset Retirement Obligations,” specifically FSP 143-1, “Accounting for Electronic Equipment Waste Obligations.”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is effective beginning with our fiscal 2006 financial statements. We do not believe that the adoption of FSP 143-1 had a material effect on our business, results of operations, financial position, or liquidity.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Costs</w:t>
      </w:r>
    </w:p>
    <w:p>
      <w:pPr>
        <w:spacing w:after="0" w:line="28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is effective for our fiscal 2006 financial statements. There was not a significant impact on our business, results of operations, financial position, or liquidity from the adoption of this standard.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 and Error Corrections</w:t>
      </w:r>
    </w:p>
    <w:p>
      <w:pPr>
        <w:spacing w:after="0" w:line="2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We do not believe that the adoption of SFAS No. 154 will have a material effect on our business, results of operations, financial position, or liquidity.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Other-Than-Temporary Impairment</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March 2004, the FASB issued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We do not expect that the adoption of this EITF to have a material impact on our business, results of operations, financial position, or liquidity.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market risk has not changed materially since June 30,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34" w:right="279" w:bottom="1440" w:gutter="0" w:footer="0" w:header="0"/>
        </w:sectPr>
      </w:pPr>
    </w:p>
    <w:bookmarkStart w:id="32" w:name="page33"/>
    <w:bookmarkEnd w:id="32"/>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Interim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3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required by Rule 13a-15 under the Exchange Act, we have completed an evaluation, under the supervision and with the participation of our management, including the Chief Executive Officer and the Interim Chief Financial Officer, of the effectiveness and the design and operation of our disclosure controls and procedures as of September 30, 2005. Based upon this evaluation and as a result of the material weakness discussed below, our management, including the Chief Executive Officer and the Interim Chief Financial Officer, has concluded that our disclosure controls and procedures were not effective as of September 30, 2005. Management nevertheless has concluded that the condensed consolidated financial statements included in this Form 10-Q present fairly, in all material respects, our results of operations and financial position for the periods presented in conformity with generally accepted accounting principles.</w:t>
      </w:r>
    </w:p>
    <w:p>
      <w:pPr>
        <w:spacing w:after="0" w:line="21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material weakness is a control deficiency, or combination of control deficiencies, that result in more than a remote likelihood that a material misstatement of the annual or interim financial statements will not be prevented or detected in a timely basis by management or employees in the normal course of performing their assigned functions. As of September 30, 2005, we identified the following material weakness in our internal controls:</w:t>
      </w:r>
    </w:p>
    <w:p>
      <w:pPr>
        <w:spacing w:after="0" w:line="201" w:lineRule="exact"/>
        <w:rPr>
          <w:sz w:val="20"/>
          <w:szCs w:val="20"/>
          <w:color w:val="auto"/>
        </w:rPr>
      </w:pPr>
    </w:p>
    <w:p>
      <w:pPr>
        <w:jc w:val="both"/>
        <w:ind w:left="660" w:hanging="139"/>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Ineffective financial statement close process</w:t>
      </w:r>
      <w:r>
        <w:rPr>
          <w:rFonts w:ascii="Arial" w:cs="Arial" w:eastAsia="Arial" w:hAnsi="Arial"/>
          <w:sz w:val="17"/>
          <w:szCs w:val="17"/>
          <w:color w:val="auto"/>
        </w:rPr>
        <w:t>. We have a material weakness in the timeliness and adequacy of the monthly close process to effect a</w:t>
      </w:r>
      <w:r>
        <w:rPr>
          <w:rFonts w:ascii="Arial" w:cs="Arial" w:eastAsia="Arial" w:hAnsi="Arial"/>
          <w:sz w:val="17"/>
          <w:szCs w:val="17"/>
          <w:i w:val="1"/>
          <w:iCs w:val="1"/>
          <w:color w:val="auto"/>
        </w:rPr>
        <w:t xml:space="preserve"> </w:t>
      </w:r>
      <w:r>
        <w:rPr>
          <w:rFonts w:ascii="Arial" w:cs="Arial" w:eastAsia="Arial" w:hAnsi="Arial"/>
          <w:sz w:val="17"/>
          <w:szCs w:val="17"/>
          <w:color w:val="auto"/>
        </w:rPr>
        <w:t>timely and accurate financial statement close with the necessary level of review and supervision. Accounting personnel have not been able to focus full attention to correcting this weakness due to their focus on the preparation, audit, and issuance for the restated fiscal 2001, restated fiscal 2002, fiscal 2003, 2004, and 2005, and interim fiscal 2006 condensed consolidated financial statements.</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There were no changes to any reported financial results that have been released by us in this or any other filings as a result of the above-described material weakness; however, the following actions have been commenced since June 30, 2005 in response to the inadequacies noted above:</w:t>
      </w:r>
    </w:p>
    <w:p>
      <w:pPr>
        <w:spacing w:after="0" w:line="201" w:lineRule="exact"/>
        <w:rPr>
          <w:sz w:val="20"/>
          <w:szCs w:val="20"/>
          <w:color w:val="auto"/>
        </w:rPr>
      </w:pPr>
    </w:p>
    <w:p>
      <w:pPr>
        <w:ind w:left="820" w:right="20" w:hanging="136"/>
        <w:spacing w:after="0" w:line="274"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Initiation of an evaluation and remediation process with respect to internal controls over financial reporting and related processes designed to identify internal controls that mitigate financial reporting risk and identify control gaps that may require further remediation.</w:t>
      </w:r>
    </w:p>
    <w:p>
      <w:pPr>
        <w:ind w:left="820" w:hanging="136"/>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Evaluation of the staffing, organizational structure, systems, policies and procedures, and other reporting processes, to improve the timeliness of closing the Company’s accounting records and to enhance the level of review and supervision.</w:t>
      </w:r>
    </w:p>
    <w:p>
      <w:pPr>
        <w:ind w:left="820" w:hanging="136"/>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Re-evaluation of prior policies and procedures and the establishment of new policies and procedures for such matters as non-routine and complex transactions, account reconciliation procedures, and contract management procedures.</w:t>
      </w:r>
    </w:p>
    <w:p>
      <w:pPr>
        <w:ind w:left="820" w:hanging="13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Hiring of additional accounting personnel with experience in accounting matters and financial reporting.</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On-going training and monitoring by management to ensure operation of controls as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3" w:name="page34"/>
    <w:bookmarkEnd w:id="33"/>
    <w:p>
      <w:pPr>
        <w:ind w:right="120"/>
        <w:spacing w:after="0" w:line="276" w:lineRule="auto"/>
        <w:rPr>
          <w:sz w:val="20"/>
          <w:szCs w:val="20"/>
          <w:color w:val="auto"/>
        </w:rPr>
      </w:pPr>
      <w:r>
        <w:rPr>
          <w:rFonts w:ascii="Arial" w:cs="Arial" w:eastAsia="Arial" w:hAnsi="Arial"/>
          <w:sz w:val="17"/>
          <w:szCs w:val="17"/>
          <w:color w:val="auto"/>
        </w:rPr>
        <w:t>We have committed considerable resources to date to the reviews and remedies described above, although certain of such items are on-going as of this filing date, and it will take time to realize all of the benefits. Additional efforts will be required to remediate the material weakness in our controls. We believe that the steps taken to date, along with certain other remediation plans we are currently undertaking, including those described above, will address the material weakness that affects our internal controls over financial reporting for the fiscal year ending June 30, 2006. We will continue our on-going evaluation and expect to improve our internal controls as necessary to assure their effectiveness.</w:t>
      </w:r>
    </w:p>
    <w:p>
      <w:pPr>
        <w:spacing w:after="0" w:line="22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than as described above, since the evaluation date, there has been no change in our internal controls over financial reporting (as defined in Rules 13a-15 and 15d-15 under the Exchange Act)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addition to the legal proceedings described below, we are also involved from time to time in various claims and other legal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arise in the normal course of business. Such matters are subject to many uncertainties and outcomes that are not predictable. However, based on the information available to us as of May 15, 2006 and after discussions with legal counsel, we do not believe any such other proceedings will have a material, adverse effect on our business, results of operations, financial position, or liquidity, except as described below.</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The Shareholders’ Class Action</w:t>
      </w:r>
      <w:r>
        <w:rPr>
          <w:rFonts w:ascii="Arial" w:cs="Arial" w:eastAsia="Arial" w:hAnsi="Arial"/>
          <w:sz w:val="16"/>
          <w:szCs w:val="16"/>
          <w:color w:val="auto"/>
        </w:rPr>
        <w:t>. On June 30, 2003, a consolidated complaint was filed against the Company, eight present or former officers and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an SEC complaint described in the Company’s Annual Report on Form 10-K for the year ended June 30, 2005. On December 4, 2003, the Company, on behalf of itself and all other defendants with the exception of Ernst &amp; Young, entered into a settlement agreement with the class pursuant to which the Company agreed to pay the class $5.0 million and to issue the class 1.2 million shares of its common stock. The cash payment was made in two equal installments, the first on November 10, 2003 (fiscal 2004) and the second on January 14, 2005 (fiscal 2005). On May 23, 2005, the court order was amended to require the Company to pay cash in lieu of stock to those members of the class who would otherwise have been entitled to receive fewer than 100 shares of stock. On September 29, 2005 (fiscal 2006), we completed our obligations under the settlement agreement by issuing a total of 1,148,494 shares of our common stock to the plaintiff class, including 228,000 shares previously issued in November 2004 (fiscal 2005), and we paid an aggregate of $127,000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w:t>
      </w:r>
    </w:p>
    <w:p>
      <w:pPr>
        <w:spacing w:after="0" w:line="22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a quarterly basis, we revalued the un-issued shares to the closing price of the stock on the last day of the quarter. During the three months ended September 30, 2005 and 2004, we received a benefit of $1.2 million and $1.0 million, respectively, related to the revaluation of the 1.2 million shares of the Company’s common stock that were issued in November 2004 and September 2005.</w:t>
      </w:r>
    </w:p>
    <w:p>
      <w:pPr>
        <w:spacing w:after="0" w:line="23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The Shareholder Derivative Actions</w:t>
      </w:r>
      <w:r>
        <w:rPr>
          <w:rFonts w:ascii="Arial" w:cs="Arial" w:eastAsia="Arial" w:hAnsi="Arial"/>
          <w:sz w:val="17"/>
          <w:szCs w:val="17"/>
          <w:color w:val="auto"/>
        </w:rPr>
        <w:t>. Between March and August 2003, four shareholder derivative actions were filed by certain shareholders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various present and past officers and directors of the Company and against Ernst &amp; Young. The complaints asserted allegations similar to those asserted in an SEC complaint described in the Company’s Annual Report on Form 10-K for the year ended June 30, 2005 and the shareholders’ class action described above and also alleged that the defendant directors and officers violated their fiduciary duties to the Company by causing or allowing the Company to recognize revenue in violation of GAAP and to issue materially misstated financial statements and that Ernst &amp; 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our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we moved to dismiss those claims. In March 2004, our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 w:name="page36"/>
    <w:bookmarkEnd w:id="35"/>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ClearOne,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our present and former directors and officers in connection with an SEC complaint described in our Annual Report on Form 10-K for the year ended June 30, 2005, and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ClearOne and certain of its current and former directors. In this action, the insurers assert that they are entitled to rescind insurance coverage under the Company’s directors and officers liability insurance policies, $3.0 million of which was provided by National Union and $2.0 million of which was provided by Lumbermens Mutual, based on alleged misstatements in the Company’s insurance applications. In February 2005, we entered into a confidential settlement agreement with Lumbermens Mutual pursuant to which ClearOne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we will ultimately receive, we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$59,000 in expenses. However, due to the Lumbermans Mutual cash proceeds discussed above and the appeal of the summary judgment discussed below, this potential liability has not been recorded in the balance sheet as of September 30, 2005. On February 2, 2006, the Company and Mr. Bagley filed an appeal of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we are paying all litigation expenses except litigation expenses which are solely related to Mr. Bagley’s claims in the litigation.</w:t>
      </w:r>
    </w:p>
    <w:p>
      <w:pPr>
        <w:spacing w:after="0" w:line="200" w:lineRule="exact"/>
        <w:rPr>
          <w:sz w:val="20"/>
          <w:szCs w:val="20"/>
          <w:color w:val="auto"/>
        </w:rPr>
      </w:pPr>
    </w:p>
    <w:p>
      <w:pPr>
        <w:spacing w:after="0" w:line="25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Wells Submission. </w:t>
      </w:r>
      <w:r>
        <w:rPr>
          <w:rFonts w:ascii="Arial" w:cs="Arial" w:eastAsia="Arial" w:hAnsi="Arial"/>
          <w:sz w:val="16"/>
          <w:szCs w:val="16"/>
          <w:color w:val="auto"/>
        </w:rPr>
        <w:t>We have been advised by the staff of the Salt Lake District Office of the SEC that the staff intended to recommend to the Commission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proceedings be instituted to revoke the registration of the Company’s common stock based on the Company’s failure to timely file annual and quarterly reports with the Commission. We provided the staff with a so-called “Wells Submission” setting forth its position with respect to the staff’s intended recommendation. To date, the Commission has not instituted an administrative proceeding against us; however, there can be no assurance that the Commission will not institute an administrative proceeding in the future or that we would prevail if an administrative proceeding were instituted.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Quarterly Report on Form 10-Q, including our September 30, 2005 unaudited condensed consolidated financial statements and related notes.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We face intense competition in all of the markets for our products and services; our operating results will be adversely affected if we cannot compete effectively against other companies.</w:t>
      </w:r>
    </w:p>
    <w:p>
      <w:pPr>
        <w:spacing w:after="0" w:line="2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described in more detail in the section entitled “Competition,” in our Annual Report on Form 10-K for the year ended June 30, 2005,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profits, and market share, each of which could have a materially adverse effect on our business.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gross profit.</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Orders from our distributors and other distribution participants are based on demand from end-users. Prospective end-user demand is seasonal 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to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European Parliament has published a directive on the Restriction on Use of Hazardous Substances Directive (the “RoHS Directive”), which restricts the use of certain hazardous substances in electrical and electronic equipment beginning July 1, 2006. In order to comply with this directive, it has become necessary to re-design the majority of our product line and switch over to components that do not contain the restricted substances, such as lead, mercury, and cadmium. This process involves procurement of the new compliant components, engineering effort to integrate and test them, and re-submitting the products for emissions, safety, and telephone line interface compliance testing and approval. This effort has consumed resources and time that would otherwise have been spent on new product development, which will continue until the product line has been updated.</w:t>
      </w:r>
    </w:p>
    <w:p>
      <w:pPr>
        <w:spacing w:after="0" w:line="23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To date, certain of our products have not been re-designed and are therefore not-compliant with these laws and regulations. Accordingly, sales into the European market beginning July 1, 2006 may be negatively impacted and our results of operations could suffer. We anticipate that most of these product re-designs and launches will be completed during the first half of fiscal 2007. Additionally, certain of our products will not be re-designed. Our outsourced manufacturers may hold us responsible for the cost of purchased components that become obsolete as a result of these re-design efforts. To the extent that we cannot manage these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w:t>
      </w:r>
    </w:p>
    <w:p>
      <w:pPr>
        <w:spacing w:after="0" w:line="23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European Parliament has also published a directive on Electronic and Electrical Waste Management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We have, in the past, and may again experience, technical difficulties and delays with the development and introduction of new products. Many of the products we develop contain sophisticated and complicated components and utilize manufacturing techniques involving new technologies. Potential difficulties in the development process that could be experienced by us include difficulty in:</w:t>
      </w:r>
    </w:p>
    <w:p>
      <w:pPr>
        <w:spacing w:after="0" w:line="235"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6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Once new products reach the market, they may have defects, which could adversely affect market acceptance of these products and our reputation. If we are not able to manage and minimize such potential difficulties, our business and results of operations could be negatively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sale of our camera business.</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2006, we entered into a letter of intent with a potential purchaser of our document and educational camera manufacturing and sales business. We are currently in the due diligence phase and there is no guarantee that an actual sale will be completed. We are actively managing our customer relationships and our camera inventory to meet the needs of our camera customers. If our estimates of future sales and required inventory are not accurate and we experience an unforeseen drop in sales or excess inventory, our revenues and gross profit may be adversely affected. If the proposed sales occurs, future revenues will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gross profit.</w:t>
      </w:r>
    </w:p>
    <w:p>
      <w:pPr>
        <w:spacing w:after="0" w:line="2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gross profit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August 2005, we entered into a manufacturing agreement with a manufacturing services provider, to be the exclusive manufacturer of substantially all the products that were previously manufactured at our Salt Lake City, Utah manufacturing facility. This manufacturer is currently the primary manufacturer of many of our products and if this manufacturer experiences difficulties in obtaining sufficient supplies of components, component prices become unreasonable, an interruption in its operations, or otherwise suffers capacity constraints, we would experience a delay in shipping these products which would have a negative impact on our revenues. Currently, we have no second source of manufacturing for substantially all of our products.</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an agreement with an international manufacturer for the manufacture of other product lines. We use an offshore facility. Should there be any disruption in services due to natural disaster, economic or political difficulties, quarantines or other restrictions associated with infectious diseases, or other similar events, or any other reason, such disruption would have a material adverse effect on our business. A delay in shipping these products due to an interruption in the manufacturer’s operations would have a negative impact on our revenues. Operating in the international environment exposes us to certain inherent risks, including unexpected changes in regulatory requirements and tariffs, and potentially adverse tax consequences, which could materially affect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write-down the value of this inventory,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International sales represent a significant portion of our total product sales. For example, international sales represented 23.0 percent of our total product sales for the three months ended September 30, 2005 and 26.7 percent for the three months ended September 30, 2004.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12" w:lineRule="exact"/>
        <w:rPr>
          <w:sz w:val="20"/>
          <w:szCs w:val="20"/>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disruption in services due to natural disaster, economic or political difficulties, quarantines, or other restrictions associated with infectious diseases.</w:t>
      </w: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sales in the international market are generally denominated in U.S. Dollars, with the exception of sales through our wholly owned subsidiary, OM Video, whose sales were denominated in Canadian Dollars until March 4, 2005, when the subsidiary was sold to a third party. Consolidation of OM Video’s financial statements with ours, under U.S. GAAP, required remeasurement of the amounts stated in OM Video’s financial statements to U.S. Dollars, which was subject to exchange rate fluctuations. We did not undertake hedging activities that might have protected us against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0" w:name="page41"/>
    <w:bookmarkEnd w:id="40"/>
    <w:p>
      <w:pPr>
        <w:ind w:right="760"/>
        <w:spacing w:after="0" w:line="277" w:lineRule="auto"/>
        <w:rPr>
          <w:sz w:val="20"/>
          <w:szCs w:val="20"/>
          <w:color w:val="auto"/>
        </w:rPr>
      </w:pPr>
      <w:r>
        <w:rPr>
          <w:rFonts w:ascii="Arial" w:cs="Arial" w:eastAsia="Arial" w:hAnsi="Arial"/>
          <w:sz w:val="18"/>
          <w:szCs w:val="18"/>
          <w:i w:val="1"/>
          <w:iCs w:val="1"/>
          <w:color w:val="auto"/>
        </w:rPr>
        <w:t>We may not be able to hire and retain highly skilled employees, which could affect our ability to compete effectively and may cause our revenue and profitability to decline.</w:t>
      </w:r>
    </w:p>
    <w:p>
      <w:pPr>
        <w:spacing w:after="0" w:line="2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depend on highly skilled technical personnel to research and develop, market, and service new and existing products.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Our inability to hire and retain employees with the skills we seek could hinder our ability to sell our existing products, systems, or services or to develop new products, systems, or services with a consequent adverse effect on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payment obligations. Future losses could be significant and, if incurred, could harm our business and have a material adverse effect on our results of operations or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with any company, our operations are at risk of being interrupted by earthquake, fire, flood, and other natural and human-caused disasters, including terrorist attacks and disease. Our operations are also at risk of power loss, telecommunications failure, and other infrastructure and technology based problems. To help guard against such risks, we carry business interruption loss insurance with coverage of up to $5.4 million to help compensate us for losses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660" w:hanging="139"/>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Many of our officers and key personnel have recently joined the company or have only worked together for a short period of time.</w:t>
      </w:r>
    </w:p>
    <w:p>
      <w:pPr>
        <w:spacing w:after="0" w:line="2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recently made several significant changes to our senior management team. In July 2004, we named a new President and Chief Executive Officer, who had been serving as our Vice-President of Product Development since December 2003. In addition, we hired a new Chief Financial Officer in July 2004, a Vice-President of Worldwide Sales and Marketing in November 2004, and a Vice-President of Operations in January 2005. In January 2005, we named a new Vice-President of Product Line Management, who had been serving as our Director of Research and Development. In September 2005, our Chief Financial Officer resigned his position and our Corporate Controller, who joined the Company in August 2005, was named our Interim Chief Financial Officer. In February 2006, we eliminated the position of Vice-President of Human Resources. As a result of these recent changes in senior management, many of our officers and other key personnel have only worked together for a short period of time. The failure to successfully integrate senior management could have an adverse impact on our business operations, including reduced sales, and delays in new product introductions.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7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Although we have committed considerable resources to date to the reviews and remedies over our disclosure and financial reporting internal controls, it will take time and additional expenditures to completely remediate any material weakness in our internal controls. We are always at risk that any future failure of our own internal controls or the internal control at any of our outsourced manufacturers or service providers could result in additional reported material weaknesses. Recent changes to our management team increases the risk of a process breakdown and possible internal control deficiencies as we have many employees performing tasks they have not performed in the past, which could result in errors or lost knowledge. Any future failures of our internal controls could have a material impact on our market capitalization, results of operations, or financial position, or have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Our directors and officers own 18.6 percent of the Company and may exert significant influence over us.</w:t>
      </w:r>
    </w:p>
    <w:p>
      <w:pPr>
        <w:spacing w:after="0" w:line="2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officers and directors together have beneficial ownership of approximately 18.6 percent of our common stock (including options that are currently exercisable or exercisable within 60 days of May 15, 2006). With this significant holding in the aggregate, the officers and directors, acting together, could exert a significant degree of influence over us and may be able to delay or prevent a change in control.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29, 2005, we completed our obligations under the settlement agreement in the class action lawsuit by issuing a total of 1,148,494 shares of our common stock to the plaintiff class, including 228,000 shares previously issued in November 2004, and paying an aggregate of $126,705 in cash in lieu of shares to those members of the class who would otherwise have been entitled to receive an odd-lot number of shares or who resided in states in which there was no exemption available for the issuance of shares. The shares were issued in reliance on the exemption from the registration requirements of the Securities Act provided by Section 3(a)(10) thereof.</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6"/>
              </w:rPr>
              <w:t>Exhibit</w:t>
            </w:r>
          </w:p>
        </w:tc>
        <w:tc>
          <w:tcPr>
            <w:tcW w:w="1140" w:type="dxa"/>
            <w:vAlign w:val="bottom"/>
          </w:tcPr>
          <w:p>
            <w:pPr>
              <w:ind w:left="300"/>
              <w:spacing w:after="0"/>
              <w:rPr>
                <w:sz w:val="20"/>
                <w:szCs w:val="20"/>
                <w:color w:val="auto"/>
              </w:rPr>
            </w:pPr>
            <w:r>
              <w:rPr>
                <w:rFonts w:ascii="Arial" w:cs="Arial" w:eastAsia="Arial" w:hAnsi="Arial"/>
                <w:sz w:val="18"/>
                <w:szCs w:val="18"/>
                <w:color w:val="auto"/>
              </w:rPr>
              <w:t>SEC Ref.</w:t>
            </w:r>
          </w:p>
        </w:tc>
        <w:tc>
          <w:tcPr>
            <w:tcW w:w="62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43"/>
        </w:trPr>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No.</w:t>
            </w:r>
          </w:p>
        </w:tc>
        <w:tc>
          <w:tcPr>
            <w:tcW w:w="11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No.</w:t>
            </w:r>
          </w:p>
        </w:tc>
        <w:tc>
          <w:tcPr>
            <w:tcW w:w="62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Title of Document</w:t>
            </w:r>
          </w:p>
        </w:tc>
        <w:tc>
          <w:tcPr>
            <w:tcW w:w="28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Location</w:t>
            </w:r>
          </w:p>
        </w:tc>
      </w:tr>
      <w:tr>
        <w:trPr>
          <w:trHeight w:val="196"/>
        </w:trPr>
        <w:tc>
          <w:tcPr>
            <w:tcW w:w="740" w:type="dxa"/>
            <w:vAlign w:val="bottom"/>
            <w:gridSpan w:val="2"/>
          </w:tcPr>
          <w:p>
            <w:pPr>
              <w:jc w:val="center"/>
              <w:ind w:left="330"/>
              <w:spacing w:after="0" w:line="196" w:lineRule="exact"/>
              <w:rPr>
                <w:sz w:val="20"/>
                <w:szCs w:val="20"/>
                <w:color w:val="auto"/>
              </w:rPr>
            </w:pPr>
            <w:r>
              <w:rPr>
                <w:rFonts w:ascii="Arial" w:cs="Arial" w:eastAsia="Arial" w:hAnsi="Arial"/>
                <w:sz w:val="18"/>
                <w:szCs w:val="18"/>
                <w:color w:val="auto"/>
                <w:w w:val="91"/>
              </w:rPr>
              <w:t>10.8</w:t>
            </w:r>
          </w:p>
        </w:tc>
        <w:tc>
          <w:tcPr>
            <w:tcW w:w="420" w:type="dxa"/>
            <w:vAlign w:val="bottom"/>
          </w:tcPr>
          <w:p>
            <w:pPr>
              <w:spacing w:after="0"/>
              <w:rPr>
                <w:sz w:val="17"/>
                <w:szCs w:val="17"/>
                <w:color w:val="auto"/>
              </w:rPr>
            </w:pPr>
          </w:p>
        </w:tc>
        <w:tc>
          <w:tcPr>
            <w:tcW w:w="1140" w:type="dxa"/>
            <w:vAlign w:val="bottom"/>
          </w:tcPr>
          <w:p>
            <w:pPr>
              <w:ind w:left="560"/>
              <w:spacing w:after="0" w:line="196" w:lineRule="exact"/>
              <w:rPr>
                <w:sz w:val="20"/>
                <w:szCs w:val="20"/>
                <w:color w:val="auto"/>
              </w:rPr>
            </w:pPr>
            <w:r>
              <w:rPr>
                <w:rFonts w:ascii="Arial" w:cs="Arial" w:eastAsia="Arial" w:hAnsi="Arial"/>
                <w:sz w:val="18"/>
                <w:szCs w:val="18"/>
                <w:color w:val="auto"/>
              </w:rPr>
              <w:t>10</w:t>
            </w:r>
          </w:p>
        </w:tc>
        <w:tc>
          <w:tcPr>
            <w:tcW w:w="6260" w:type="dxa"/>
            <w:vAlign w:val="bottom"/>
          </w:tcPr>
          <w:p>
            <w:pPr>
              <w:ind w:left="160"/>
              <w:spacing w:after="0" w:line="196" w:lineRule="exact"/>
              <w:rPr>
                <w:sz w:val="20"/>
                <w:szCs w:val="20"/>
                <w:color w:val="auto"/>
              </w:rPr>
            </w:pPr>
            <w:r>
              <w:rPr>
                <w:rFonts w:ascii="Arial" w:cs="Arial" w:eastAsia="Arial" w:hAnsi="Arial"/>
                <w:sz w:val="18"/>
                <w:szCs w:val="18"/>
                <w:color w:val="auto"/>
                <w:w w:val="98"/>
              </w:rPr>
              <w:t>Asset Purchase Agreement among Clarinet, Inc., American Teleconferencing</w:t>
            </w:r>
          </w:p>
        </w:tc>
        <w:tc>
          <w:tcPr>
            <w:tcW w:w="2860" w:type="dxa"/>
            <w:vAlign w:val="bottom"/>
          </w:tcPr>
          <w:p>
            <w:pPr>
              <w:ind w:left="100"/>
              <w:spacing w:after="0" w:line="197" w:lineRule="exact"/>
              <w:rPr>
                <w:sz w:val="20"/>
                <w:szCs w:val="20"/>
                <w:color w:val="auto"/>
              </w:rPr>
            </w:pPr>
            <w:r>
              <w:rPr>
                <w:rFonts w:ascii="Arial" w:cs="Arial" w:eastAsia="Arial" w:hAnsi="Arial"/>
                <w:sz w:val="14"/>
                <w:szCs w:val="14"/>
                <w:color w:val="auto"/>
              </w:rPr>
              <w:t>Incorp. by reference</w:t>
            </w:r>
            <w:r>
              <w:rPr>
                <w:rFonts w:ascii="Arial" w:cs="Arial" w:eastAsia="Arial" w:hAnsi="Arial"/>
                <w:sz w:val="22"/>
                <w:szCs w:val="22"/>
                <w:color w:val="auto"/>
                <w:vertAlign w:val="superscript"/>
              </w:rPr>
              <w:t>4</w:t>
            </w:r>
          </w:p>
        </w:tc>
      </w:tr>
      <w:tr>
        <w:trPr>
          <w:trHeight w:val="215"/>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Services, Ltd. doing business as Premiere Conferencing, and ClearOne</w:t>
            </w:r>
          </w:p>
        </w:tc>
        <w:tc>
          <w:tcPr>
            <w:tcW w:w="28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Communications, Inc., dated July 1, 2004</w:t>
            </w:r>
          </w:p>
        </w:tc>
        <w:tc>
          <w:tcPr>
            <w:tcW w:w="2860" w:type="dxa"/>
            <w:vAlign w:val="bottom"/>
          </w:tcPr>
          <w:p>
            <w:pPr>
              <w:spacing w:after="0"/>
              <w:rPr>
                <w:sz w:val="18"/>
                <w:szCs w:val="18"/>
                <w:color w:val="auto"/>
              </w:rPr>
            </w:pPr>
          </w:p>
        </w:tc>
      </w:tr>
      <w:tr>
        <w:trPr>
          <w:trHeight w:val="217"/>
        </w:trPr>
        <w:tc>
          <w:tcPr>
            <w:tcW w:w="74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10.9</w:t>
            </w:r>
          </w:p>
        </w:tc>
        <w:tc>
          <w:tcPr>
            <w:tcW w:w="420" w:type="dxa"/>
            <w:vAlign w:val="bottom"/>
          </w:tcPr>
          <w:p>
            <w:pPr>
              <w:spacing w:after="0"/>
              <w:rPr>
                <w:sz w:val="18"/>
                <w:szCs w:val="18"/>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rPr>
              <w:t>10</w:t>
            </w:r>
          </w:p>
        </w:tc>
        <w:tc>
          <w:tcPr>
            <w:tcW w:w="6260" w:type="dxa"/>
            <w:vAlign w:val="bottom"/>
          </w:tcPr>
          <w:p>
            <w:pPr>
              <w:ind w:left="160"/>
              <w:spacing w:after="0"/>
              <w:rPr>
                <w:sz w:val="20"/>
                <w:szCs w:val="20"/>
                <w:color w:val="auto"/>
              </w:rPr>
            </w:pPr>
            <w:r>
              <w:rPr>
                <w:rFonts w:ascii="Arial" w:cs="Arial" w:eastAsia="Arial" w:hAnsi="Arial"/>
                <w:sz w:val="18"/>
                <w:szCs w:val="18"/>
                <w:color w:val="auto"/>
                <w:w w:val="90"/>
              </w:rPr>
              <w:t>Stock Purchase Agreement dated March 4, 2005 between 6351352 Canada Inc. and</w:t>
            </w:r>
          </w:p>
        </w:tc>
        <w:tc>
          <w:tcPr>
            <w:tcW w:w="2860" w:type="dxa"/>
            <w:vAlign w:val="bottom"/>
          </w:tcPr>
          <w:p>
            <w:pPr>
              <w:ind w:left="100"/>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1</w:t>
            </w:r>
          </w:p>
        </w:tc>
      </w:tr>
      <w:tr>
        <w:trPr>
          <w:trHeight w:val="215"/>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w w:val="94"/>
              </w:rPr>
              <w:t>Gentner Ventures, Inc., a wholly owned subsidiary of ClearOne Communications,</w:t>
            </w:r>
          </w:p>
        </w:tc>
        <w:tc>
          <w:tcPr>
            <w:tcW w:w="28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Inc.</w:t>
            </w:r>
          </w:p>
        </w:tc>
        <w:tc>
          <w:tcPr>
            <w:tcW w:w="2860" w:type="dxa"/>
            <w:vAlign w:val="bottom"/>
          </w:tcPr>
          <w:p>
            <w:pPr>
              <w:spacing w:after="0"/>
              <w:rPr>
                <w:sz w:val="18"/>
                <w:szCs w:val="18"/>
                <w:color w:val="auto"/>
              </w:rPr>
            </w:pPr>
          </w:p>
        </w:tc>
      </w:tr>
      <w:tr>
        <w:trPr>
          <w:trHeight w:val="217"/>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88"/>
              </w:rPr>
              <w:t>10.10</w:t>
            </w:r>
          </w:p>
        </w:tc>
        <w:tc>
          <w:tcPr>
            <w:tcW w:w="1140" w:type="dxa"/>
            <w:vAlign w:val="bottom"/>
          </w:tcPr>
          <w:p>
            <w:pPr>
              <w:ind w:left="560"/>
              <w:spacing w:after="0"/>
              <w:rPr>
                <w:sz w:val="20"/>
                <w:szCs w:val="20"/>
                <w:color w:val="auto"/>
              </w:rPr>
            </w:pPr>
            <w:r>
              <w:rPr>
                <w:rFonts w:ascii="Arial" w:cs="Arial" w:eastAsia="Arial" w:hAnsi="Arial"/>
                <w:sz w:val="18"/>
                <w:szCs w:val="18"/>
                <w:color w:val="auto"/>
              </w:rPr>
              <w:t>10</w:t>
            </w:r>
          </w:p>
        </w:tc>
        <w:tc>
          <w:tcPr>
            <w:tcW w:w="6260" w:type="dxa"/>
            <w:vAlign w:val="bottom"/>
          </w:tcPr>
          <w:p>
            <w:pPr>
              <w:ind w:left="160"/>
              <w:spacing w:after="0"/>
              <w:rPr>
                <w:sz w:val="20"/>
                <w:szCs w:val="20"/>
                <w:color w:val="auto"/>
              </w:rPr>
            </w:pPr>
            <w:r>
              <w:rPr>
                <w:rFonts w:ascii="Arial" w:cs="Arial" w:eastAsia="Arial" w:hAnsi="Arial"/>
                <w:sz w:val="18"/>
                <w:szCs w:val="18"/>
                <w:color w:val="auto"/>
                <w:w w:val="93"/>
              </w:rPr>
              <w:t>Settlement Agreement and Release between ClearOne Communications, Inc. and</w:t>
            </w:r>
          </w:p>
        </w:tc>
        <w:tc>
          <w:tcPr>
            <w:tcW w:w="2860" w:type="dxa"/>
            <w:vAlign w:val="bottom"/>
          </w:tcPr>
          <w:p>
            <w:pPr>
              <w:ind w:left="100"/>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3</w:t>
            </w:r>
          </w:p>
        </w:tc>
      </w:tr>
      <w:tr>
        <w:trPr>
          <w:trHeight w:val="215"/>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DeLonie Call dated February 20, 2006*</w:t>
            </w:r>
          </w:p>
        </w:tc>
        <w:tc>
          <w:tcPr>
            <w:tcW w:w="2860" w:type="dxa"/>
            <w:vAlign w:val="bottom"/>
          </w:tcPr>
          <w:p>
            <w:pPr>
              <w:spacing w:after="0"/>
              <w:rPr>
                <w:sz w:val="18"/>
                <w:szCs w:val="18"/>
                <w:color w:val="auto"/>
              </w:rPr>
            </w:pPr>
          </w:p>
        </w:tc>
      </w:tr>
      <w:tr>
        <w:trPr>
          <w:trHeight w:val="217"/>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88"/>
              </w:rPr>
              <w:t>10.18</w:t>
            </w:r>
          </w:p>
        </w:tc>
        <w:tc>
          <w:tcPr>
            <w:tcW w:w="1140" w:type="dxa"/>
            <w:vAlign w:val="bottom"/>
          </w:tcPr>
          <w:p>
            <w:pPr>
              <w:ind w:left="560"/>
              <w:spacing w:after="0"/>
              <w:rPr>
                <w:sz w:val="20"/>
                <w:szCs w:val="20"/>
                <w:color w:val="auto"/>
              </w:rPr>
            </w:pPr>
            <w:r>
              <w:rPr>
                <w:rFonts w:ascii="Arial" w:cs="Arial" w:eastAsia="Arial" w:hAnsi="Arial"/>
                <w:sz w:val="18"/>
                <w:szCs w:val="18"/>
                <w:color w:val="auto"/>
              </w:rPr>
              <w:t>10</w:t>
            </w:r>
          </w:p>
        </w:tc>
        <w:tc>
          <w:tcPr>
            <w:tcW w:w="6260" w:type="dxa"/>
            <w:vAlign w:val="bottom"/>
          </w:tcPr>
          <w:p>
            <w:pPr>
              <w:ind w:left="160"/>
              <w:spacing w:after="0"/>
              <w:rPr>
                <w:sz w:val="20"/>
                <w:szCs w:val="20"/>
                <w:color w:val="auto"/>
              </w:rPr>
            </w:pPr>
            <w:r>
              <w:rPr>
                <w:rFonts w:ascii="Arial" w:cs="Arial" w:eastAsia="Arial" w:hAnsi="Arial"/>
                <w:sz w:val="18"/>
                <w:szCs w:val="18"/>
                <w:color w:val="auto"/>
                <w:w w:val="96"/>
              </w:rPr>
              <w:t>Mutual Release and Waiver between ClearOne Communications, Inc. and Burk</w:t>
            </w:r>
          </w:p>
        </w:tc>
        <w:tc>
          <w:tcPr>
            <w:tcW w:w="2860" w:type="dxa"/>
            <w:vAlign w:val="bottom"/>
          </w:tcPr>
          <w:p>
            <w:pPr>
              <w:ind w:left="100"/>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2</w:t>
            </w:r>
          </w:p>
        </w:tc>
      </w:tr>
      <w:tr>
        <w:trPr>
          <w:trHeight w:val="215"/>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Technology, Inc. dated August 22, 2005</w:t>
            </w:r>
          </w:p>
        </w:tc>
        <w:tc>
          <w:tcPr>
            <w:tcW w:w="2860" w:type="dxa"/>
            <w:vAlign w:val="bottom"/>
          </w:tcPr>
          <w:p>
            <w:pPr>
              <w:spacing w:after="0"/>
              <w:rPr>
                <w:sz w:val="18"/>
                <w:szCs w:val="18"/>
                <w:color w:val="auto"/>
              </w:rPr>
            </w:pPr>
          </w:p>
        </w:tc>
      </w:tr>
      <w:tr>
        <w:trPr>
          <w:trHeight w:val="190"/>
        </w:trPr>
        <w:tc>
          <w:tcPr>
            <w:tcW w:w="420" w:type="dxa"/>
            <w:vAlign w:val="bottom"/>
          </w:tcPr>
          <w:p>
            <w:pPr>
              <w:spacing w:after="0"/>
              <w:rPr>
                <w:sz w:val="16"/>
                <w:szCs w:val="16"/>
                <w:color w:val="auto"/>
              </w:rPr>
            </w:pPr>
          </w:p>
        </w:tc>
        <w:tc>
          <w:tcPr>
            <w:tcW w:w="320" w:type="dxa"/>
            <w:vAlign w:val="bottom"/>
            <w:tcBorders>
              <w:bottom w:val="single" w:sz="8" w:color="0000EE"/>
            </w:tcBorders>
          </w:tcPr>
          <w:p>
            <w:pPr>
              <w:jc w:val="center"/>
              <w:spacing w:after="0" w:line="190"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420" w:type="dxa"/>
            <w:vAlign w:val="bottom"/>
          </w:tcPr>
          <w:p>
            <w:pPr>
              <w:spacing w:after="0"/>
              <w:rPr>
                <w:sz w:val="16"/>
                <w:szCs w:val="16"/>
                <w:color w:val="auto"/>
              </w:rPr>
            </w:pPr>
          </w:p>
        </w:tc>
        <w:tc>
          <w:tcPr>
            <w:tcW w:w="1140" w:type="dxa"/>
            <w:vAlign w:val="bottom"/>
          </w:tcPr>
          <w:p>
            <w:pPr>
              <w:ind w:left="560"/>
              <w:spacing w:after="0" w:line="190" w:lineRule="exact"/>
              <w:rPr>
                <w:sz w:val="20"/>
                <w:szCs w:val="20"/>
                <w:color w:val="auto"/>
              </w:rPr>
            </w:pPr>
            <w:r>
              <w:rPr>
                <w:rFonts w:ascii="Arial" w:cs="Arial" w:eastAsia="Arial" w:hAnsi="Arial"/>
                <w:sz w:val="18"/>
                <w:szCs w:val="18"/>
                <w:color w:val="auto"/>
              </w:rPr>
              <w:t>31</w:t>
            </w:r>
          </w:p>
        </w:tc>
        <w:tc>
          <w:tcPr>
            <w:tcW w:w="6260" w:type="dxa"/>
            <w:vAlign w:val="bottom"/>
          </w:tcPr>
          <w:p>
            <w:pPr>
              <w:ind w:left="160"/>
              <w:spacing w:after="0" w:line="190" w:lineRule="exact"/>
              <w:rPr>
                <w:sz w:val="20"/>
                <w:szCs w:val="20"/>
                <w:color w:val="auto"/>
              </w:rPr>
            </w:pPr>
            <w:r>
              <w:rPr>
                <w:rFonts w:ascii="Arial" w:cs="Arial" w:eastAsia="Arial" w:hAnsi="Arial"/>
                <w:sz w:val="18"/>
                <w:szCs w:val="18"/>
                <w:color w:val="auto"/>
              </w:rPr>
              <w:t>Section 302 Certification of Chief Executive Officer</w:t>
            </w:r>
          </w:p>
        </w:tc>
        <w:tc>
          <w:tcPr>
            <w:tcW w:w="2860" w:type="dxa"/>
            <w:vAlign w:val="bottom"/>
          </w:tcPr>
          <w:p>
            <w:pPr>
              <w:ind w:left="100"/>
              <w:spacing w:after="0" w:line="190" w:lineRule="exact"/>
              <w:rPr>
                <w:sz w:val="20"/>
                <w:szCs w:val="20"/>
                <w:color w:val="auto"/>
              </w:rPr>
            </w:pPr>
            <w:r>
              <w:rPr>
                <w:rFonts w:ascii="Arial" w:cs="Arial" w:eastAsia="Arial" w:hAnsi="Arial"/>
                <w:sz w:val="18"/>
                <w:szCs w:val="18"/>
                <w:color w:val="auto"/>
              </w:rPr>
              <w:t>This filing</w:t>
            </w:r>
          </w:p>
        </w:tc>
      </w:tr>
      <w:tr>
        <w:trPr>
          <w:trHeight w:val="196"/>
        </w:trPr>
        <w:tc>
          <w:tcPr>
            <w:tcW w:w="42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420" w:type="dxa"/>
            <w:vAlign w:val="bottom"/>
          </w:tcPr>
          <w:p>
            <w:pPr>
              <w:spacing w:after="0"/>
              <w:rPr>
                <w:sz w:val="17"/>
                <w:szCs w:val="17"/>
                <w:color w:val="auto"/>
              </w:rPr>
            </w:pPr>
          </w:p>
        </w:tc>
        <w:tc>
          <w:tcPr>
            <w:tcW w:w="1140" w:type="dxa"/>
            <w:vAlign w:val="bottom"/>
          </w:tcPr>
          <w:p>
            <w:pPr>
              <w:ind w:left="560"/>
              <w:spacing w:after="0" w:line="196" w:lineRule="exact"/>
              <w:rPr>
                <w:sz w:val="20"/>
                <w:szCs w:val="20"/>
                <w:color w:val="auto"/>
              </w:rPr>
            </w:pPr>
            <w:r>
              <w:rPr>
                <w:rFonts w:ascii="Arial" w:cs="Arial" w:eastAsia="Arial" w:hAnsi="Arial"/>
                <w:sz w:val="18"/>
                <w:szCs w:val="18"/>
                <w:color w:val="auto"/>
              </w:rPr>
              <w:t>31</w:t>
            </w:r>
          </w:p>
        </w:tc>
        <w:tc>
          <w:tcPr>
            <w:tcW w:w="6260" w:type="dxa"/>
            <w:vAlign w:val="bottom"/>
          </w:tcPr>
          <w:p>
            <w:pPr>
              <w:ind w:left="160"/>
              <w:spacing w:after="0" w:line="196" w:lineRule="exact"/>
              <w:rPr>
                <w:sz w:val="20"/>
                <w:szCs w:val="20"/>
                <w:color w:val="auto"/>
              </w:rPr>
            </w:pPr>
            <w:r>
              <w:rPr>
                <w:rFonts w:ascii="Arial" w:cs="Arial" w:eastAsia="Arial" w:hAnsi="Arial"/>
                <w:sz w:val="18"/>
                <w:szCs w:val="18"/>
                <w:color w:val="auto"/>
              </w:rPr>
              <w:t>Section 302 Certification of Interim Chief Financial Officer</w:t>
            </w:r>
          </w:p>
        </w:tc>
        <w:tc>
          <w:tcPr>
            <w:tcW w:w="2860" w:type="dxa"/>
            <w:vAlign w:val="bottom"/>
          </w:tcPr>
          <w:p>
            <w:pPr>
              <w:ind w:left="100"/>
              <w:spacing w:after="0" w:line="196" w:lineRule="exact"/>
              <w:rPr>
                <w:sz w:val="20"/>
                <w:szCs w:val="20"/>
                <w:color w:val="auto"/>
              </w:rPr>
            </w:pPr>
            <w:r>
              <w:rPr>
                <w:rFonts w:ascii="Arial" w:cs="Arial" w:eastAsia="Arial" w:hAnsi="Arial"/>
                <w:sz w:val="18"/>
                <w:szCs w:val="18"/>
                <w:color w:val="auto"/>
              </w:rPr>
              <w:t>This filing</w:t>
            </w:r>
          </w:p>
        </w:tc>
      </w:tr>
      <w:tr>
        <w:trPr>
          <w:trHeight w:val="196"/>
        </w:trPr>
        <w:tc>
          <w:tcPr>
            <w:tcW w:w="42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420" w:type="dxa"/>
            <w:vAlign w:val="bottom"/>
          </w:tcPr>
          <w:p>
            <w:pPr>
              <w:spacing w:after="0"/>
              <w:rPr>
                <w:sz w:val="17"/>
                <w:szCs w:val="17"/>
                <w:color w:val="auto"/>
              </w:rPr>
            </w:pPr>
          </w:p>
        </w:tc>
        <w:tc>
          <w:tcPr>
            <w:tcW w:w="1140" w:type="dxa"/>
            <w:vAlign w:val="bottom"/>
          </w:tcPr>
          <w:p>
            <w:pPr>
              <w:ind w:left="560"/>
              <w:spacing w:after="0" w:line="196" w:lineRule="exact"/>
              <w:rPr>
                <w:sz w:val="20"/>
                <w:szCs w:val="20"/>
                <w:color w:val="auto"/>
              </w:rPr>
            </w:pPr>
            <w:r>
              <w:rPr>
                <w:rFonts w:ascii="Arial" w:cs="Arial" w:eastAsia="Arial" w:hAnsi="Arial"/>
                <w:sz w:val="18"/>
                <w:szCs w:val="18"/>
                <w:color w:val="auto"/>
              </w:rPr>
              <w:t>32</w:t>
            </w:r>
          </w:p>
        </w:tc>
        <w:tc>
          <w:tcPr>
            <w:tcW w:w="6260" w:type="dxa"/>
            <w:vAlign w:val="bottom"/>
          </w:tcPr>
          <w:p>
            <w:pPr>
              <w:ind w:left="160"/>
              <w:spacing w:after="0" w:line="196" w:lineRule="exact"/>
              <w:rPr>
                <w:sz w:val="20"/>
                <w:szCs w:val="20"/>
                <w:color w:val="auto"/>
              </w:rPr>
            </w:pPr>
            <w:r>
              <w:rPr>
                <w:rFonts w:ascii="Arial" w:cs="Arial" w:eastAsia="Arial" w:hAnsi="Arial"/>
                <w:sz w:val="18"/>
                <w:szCs w:val="18"/>
                <w:color w:val="auto"/>
              </w:rPr>
              <w:t>Section 906 Certification of Chief Executive Officer</w:t>
            </w:r>
          </w:p>
        </w:tc>
        <w:tc>
          <w:tcPr>
            <w:tcW w:w="2860" w:type="dxa"/>
            <w:vAlign w:val="bottom"/>
          </w:tcPr>
          <w:p>
            <w:pPr>
              <w:ind w:left="100"/>
              <w:spacing w:after="0" w:line="196" w:lineRule="exact"/>
              <w:rPr>
                <w:sz w:val="20"/>
                <w:szCs w:val="20"/>
                <w:color w:val="auto"/>
              </w:rPr>
            </w:pPr>
            <w:r>
              <w:rPr>
                <w:rFonts w:ascii="Arial" w:cs="Arial" w:eastAsia="Arial" w:hAnsi="Arial"/>
                <w:sz w:val="18"/>
                <w:szCs w:val="18"/>
                <w:color w:val="auto"/>
              </w:rPr>
              <w:t>This filing</w:t>
            </w:r>
          </w:p>
        </w:tc>
      </w:tr>
      <w:tr>
        <w:trPr>
          <w:trHeight w:val="196"/>
        </w:trPr>
        <w:tc>
          <w:tcPr>
            <w:tcW w:w="42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420" w:type="dxa"/>
            <w:vAlign w:val="bottom"/>
          </w:tcPr>
          <w:p>
            <w:pPr>
              <w:spacing w:after="0"/>
              <w:rPr>
                <w:sz w:val="17"/>
                <w:szCs w:val="17"/>
                <w:color w:val="auto"/>
              </w:rPr>
            </w:pPr>
          </w:p>
        </w:tc>
        <w:tc>
          <w:tcPr>
            <w:tcW w:w="1140" w:type="dxa"/>
            <w:vAlign w:val="bottom"/>
          </w:tcPr>
          <w:p>
            <w:pPr>
              <w:ind w:left="560"/>
              <w:spacing w:after="0" w:line="196" w:lineRule="exact"/>
              <w:rPr>
                <w:sz w:val="20"/>
                <w:szCs w:val="20"/>
                <w:color w:val="auto"/>
              </w:rPr>
            </w:pPr>
            <w:r>
              <w:rPr>
                <w:rFonts w:ascii="Arial" w:cs="Arial" w:eastAsia="Arial" w:hAnsi="Arial"/>
                <w:sz w:val="18"/>
                <w:szCs w:val="18"/>
                <w:color w:val="auto"/>
              </w:rPr>
              <w:t>32</w:t>
            </w:r>
          </w:p>
        </w:tc>
        <w:tc>
          <w:tcPr>
            <w:tcW w:w="6260" w:type="dxa"/>
            <w:vAlign w:val="bottom"/>
          </w:tcPr>
          <w:p>
            <w:pPr>
              <w:ind w:left="160"/>
              <w:spacing w:after="0" w:line="196" w:lineRule="exact"/>
              <w:rPr>
                <w:sz w:val="20"/>
                <w:szCs w:val="20"/>
                <w:color w:val="auto"/>
              </w:rPr>
            </w:pPr>
            <w:r>
              <w:rPr>
                <w:rFonts w:ascii="Arial" w:cs="Arial" w:eastAsia="Arial" w:hAnsi="Arial"/>
                <w:sz w:val="18"/>
                <w:szCs w:val="18"/>
                <w:color w:val="auto"/>
              </w:rPr>
              <w:t>Section 906 Certification of Interim Chief Financial Officer</w:t>
            </w:r>
          </w:p>
        </w:tc>
        <w:tc>
          <w:tcPr>
            <w:tcW w:w="2860" w:type="dxa"/>
            <w:vAlign w:val="bottom"/>
          </w:tcPr>
          <w:p>
            <w:pPr>
              <w:ind w:left="100"/>
              <w:spacing w:after="0" w:line="196" w:lineRule="exact"/>
              <w:rPr>
                <w:sz w:val="20"/>
                <w:szCs w:val="20"/>
                <w:color w:val="auto"/>
              </w:rPr>
            </w:pPr>
            <w:r>
              <w:rPr>
                <w:rFonts w:ascii="Arial" w:cs="Arial" w:eastAsia="Arial" w:hAnsi="Arial"/>
                <w:sz w:val="18"/>
                <w:szCs w:val="18"/>
                <w:color w:val="auto"/>
              </w:rPr>
              <w:t>This filing</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63" w:lineRule="exact"/>
        <w:rPr>
          <w:sz w:val="20"/>
          <w:szCs w:val="20"/>
          <w:color w:val="auto"/>
        </w:rPr>
      </w:pPr>
    </w:p>
    <w:p>
      <w:pPr>
        <w:ind w:left="660" w:right="5400" w:hanging="652"/>
        <w:spacing w:after="0" w:line="200" w:lineRule="auto"/>
        <w:tabs>
          <w:tab w:leader="none" w:pos="627"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2003.</w:t>
      </w:r>
    </w:p>
    <w:p>
      <w:pPr>
        <w:spacing w:after="0" w:line="26" w:lineRule="exact"/>
        <w:rPr>
          <w:sz w:val="20"/>
          <w:szCs w:val="20"/>
          <w:color w:val="auto"/>
        </w:rPr>
      </w:pPr>
    </w:p>
    <w:p>
      <w:pPr>
        <w:ind w:left="660" w:right="5400" w:hanging="652"/>
        <w:spacing w:after="0" w:line="200" w:lineRule="auto"/>
        <w:tabs>
          <w:tab w:leader="none" w:pos="627"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2004.</w:t>
      </w:r>
    </w:p>
    <w:p>
      <w:pPr>
        <w:spacing w:after="0" w:line="26" w:lineRule="exact"/>
        <w:rPr>
          <w:sz w:val="20"/>
          <w:szCs w:val="20"/>
          <w:color w:val="auto"/>
        </w:rPr>
      </w:pPr>
    </w:p>
    <w:p>
      <w:pPr>
        <w:ind w:left="660" w:right="5400" w:hanging="652"/>
        <w:spacing w:after="0" w:line="200" w:lineRule="auto"/>
        <w:tabs>
          <w:tab w:leader="none" w:pos="627"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2005.</w:t>
      </w:r>
    </w:p>
    <w:p>
      <w:pPr>
        <w:ind w:left="620" w:hanging="612"/>
        <w:spacing w:after="0" w:line="184" w:lineRule="auto"/>
        <w:tabs>
          <w:tab w:leader="none" w:pos="62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the Registrant’s Current Report on Form 8-K filed July 1, 2004.</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May 31, 2006</w:t>
            </w:r>
          </w:p>
        </w:tc>
        <w:tc>
          <w:tcPr>
            <w:tcW w:w="2320" w:type="dxa"/>
            <w:vAlign w:val="bottom"/>
          </w:tcPr>
          <w:p>
            <w:pPr>
              <w:ind w:left="17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7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May 31, 2006</w:t>
            </w:r>
          </w:p>
        </w:tc>
        <w:tc>
          <w:tcPr>
            <w:tcW w:w="2320" w:type="dxa"/>
            <w:vAlign w:val="bottom"/>
          </w:tcPr>
          <w:p>
            <w:pPr>
              <w:ind w:left="17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7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30"/>
        </w:trPr>
        <w:tc>
          <w:tcPr>
            <w:tcW w:w="2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r>
        <w:trPr>
          <w:trHeight w:val="243"/>
        </w:trPr>
        <w:tc>
          <w:tcPr>
            <w:tcW w:w="2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13"/>
        </w:trPr>
        <w:tc>
          <w:tcPr>
            <w:tcW w:w="2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36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500" w:hanging="231"/>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Date: May 31, 2006</w:t>
            </w:r>
          </w:p>
        </w:tc>
        <w:tc>
          <w:tcPr>
            <w:tcW w:w="2080" w:type="dxa"/>
            <w:vAlign w:val="bottom"/>
          </w:tcPr>
          <w:p>
            <w:pPr>
              <w:ind w:left="152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3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30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Craig E. Peeples, certify that:</w:t>
      </w:r>
    </w:p>
    <w:p>
      <w:pPr>
        <w:spacing w:after="0" w:line="279" w:lineRule="exact"/>
        <w:rPr>
          <w:sz w:val="20"/>
          <w:szCs w:val="20"/>
          <w:color w:val="auto"/>
        </w:rPr>
      </w:pPr>
    </w:p>
    <w:p>
      <w:pPr>
        <w:ind w:left="500" w:hanging="231"/>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May 31,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bl>
    <w:p>
      <w:pPr>
        <w:sectPr>
          <w:pgSz w:w="11900" w:h="16838" w:orient="portrait"/>
          <w:cols w:equalWidth="0" w:num="1">
            <w:col w:w="11420"/>
          </w:cols>
          <w:pgMar w:left="240" w:top="36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 Zeynep Hakimoglu, certify, pursuant to 18 U.S.C. Section 1350, as adopted pursuant to Section 906 of the Sarbanes-Oxley Act of 2002, that the Quarterly Report of ClearOne Communications, Inc. on Form 10-Q for the three months ended September 30, 2005,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May 31,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ectPr>
          <w:pgSz w:w="11900" w:h="16838" w:orient="portrait"/>
          <w:cols w:equalWidth="0" w:num="1">
            <w:col w:w="11420"/>
          </w:cols>
          <w:pgMar w:left="240" w:top="364" w:right="239" w:bottom="10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364" w:right="239" w:bottom="1081"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 Craig E. Peeples, certify, pursuant to 18 U.S.C. Section 1350, as adopted pursuant to Section 906 of the Sarbanes-Oxley Act of 2002, that the Quarterly Report of ClearOne Communications, Inc. on Form 10-Q for the three months ended September 30, 2005,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May 31,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ectPr>
          <w:pgSz w:w="11900" w:h="16838" w:orient="portrait"/>
          <w:cols w:equalWidth="0" w:num="1">
            <w:col w:w="11420"/>
          </w:cols>
          <w:pgMar w:left="240" w:top="364" w:right="239" w:bottom="10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364" w:right="239" w:bottom="10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amp;"/>
      <w:numFmt w:val="bullet"/>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bullet"/>
      <w:start w:val="1"/>
    </w:lvl>
  </w:abstractNum>
  <w:abstractNum w:abstractNumId="11">
    <w:nsid w:val="DED7263"/>
    <w:multiLevelType w:val="hybridMultilevel"/>
    <w:lvl w:ilvl="0">
      <w:lvlJc w:val="left"/>
      <w:lvlText w:val="2"/>
      <w:numFmt w:val="bullet"/>
      <w:start w:val="1"/>
    </w:lvl>
  </w:abstractNum>
  <w:abstractNum w:abstractNumId="12">
    <w:nsid w:val="7FDCC233"/>
    <w:multiLevelType w:val="hybridMultilevel"/>
    <w:lvl w:ilvl="0">
      <w:lvlJc w:val="left"/>
      <w:lvlText w:val="3"/>
      <w:numFmt w:val="bullet"/>
      <w:start w:val="1"/>
    </w:lvl>
  </w:abstractNum>
  <w:abstractNum w:abstractNumId="13">
    <w:nsid w:val="1BEFD79F"/>
    <w:multiLevelType w:val="hybridMultilevel"/>
    <w:lvl w:ilvl="0">
      <w:lvlJc w:val="left"/>
      <w:lvlText w:val="4"/>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2019-12-13T17:45:15Z</dcterms:created>
  <dcterms:modified xsi:type="dcterms:W3CDTF">2019-12-13T17:45:15Z</dcterms:modified>
</cp:coreProperties>
</file>