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ind w:left="0" w:right="0" w:hanging="0"/>
        <w:jc w:val="left"/>
        <w:rPr/>
      </w:pPr>
      <w:r>
        <w:rPr/>
      </w:r>
    </w:p>
    <w:p>
      <w:pPr>
        <w:pStyle w:val="TextBody"/>
        <w:bidi w:val="0"/>
        <w:spacing w:lineRule="atLeast" w:line="142" w:before="0" w:after="0"/>
        <w:ind w:left="0" w:right="0" w:hanging="0"/>
        <w:jc w:val="left"/>
        <w:rPr/>
      </w:pPr>
      <w:r>
        <w:rPr/>
      </w:r>
    </w:p>
    <w:p>
      <w:pPr>
        <w:pStyle w:val="TextBody"/>
        <w:bidi w:val="0"/>
        <w:spacing w:lineRule="atLeast" w:line="142"/>
        <w:ind w:left="0" w:right="0" w:hanging="0"/>
        <w:jc w:val="left"/>
        <w:rPr>
          <w:bdr w:val="single" w:sz="24" w:space="1" w:color="000000"/>
        </w:rPr>
      </w:pPr>
      <w:r>
        <w:rPr>
          <w:bdr w:val="single" w:sz="24" w:space="1" w:color="000000"/>
        </w:rPr>
        <w:t>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r>
    </w:p>
    <w:p>
      <w:pPr>
        <w:pStyle w:val="TextBody"/>
        <w:bidi w:val="0"/>
        <w:spacing w:before="0" w:after="0"/>
        <w:ind w:left="0" w:right="0" w:hanging="0"/>
        <w:jc w:val="center"/>
        <w:rPr>
          <w:rFonts w:ascii="times new roman;times" w:hAnsi="times new roman;times"/>
          <w:sz w:val="20"/>
        </w:rPr>
      </w:pPr>
      <w:r>
        <w:rPr>
          <w:rFonts w:ascii="Times New Roman" w:hAnsi="Times New Roman"/>
          <w:b/>
          <w:sz w:val="28"/>
        </w:rPr>
        <w:t>UNITED STATES</w:t>
      </w:r>
      <w:r>
        <w:rPr>
          <w:rFonts w:ascii="times new roman;times" w:hAnsi="times new roman;times"/>
          <w:sz w:val="20"/>
        </w:rPr>
        <w:t> </w:t>
      </w:r>
      <w:r>
        <w:rPr>
          <w:rFonts w:ascii="Times New Roman" w:hAnsi="Times New Roman"/>
          <w:b/>
          <w:sz w:val="28"/>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FORM 8-K</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 w:hAnsi="times new roman;times"/>
          <w:sz w:val="20"/>
        </w:rPr>
      </w:pPr>
      <w:r>
        <w:rPr>
          <w:rFonts w:ascii="Times New Roman" w:hAnsi="Times New Roman"/>
          <w:sz w:val="20"/>
        </w:rPr>
        <w:t xml:space="preserve">Date of report (Date of earliest event reported): </w:t>
      </w:r>
      <w:r>
        <w:rPr>
          <w:rFonts w:ascii="Times New Roman" w:hAnsi="Times New Roman"/>
          <w:b/>
          <w:sz w:val="20"/>
        </w:rPr>
        <w:t>April 13, 2026</w:t>
      </w:r>
      <w:r>
        <w:rPr>
          <w:rFonts w:ascii="times new roman;times" w:hAnsi="times new roman;times"/>
          <w:sz w:val="20"/>
        </w:rPr>
        <w:t> </w:t>
      </w:r>
      <w:r>
        <w:rPr>
          <w:rFonts w:ascii="Times New Roman" w:hAnsi="Times New Roman"/>
          <w:b/>
          <w:sz w:val="20"/>
        </w:rPr>
        <w:t>(April 7, 2026)</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u w:val="single"/>
        </w:rPr>
      </w:pPr>
      <w:r>
        <w:rPr>
          <w:rFonts w:ascii="Times New Roman" w:hAnsi="Times New Roman"/>
          <w:b/>
          <w:sz w:val="28"/>
          <w:u w:val="single"/>
        </w:rPr>
        <w:t>ClearOne, Inc.</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28" w:type="dxa"/>
          <w:right w:w="0" w:type="dxa"/>
        </w:tblCellMar>
      </w:tblPr>
      <w:tblGrid>
        <w:gridCol w:w="4107"/>
        <w:gridCol w:w="133"/>
        <w:gridCol w:w="2524"/>
        <w:gridCol w:w="133"/>
        <w:gridCol w:w="3308"/>
      </w:tblGrid>
      <w:tr>
        <w:trPr/>
        <w:tc>
          <w:tcPr>
            <w:tcW w:w="4107"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Delaware </w:t>
            </w:r>
          </w:p>
        </w:tc>
        <w:tc>
          <w:tcPr>
            <w:tcW w:w="133" w:type="dxa"/>
            <w:tcBorders/>
            <w:tcMar>
              <w:bottom w:w="0" w:type="dxa"/>
            </w:tcMar>
            <w:vAlign w:val="center"/>
          </w:tcPr>
          <w:p>
            <w:pPr>
              <w:pStyle w:val="TableContents"/>
              <w:bidi w:val="0"/>
              <w:spacing w:before="0" w:after="0"/>
              <w:ind w:left="0" w:right="0" w:hanging="0"/>
              <w:jc w:val="left"/>
              <w:rPr/>
            </w:pPr>
            <w:r>
              <w:rPr/>
              <w:t xml:space="preserve">  </w:t>
            </w:r>
          </w:p>
        </w:tc>
        <w:tc>
          <w:tcPr>
            <w:tcW w:w="2524"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001-33660 </w:t>
            </w:r>
          </w:p>
        </w:tc>
        <w:tc>
          <w:tcPr>
            <w:tcW w:w="133" w:type="dxa"/>
            <w:tcBorders/>
            <w:tcMar>
              <w:bottom w:w="0" w:type="dxa"/>
            </w:tcMar>
            <w:vAlign w:val="center"/>
          </w:tcPr>
          <w:p>
            <w:pPr>
              <w:pStyle w:val="TableContents"/>
              <w:bidi w:val="0"/>
              <w:spacing w:before="0" w:after="0"/>
              <w:ind w:left="0" w:right="0" w:hanging="0"/>
              <w:jc w:val="left"/>
              <w:rPr/>
            </w:pPr>
            <w:r>
              <w:rPr/>
              <w:t xml:space="preserve">  </w:t>
            </w:r>
          </w:p>
        </w:tc>
        <w:tc>
          <w:tcPr>
            <w:tcW w:w="3308"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87-0398877 </w:t>
            </w:r>
          </w:p>
        </w:tc>
      </w:tr>
      <w:tr>
        <w:trPr/>
        <w:tc>
          <w:tcPr>
            <w:tcW w:w="4107" w:type="dxa"/>
            <w:tcBorders/>
            <w:tcMar>
              <w:bottom w:w="0" w:type="dxa"/>
            </w:tcMar>
            <w:vAlign w:val="center"/>
          </w:tcPr>
          <w:p>
            <w:pPr>
              <w:pStyle w:val="TableContents"/>
              <w:bidi w:val="0"/>
              <w:spacing w:before="0" w:after="0"/>
              <w:ind w:left="45" w:right="0" w:hanging="0"/>
              <w:jc w:val="center"/>
              <w:rPr/>
            </w:pPr>
            <w:r>
              <w:rPr>
                <w:rFonts w:ascii="Times New Roman" w:hAnsi="Times New Roman"/>
                <w:sz w:val="20"/>
              </w:rPr>
              <w:t>(State or Other Jurisdiction</w:t>
            </w:r>
            <w:r>
              <w:rPr/>
              <w:t> </w:t>
            </w:r>
            <w:r>
              <w:rPr>
                <w:rFonts w:ascii="Times New Roman" w:hAnsi="Times New Roman"/>
                <w:sz w:val="20"/>
              </w:rPr>
              <w:t xml:space="preserve">of Incorporation) </w:t>
            </w:r>
          </w:p>
        </w:tc>
        <w:tc>
          <w:tcPr>
            <w:tcW w:w="133" w:type="dxa"/>
            <w:tcBorders/>
            <w:tcMar>
              <w:bottom w:w="0" w:type="dxa"/>
            </w:tcMar>
            <w:vAlign w:val="center"/>
          </w:tcPr>
          <w:p>
            <w:pPr>
              <w:pStyle w:val="TableContents"/>
              <w:bidi w:val="0"/>
              <w:spacing w:before="0" w:after="0"/>
              <w:ind w:left="0" w:right="0" w:hanging="0"/>
              <w:jc w:val="left"/>
              <w:rPr/>
            </w:pPr>
            <w:r>
              <w:rPr/>
              <w:t xml:space="preserve">  </w:t>
            </w:r>
          </w:p>
        </w:tc>
        <w:tc>
          <w:tcPr>
            <w:tcW w:w="2524" w:type="dxa"/>
            <w:tcBorders/>
            <w:tcMar>
              <w:bottom w:w="0" w:type="dxa"/>
            </w:tcMar>
            <w:vAlign w:val="center"/>
          </w:tcPr>
          <w:p>
            <w:pPr>
              <w:pStyle w:val="TableContents"/>
              <w:bidi w:val="0"/>
              <w:spacing w:before="0" w:after="0"/>
              <w:ind w:left="45" w:right="0" w:hanging="0"/>
              <w:jc w:val="center"/>
              <w:rPr/>
            </w:pPr>
            <w:r>
              <w:rPr>
                <w:rFonts w:ascii="Times New Roman" w:hAnsi="Times New Roman"/>
                <w:sz w:val="20"/>
              </w:rPr>
              <w:t>(Commission</w:t>
            </w:r>
            <w:r>
              <w:rPr/>
              <w:t> </w:t>
            </w:r>
            <w:r>
              <w:rPr>
                <w:rFonts w:ascii="Times New Roman" w:hAnsi="Times New Roman"/>
                <w:sz w:val="20"/>
              </w:rPr>
              <w:t xml:space="preserve">File Number) </w:t>
            </w:r>
          </w:p>
        </w:tc>
        <w:tc>
          <w:tcPr>
            <w:tcW w:w="133" w:type="dxa"/>
            <w:tcBorders/>
            <w:tcMar>
              <w:bottom w:w="0" w:type="dxa"/>
            </w:tcMar>
            <w:vAlign w:val="center"/>
          </w:tcPr>
          <w:p>
            <w:pPr>
              <w:pStyle w:val="TableContents"/>
              <w:bidi w:val="0"/>
              <w:spacing w:before="0" w:after="0"/>
              <w:ind w:left="0" w:right="0" w:hanging="0"/>
              <w:jc w:val="left"/>
              <w:rPr/>
            </w:pPr>
            <w:r>
              <w:rPr/>
              <w:t xml:space="preserve">  </w:t>
            </w:r>
          </w:p>
        </w:tc>
        <w:tc>
          <w:tcPr>
            <w:tcW w:w="3308" w:type="dxa"/>
            <w:tcBorders/>
            <w:tcMar>
              <w:bottom w:w="0" w:type="dxa"/>
            </w:tcMar>
            <w:vAlign w:val="center"/>
          </w:tcPr>
          <w:p>
            <w:pPr>
              <w:pStyle w:val="TableContents"/>
              <w:bidi w:val="0"/>
              <w:spacing w:before="0" w:after="0"/>
              <w:ind w:left="30" w:right="0" w:hanging="0"/>
              <w:jc w:val="center"/>
              <w:rPr/>
            </w:pPr>
            <w:r>
              <w:rPr>
                <w:rFonts w:ascii="Times New Roman" w:hAnsi="Times New Roman"/>
                <w:sz w:val="20"/>
              </w:rPr>
              <w:t>(I.R.S. Employer</w:t>
            </w:r>
            <w:r>
              <w:rPr/>
              <w:t> </w:t>
            </w:r>
            <w:r>
              <w:rPr>
                <w:rFonts w:ascii="Times New Roman" w:hAnsi="Times New Roman"/>
                <w:sz w:val="20"/>
              </w:rPr>
              <w:t xml:space="preserve">Identification No.) </w:t>
            </w:r>
          </w:p>
        </w:tc>
      </w:tr>
    </w:tbl>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8446"/>
        <w:gridCol w:w="194"/>
        <w:gridCol w:w="1565"/>
      </w:tblGrid>
      <w:tr>
        <w:trPr/>
        <w:tc>
          <w:tcPr>
            <w:tcW w:w="8446" w:type="dxa"/>
            <w:tcBorders/>
            <w:vAlign w:val="center"/>
          </w:tcPr>
          <w:p>
            <w:pPr>
              <w:pStyle w:val="TableContents"/>
              <w:bidi w:val="0"/>
              <w:spacing w:before="0" w:after="283"/>
              <w:jc w:val="center"/>
              <w:rPr>
                <w:b/>
              </w:rPr>
            </w:pPr>
            <w:r>
              <w:rPr>
                <w:b/>
              </w:rPr>
              <w:t>7533 S Center View Ct. # 5311, West Jordan, </w:t>
            </w:r>
            <w:r>
              <w:rPr>
                <w:b/>
              </w:rPr>
              <w:t>Utah</w:t>
            </w:r>
          </w:p>
        </w:tc>
        <w:tc>
          <w:tcPr>
            <w:tcW w:w="194" w:type="dxa"/>
            <w:tcBorders/>
            <w:vAlign w:val="center"/>
          </w:tcPr>
          <w:p>
            <w:pPr>
              <w:pStyle w:val="TableContents"/>
              <w:bidi w:val="0"/>
              <w:spacing w:before="0" w:after="0"/>
              <w:ind w:left="0" w:right="0" w:hanging="0"/>
              <w:jc w:val="left"/>
              <w:rPr/>
            </w:pPr>
            <w:r>
              <w:rPr/>
              <w:t xml:space="preserve">  </w:t>
            </w:r>
          </w:p>
        </w:tc>
        <w:tc>
          <w:tcPr>
            <w:tcW w:w="1565" w:type="dxa"/>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84084</w:t>
            </w:r>
          </w:p>
        </w:tc>
      </w:tr>
      <w:tr>
        <w:trPr/>
        <w:tc>
          <w:tcPr>
            <w:tcW w:w="844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(Address of principal executive offices) </w:t>
            </w:r>
          </w:p>
        </w:tc>
        <w:tc>
          <w:tcPr>
            <w:tcW w:w="194" w:type="dxa"/>
            <w:tcBorders/>
            <w:vAlign w:val="center"/>
          </w:tcPr>
          <w:p>
            <w:pPr>
              <w:pStyle w:val="TableContents"/>
              <w:bidi w:val="0"/>
              <w:spacing w:before="0" w:after="0"/>
              <w:ind w:left="0" w:right="0" w:hanging="0"/>
              <w:jc w:val="left"/>
              <w:rPr/>
            </w:pPr>
            <w:r>
              <w:rPr/>
              <w:t xml:space="preserve">  </w:t>
            </w:r>
          </w:p>
        </w:tc>
        <w:tc>
          <w:tcPr>
            <w:tcW w:w="156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(Zip Code)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+1 (801) 975-7200</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Not applicable</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0"/>
              <w:ind w:left="0" w:right="0" w:hanging="0"/>
              <w:jc w:val="both"/>
              <w:rPr/>
            </w:pPr>
            <w:r>
              <w:rPr/>
              <w:t xml:space="preserve">☐ </w:t>
            </w:r>
          </w:p>
        </w:tc>
        <w:tc>
          <w:tcPr>
            <w:tcW w:w="98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Written communications pursuant to Rule 425 under the Securities Act (17 CFR 230.425) </w:t>
            </w:r>
          </w:p>
        </w:tc>
      </w:tr>
      <w:tr>
        <w:trPr/>
        <w:tc>
          <w:tcPr>
            <w:tcW w:w="330" w:type="dxa"/>
            <w:tcBorders/>
            <w:vAlign w:val="center"/>
          </w:tcPr>
          <w:p>
            <w:pPr>
              <w:pStyle w:val="TableContents"/>
              <w:bidi w:val="0"/>
              <w:spacing w:before="0" w:after="0"/>
              <w:ind w:left="0" w:right="0" w:hanging="0"/>
              <w:jc w:val="both"/>
              <w:rPr/>
            </w:pPr>
            <w:r>
              <w:rPr/>
              <w:t xml:space="preserve">☐ </w:t>
            </w:r>
          </w:p>
        </w:tc>
        <w:tc>
          <w:tcPr>
            <w:tcW w:w="98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Soliciting material pursuant to Rule 14a-12 under the Exchange Act (17 CFR 240.14a-12) </w:t>
            </w:r>
          </w:p>
        </w:tc>
      </w:tr>
      <w:tr>
        <w:trPr/>
        <w:tc>
          <w:tcPr>
            <w:tcW w:w="330" w:type="dxa"/>
            <w:tcBorders/>
            <w:vAlign w:val="center"/>
          </w:tcPr>
          <w:p>
            <w:pPr>
              <w:pStyle w:val="TableContents"/>
              <w:bidi w:val="0"/>
              <w:spacing w:before="0" w:after="0"/>
              <w:ind w:left="0" w:right="0" w:hanging="0"/>
              <w:jc w:val="left"/>
              <w:rPr/>
            </w:pPr>
            <w:r>
              <w:rPr/>
              <w:t xml:space="preserve">☐ </w:t>
            </w:r>
          </w:p>
        </w:tc>
        <w:tc>
          <w:tcPr>
            <w:tcW w:w="98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r>
        <w:trPr/>
        <w:tc>
          <w:tcPr>
            <w:tcW w:w="330" w:type="dxa"/>
            <w:tcBorders/>
            <w:vAlign w:val="center"/>
          </w:tcPr>
          <w:p>
            <w:pPr>
              <w:pStyle w:val="TableContents"/>
              <w:bidi w:val="0"/>
              <w:spacing w:before="0" w:after="0"/>
              <w:ind w:left="0" w:right="0" w:hanging="0"/>
              <w:jc w:val="both"/>
              <w:rPr/>
            </w:pPr>
            <w:r>
              <w:rPr/>
              <w:t xml:space="preserve">☐ </w:t>
            </w:r>
          </w:p>
        </w:tc>
        <w:tc>
          <w:tcPr>
            <w:tcW w:w="9875" w:type="dxa"/>
            <w:tcBorders/>
            <w:vAlign w:val="center"/>
          </w:tcPr>
          <w:p>
            <w:pPr>
              <w:pStyle w:val="TableContents"/>
              <w:bidi w:val="0"/>
              <w:spacing w:before="0" w:after="0"/>
              <w:ind w:left="0" w:right="0" w:hanging="0"/>
              <w:jc w:val="both"/>
              <w:rPr/>
            </w:pPr>
            <w:r>
              <w:rPr>
                <w:rFonts w:ascii="Times New Roman" w:hAnsi="Times New Roman"/>
                <w:sz w:val="20"/>
              </w:rPr>
              <w:t>Pre-commencement communication pursuant to Rule 13e-4©</w:t>
            </w:r>
            <w:r>
              <w:rPr/>
              <w:t xml:space="preserve"> </w:t>
            </w:r>
            <w:r>
              <w:rPr>
                <w:rFonts w:ascii="Times New Roman" w:hAnsi="Times New Roman"/>
                <w:sz w:val="20"/>
              </w:rPr>
              <w:t xml:space="preserve">under the Exchange Act (17 CFR 240.13e-4©) </w:t>
            </w:r>
          </w:p>
        </w:tc>
      </w:tr>
    </w:tbl>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Indicate by check mark whether the registrant is an emerging growth company as defined in Rule 405 of the Securities Act of 1933 (§230.405 of this chapter) or Rule 12b-2 of the Securities Exchange Act of 1934 (§240.12b-2 of this chapter).     </w:t>
      </w:r>
      <w:r>
        <w:rPr>
          <w:rFonts w:ascii="Times New Roman" w:hAnsi="Times New Roman"/>
          <w:b w:val="false"/>
          <w:i w:val="false"/>
          <w:caps w:val="false"/>
          <w:smallCaps w:val="false"/>
          <w:color w:val="000000"/>
          <w:spacing w:val="0"/>
          <w:sz w:val="20"/>
        </w:rPr>
        <w:t>Emerging growth company </w:t>
      </w:r>
      <w:r>
        <w:rPr>
          <w:rFonts w:ascii="Times New Roman" w:hAnsi="Times New Roman"/>
          <w:b w:val="false"/>
          <w:i w:val="false"/>
          <w:caps w:val="false"/>
          <w:smallCaps w:val="false"/>
          <w:color w:val="000000"/>
          <w:spacing w:val="0"/>
          <w:sz w:val="20"/>
        </w:rPr>
        <w:t>☐</w:t>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Securities Registered Pursuant to Section 12(b) of the Act:</w:t>
      </w:r>
      <w:r>
        <w:rPr>
          <w:rFonts w:ascii="times new roman;times" w:hAnsi="times new roman;times"/>
          <w:sz w:val="20"/>
        </w:rPr>
        <w:t>  </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817"/>
        <w:gridCol w:w="2213"/>
        <w:gridCol w:w="5175"/>
      </w:tblGrid>
      <w:tr>
        <w:trPr/>
        <w:tc>
          <w:tcPr>
            <w:tcW w:w="2817"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Title of each class</w:t>
            </w:r>
          </w:p>
        </w:tc>
        <w:tc>
          <w:tcPr>
            <w:tcW w:w="2213"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Trading Symbol(s)</w:t>
            </w:r>
          </w:p>
        </w:tc>
        <w:tc>
          <w:tcPr>
            <w:tcW w:w="5175"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Name of each exchange on which registered</w:t>
            </w:r>
          </w:p>
        </w:tc>
      </w:tr>
      <w:tr>
        <w:trPr/>
        <w:tc>
          <w:tcPr>
            <w:tcW w:w="2817" w:type="dxa"/>
            <w:tcBorders/>
            <w:vAlign w:val="center"/>
          </w:tcPr>
          <w:p>
            <w:pPr>
              <w:pStyle w:val="TableContents"/>
              <w:bidi w:val="0"/>
              <w:spacing w:lineRule="auto" w:line="288" w:before="0" w:after="0"/>
              <w:ind w:left="0" w:right="0" w:hanging="0"/>
              <w:jc w:val="center"/>
              <w:rPr>
                <w:rFonts w:ascii="Times New Roman" w:hAnsi="Times New Roman"/>
                <w:sz w:val="20"/>
              </w:rPr>
            </w:pPr>
            <w:r>
              <w:rPr>
                <w:rFonts w:ascii="Times New Roman" w:hAnsi="Times New Roman"/>
                <w:sz w:val="20"/>
              </w:rPr>
              <w:t>Common Stock, $0.001</w:t>
            </w:r>
          </w:p>
        </w:tc>
        <w:tc>
          <w:tcPr>
            <w:tcW w:w="221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517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bidi w:val="0"/>
        <w:spacing w:lineRule="auto" w:line="288" w:before="0" w:after="0"/>
        <w:ind w:left="0" w:right="0" w:hanging="0"/>
        <w:jc w:val="left"/>
        <w:rPr/>
      </w:pPr>
      <w:r>
        <w:rPr/>
      </w:r>
    </w:p>
    <w:p>
      <w:pPr>
        <w:pStyle w:val="HorizontalLine"/>
        <w:bidi w:val="0"/>
        <w:spacing w:before="0" w:after="0"/>
        <w:jc w:val="left"/>
        <w:rPr/>
      </w:pPr>
      <w:r>
        <w:rPr/>
      </w:r>
    </w:p>
    <w:p>
      <w:pPr>
        <w:pStyle w:val="TextBody"/>
        <w:bidi w:val="0"/>
        <w:spacing w:before="0" w:after="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1440" w:right="0" w:hanging="1440"/>
        <w:jc w:val="left"/>
        <w:rPr>
          <w:rFonts w:ascii="times new roman;times" w:hAnsi="times new roman;times"/>
          <w:b/>
          <w:sz w:val="20"/>
        </w:rPr>
      </w:pPr>
      <w:r>
        <w:rPr>
          <w:rFonts w:ascii="times new roman;times" w:hAnsi="times new roman;times"/>
          <w:b/>
          <w:sz w:val="20"/>
        </w:rPr>
        <w:t>Item 1.01              Entry into a Material Definitive Agreement.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On April 7, 2026, ClearOne, Inc. (the “Company”) entered into a lease termination agreement (the “Termination Agreement”) with Edgewater Corporate Park, LLC (the “Landlord”) pursuant to which the Company terminated its lease for its corporate offices located at 5225 Wiley Post Way in Salt Lake City, Utah for a $300,000 termination fee (the “Termination Fee”). Upon payment of the Termination Fee, the Landlord agreed to release the Company from all future performance and payment obligations under the lease, including approximately $376,359 in rent and $53,240 in restoration changes.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The foregoing description of the Termination Agreement is qualified entirely by reference to the Termination Agreement which is filed as Exhibit 10.1 to this Current Report on Form 8-K and is incorporated herein by reference.</w:t>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r>
    </w:p>
    <w:p>
      <w:pPr>
        <w:pStyle w:val="TextBody"/>
        <w:widowControl/>
        <w:bidi w:val="0"/>
        <w:spacing w:lineRule="auto" w:line="288" w:before="0" w:after="0"/>
        <w:ind w:left="0" w:right="0" w:hanging="144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3.01              Notice of Delisting or Failure to Satisfy a Continued Listing Rule or Standard; Transfer of Listing.</w:t>
      </w:r>
    </w:p>
    <w:p>
      <w:pPr>
        <w:pStyle w:val="TextBody"/>
        <w:widowControl/>
        <w:bidi w:val="0"/>
        <w:spacing w:lineRule="auto" w:line="288" w:before="0" w:after="0"/>
        <w:ind w:left="0" w:right="0" w:hanging="144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w:t>
      </w:r>
      <w:r>
        <w:rPr>
          <w:rFonts w:ascii="Times New Roman;serif" w:hAnsi="Times New Roman;serif"/>
          <w:sz w:val="20"/>
        </w:rPr>
        <w:t xml:space="preserve">n April 7, 2026, the Company received a letter (the “Notice”) from the Listing Qualifications Department (the “Staff”) of the Nasdaq Stock Market (“Nasdaq”) informing the Company that the Company is not in </w:t>
      </w:r>
      <w:r>
        <w:rPr>
          <w:rFonts w:ascii="times new roman;times" w:hAnsi="times new roman;times"/>
          <w:sz w:val="20"/>
        </w:rPr>
        <w:t>compliance</w:t>
      </w:r>
      <w:r>
        <w:rPr>
          <w:rFonts w:ascii="Times New Roman;serif" w:hAnsi="Times New Roman;serif"/>
          <w:sz w:val="20"/>
        </w:rPr>
        <w:t xml:space="preserve"> with any of the alternative continued listing standa</w:t>
      </w:r>
      <w:r>
        <w:rPr>
          <w:rFonts w:ascii="times new roman;times" w:hAnsi="times new roman;times"/>
          <w:sz w:val="20"/>
        </w:rPr>
        <w:t>rds under set forth in Nasdaq Marketplace Rule 5550(b) (the “Continued Listing Requirements”).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 accordance with Nasdaq Marketplace Rule 5810(c)(2)(A), the Company has a period of 45 calendar days from April 7, 2026, or until May 22, 2026, to submit to Nasdaq a plan to regain compliance with the Continued Listing Requirements (the “Compliance Plan”). If Nasdaq in its discretion accepts the Company’s Compliance Plan, Nasdaq can grant an exception of up to 180 calendar days from April 7, 2026, or until October 4, 2026, for the Company to regain compliance with the Continued Listing Requirements. The Company intends to submit its Compliance Plan to Nasdaq prior to May 22, 2026.</w:t>
      </w:r>
    </w:p>
    <w:p>
      <w:pPr>
        <w:pStyle w:val="TextBody"/>
        <w:bidi w:val="0"/>
        <w:spacing w:lineRule="auto" w:line="288" w:before="160" w:after="160"/>
        <w:ind w:left="0" w:right="0" w:hanging="0"/>
        <w:jc w:val="left"/>
        <w:rPr>
          <w:rFonts w:ascii="times new roman;times" w:hAnsi="times new roman;times"/>
          <w:sz w:val="20"/>
        </w:rPr>
      </w:pPr>
      <w:r>
        <w:rPr>
          <w:rFonts w:ascii="Times New Roman" w:hAnsi="Times New Roman"/>
          <w:b/>
          <w:sz w:val="20"/>
        </w:rPr>
        <w:t>Item 8.01</w:t>
      </w:r>
      <w:r>
        <w:rPr>
          <w:rFonts w:ascii="times new roman;times" w:hAnsi="times new roman;times"/>
          <w:sz w:val="20"/>
        </w:rPr>
        <w:t xml:space="preserve">              </w:t>
      </w:r>
      <w:r>
        <w:rPr>
          <w:rFonts w:ascii="Times New Roman" w:hAnsi="Times New Roman"/>
          <w:b/>
          <w:sz w:val="20"/>
        </w:rPr>
        <w:t>Other Events.</w:t>
      </w:r>
    </w:p>
    <w:p>
      <w:pPr>
        <w:pStyle w:val="TextBody"/>
        <w:bidi w:val="0"/>
        <w:spacing w:lineRule="auto" w:line="288" w:before="160" w:after="160"/>
        <w:ind w:left="0" w:right="0" w:hanging="0"/>
        <w:jc w:val="left"/>
        <w:rPr>
          <w:rFonts w:ascii="Times New Roman" w:hAnsi="Times New Roman"/>
          <w:sz w:val="20"/>
        </w:rPr>
      </w:pPr>
      <w:r>
        <w:rPr>
          <w:rFonts w:ascii="Times New Roman" w:hAnsi="Times New Roman"/>
          <w:sz w:val="20"/>
        </w:rPr>
        <w:t>On April 10, 2026, the Company’s Board of Directors approved the redemption (the “Redemption”) of all issued and outstanding shares of the Company’s Class A Redeemable Preferred Stock, par value $0.001 per share (the “Class A Preferred Shares”) on April 21, 2026 (the “Redemption Date”) at a redemption price per share equal to the $0.001 par value per share of the Class A Preferred Shares. All fractional amounts will be rounded up to the nearest whole cent. The Redemption is mandatory under the terms and conditions of Section 2 of the Certificate of Designation of the Class A Preferred Shares. On or about April 14, 2026, the Company will deposit the aggregate Redemption Price with Colonial Stock Transfer Company, Inc., the Company’s registrar and transfer agent (“Colonial”). Also on or about April 13, 2026, Colonial will deliver of notice of Redemption to all holders of the Class A Preferred Shares that includes the calculation of the Redemption Price in accordance with Section 2 of the Certificate of Designation of the Class A Preferred Shares.</w:t>
      </w:r>
    </w:p>
    <w:p>
      <w:pPr>
        <w:pStyle w:val="TextBody"/>
        <w:widowControl/>
        <w:bidi w:val="0"/>
        <w:spacing w:lineRule="auto" w:line="288" w:before="160" w:after="160"/>
        <w:ind w:left="0" w:right="0" w:hanging="0"/>
        <w:jc w:val="left"/>
        <w:rPr>
          <w:rFonts w:ascii="Times New Roman" w:hAnsi="Times New Roman"/>
          <w:sz w:val="20"/>
        </w:rPr>
      </w:pPr>
      <w:r>
        <w:rPr>
          <w:rFonts w:ascii="Times New Roman" w:hAnsi="Times New Roman"/>
          <w:b w:val="false"/>
          <w:i w:val="false"/>
          <w:caps w:val="false"/>
          <w:smallCaps w:val="false"/>
          <w:color w:val="000000"/>
          <w:spacing w:val="0"/>
          <w:sz w:val="20"/>
        </w:rPr>
        <w:t>Item 9.01</w:t>
      </w:r>
      <w:r>
        <w:rPr>
          <w:rFonts w:ascii="Times New Roman" w:hAnsi="Times New Roman"/>
          <w:sz w:val="20"/>
        </w:rPr>
        <w:t>             </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Financial Statements and Exhibits</w:t>
      </w:r>
    </w:p>
    <w:p>
      <w:pPr>
        <w:pStyle w:val="TextBody"/>
        <w:bidi w:val="0"/>
        <w:spacing w:lineRule="auto" w:line="288" w:before="0" w:after="160"/>
        <w:ind w:left="0" w:right="0" w:hanging="0"/>
        <w:jc w:val="left"/>
        <w:rPr>
          <w:rFonts w:ascii="times new roman;times" w:hAnsi="times new roman;times"/>
          <w:sz w:val="20"/>
        </w:rPr>
      </w:pPr>
      <w:r>
        <w:rPr>
          <w:rFonts w:ascii="Times New Roman" w:hAnsi="Times New Roman"/>
          <w:sz w:val="20"/>
        </w:rPr>
        <w:t>(d)</w:t>
      </w:r>
      <w:r>
        <w:rPr>
          <w:rFonts w:ascii="times new roman;times" w:hAnsi="times new roman;times"/>
          <w:sz w:val="20"/>
        </w:rPr>
        <w:t xml:space="preserve">  </w:t>
      </w:r>
      <w:r>
        <w:rPr>
          <w:rFonts w:ascii="Times New Roman" w:hAnsi="Times New Roman"/>
          <w:sz w:val="20"/>
        </w:rPr>
        <w:t>Exhibits</w:t>
      </w:r>
      <w:r>
        <w:rPr>
          <w:rFonts w:ascii="times new roman;times" w:hAnsi="times new roman;times"/>
          <w:sz w:val="20"/>
        </w:rPr>
        <w:t> </w:t>
      </w:r>
    </w:p>
    <w:tbl>
      <w:tblPr>
        <w:tblW w:w="5000" w:type="pct"/>
        <w:jc w:val="left"/>
        <w:tblInd w:w="0" w:type="dxa"/>
        <w:tblLayout w:type="fixed"/>
        <w:tblCellMar>
          <w:top w:w="0" w:type="dxa"/>
          <w:left w:w="0" w:type="dxa"/>
          <w:bottom w:w="0" w:type="dxa"/>
          <w:right w:w="0" w:type="dxa"/>
        </w:tblCellMar>
      </w:tblPr>
      <w:tblGrid>
        <w:gridCol w:w="1399"/>
        <w:gridCol w:w="60"/>
        <w:gridCol w:w="8746"/>
      </w:tblGrid>
      <w:tr>
        <w:trPr/>
        <w:tc>
          <w:tcPr>
            <w:tcW w:w="1399" w:type="dxa"/>
            <w:tcBorders/>
            <w:vAlign w:val="center"/>
          </w:tcPr>
          <w:p>
            <w:pPr>
              <w:pStyle w:val="TableContents"/>
              <w:bidi w:val="0"/>
              <w:spacing w:before="0" w:after="0"/>
              <w:ind w:left="0" w:right="0" w:hanging="0"/>
              <w:jc w:val="left"/>
              <w:rPr>
                <w:sz w:val="20"/>
              </w:rPr>
            </w:pPr>
            <w:r>
              <w:rPr>
                <w:rFonts w:ascii="Times New Roman" w:hAnsi="Times New Roman"/>
                <w:b/>
                <w:sz w:val="20"/>
              </w:rPr>
              <w:t>Exhibit</w:t>
            </w:r>
            <w:r>
              <w:rPr>
                <w:sz w:val="20"/>
              </w:rPr>
              <w:t> </w:t>
            </w:r>
            <w:r>
              <w:rPr>
                <w:rFonts w:ascii="Times New Roman" w:hAnsi="Times New Roman"/>
                <w:b/>
                <w:sz w:val="20"/>
              </w:rPr>
              <w:t>Number</w:t>
            </w:r>
          </w:p>
        </w:tc>
        <w:tc>
          <w:tcPr>
            <w:tcW w:w="60" w:type="dxa"/>
            <w:tcBorders/>
            <w:vAlign w:val="center"/>
          </w:tcPr>
          <w:p>
            <w:pPr>
              <w:pStyle w:val="TableContents"/>
              <w:bidi w:val="0"/>
              <w:spacing w:before="0" w:after="0"/>
              <w:ind w:left="0" w:right="0" w:hanging="0"/>
              <w:jc w:val="center"/>
              <w:rPr/>
            </w:pPr>
            <w:r>
              <w:rPr/>
              <w:t> </w:t>
            </w:r>
          </w:p>
        </w:tc>
        <w:tc>
          <w:tcPr>
            <w:tcW w:w="8746" w:type="dxa"/>
            <w:tcBorders/>
            <w:vAlign w:val="center"/>
          </w:tcPr>
          <w:p>
            <w:pPr>
              <w:pStyle w:val="TableContents"/>
              <w:bidi w:val="0"/>
              <w:spacing w:before="0" w:after="0"/>
              <w:ind w:left="0" w:right="0" w:hanging="0"/>
              <w:jc w:val="center"/>
              <w:rPr>
                <w:sz w:val="20"/>
              </w:rPr>
            </w:pPr>
            <w:r>
              <w:rPr>
                <w:rFonts w:ascii="Times New Roman" w:hAnsi="Times New Roman"/>
                <w:b/>
                <w:sz w:val="20"/>
              </w:rPr>
              <w:t>Exhibit</w:t>
            </w:r>
            <w:r>
              <w:rPr>
                <w:sz w:val="20"/>
              </w:rPr>
              <w:t> </w:t>
            </w:r>
            <w:r>
              <w:rPr>
                <w:rFonts w:ascii="Times New Roman" w:hAnsi="Times New Roman"/>
                <w:b/>
                <w:sz w:val="20"/>
              </w:rPr>
              <w:t>Title</w:t>
            </w:r>
          </w:p>
        </w:tc>
      </w:tr>
      <w:tr>
        <w:trPr/>
        <w:tc>
          <w:tcPr>
            <w:tcW w:w="1399" w:type="dxa"/>
            <w:tcBorders/>
            <w:vAlign w:val="center"/>
          </w:tcPr>
          <w:p>
            <w:pPr>
              <w:pStyle w:val="TableContents"/>
              <w:bidi w:val="0"/>
              <w:spacing w:before="0" w:after="0"/>
              <w:ind w:left="0" w:right="0" w:hanging="0"/>
              <w:jc w:val="both"/>
              <w:rPr/>
            </w:pPr>
            <w:hyperlink w:anchor="ex101_1.htm">
              <w:r>
                <w:rPr>
                  <w:rStyle w:val="InternetLink"/>
                  <w:rFonts w:ascii="Times New Roman" w:hAnsi="Times New Roman"/>
                  <w:sz w:val="20"/>
                </w:rPr>
                <w:t>10.1</w:t>
              </w:r>
            </w:hyperlink>
          </w:p>
        </w:tc>
        <w:tc>
          <w:tcPr>
            <w:tcW w:w="60" w:type="dxa"/>
            <w:tcBorders/>
            <w:vAlign w:val="center"/>
          </w:tcPr>
          <w:p>
            <w:pPr>
              <w:pStyle w:val="TableContents"/>
              <w:bidi w:val="0"/>
              <w:spacing w:before="0" w:after="0"/>
              <w:ind w:left="0" w:right="0" w:hanging="0"/>
              <w:jc w:val="both"/>
              <w:rPr/>
            </w:pPr>
            <w:hyperlink w:anchor="ex101_1.htm">
              <w:r>
                <w:rPr>
                  <w:rStyle w:val="InternetLink"/>
                </w:rPr>
                <w:t> </w:t>
              </w:r>
            </w:hyperlink>
          </w:p>
        </w:tc>
        <w:tc>
          <w:tcPr>
            <w:tcW w:w="8746" w:type="dxa"/>
            <w:tcBorders/>
            <w:vAlign w:val="center"/>
          </w:tcPr>
          <w:p>
            <w:pPr>
              <w:pStyle w:val="TableContents"/>
              <w:bidi w:val="0"/>
              <w:spacing w:before="0" w:after="283"/>
              <w:jc w:val="left"/>
              <w:rPr/>
            </w:pPr>
            <w:hyperlink w:anchor="ex101_1.htm">
              <w:r>
                <w:rPr>
                  <w:rStyle w:val="InternetLink"/>
                  <w:rFonts w:ascii="Times New Roman;serif" w:hAnsi="Times New Roman;serif"/>
                  <w:sz w:val="20"/>
                </w:rPr>
                <w:t>Lease Termination Agreement dated as of April 7, 2026 by and between Edgewater Corporate Park, LLC and the Company.</w:t>
              </w:r>
            </w:hyperlink>
            <w:hyperlink w:anchor="ex101_1.htm">
              <w:r>
                <w:rPr>
                  <w:rStyle w:val="InternetLink"/>
                </w:rPr>
                <w:t xml:space="preserve"> </w:t>
              </w:r>
            </w:hyperlink>
          </w:p>
        </w:tc>
      </w:tr>
      <w:tr>
        <w:trPr/>
        <w:tc>
          <w:tcPr>
            <w:tcW w:w="1399" w:type="dxa"/>
            <w:tcBorders/>
            <w:vAlign w:val="center"/>
          </w:tcPr>
          <w:p>
            <w:pPr>
              <w:pStyle w:val="TableContents"/>
              <w:bidi w:val="0"/>
              <w:spacing w:before="0" w:after="283"/>
              <w:jc w:val="left"/>
              <w:rPr/>
            </w:pPr>
            <w:r>
              <w:rPr/>
              <w:t>104.1</w:t>
            </w:r>
          </w:p>
        </w:tc>
        <w:tc>
          <w:tcPr>
            <w:tcW w:w="60" w:type="dxa"/>
            <w:tcBorders/>
            <w:vAlign w:val="center"/>
          </w:tcPr>
          <w:p>
            <w:pPr>
              <w:pStyle w:val="TableContents"/>
              <w:bidi w:val="0"/>
              <w:spacing w:before="0" w:after="283"/>
              <w:jc w:val="left"/>
              <w:rPr/>
            </w:pPr>
            <w:r>
              <w:rPr/>
            </w:r>
          </w:p>
        </w:tc>
        <w:tc>
          <w:tcPr>
            <w:tcW w:w="8746" w:type="dxa"/>
            <w:tcBorders/>
            <w:vAlign w:val="center"/>
          </w:tcPr>
          <w:p>
            <w:pPr>
              <w:pStyle w:val="TableContents"/>
              <w:bidi w:val="0"/>
              <w:spacing w:before="0" w:after="0"/>
              <w:ind w:left="0" w:right="0" w:hanging="0"/>
              <w:jc w:val="both"/>
              <w:rPr>
                <w:rFonts w:ascii="Times New Roman;serif" w:hAnsi="Times New Roman;serif"/>
                <w:sz w:val="20"/>
              </w:rPr>
            </w:pPr>
            <w:r>
              <w:rPr>
                <w:rFonts w:ascii="Times New Roman;serif" w:hAnsi="Times New Roman;serif"/>
                <w:sz w:val="20"/>
              </w:rPr>
              <w:t>The cover page from this Current Report on Form 8-K, formatted in Inline XBRL.</w:t>
            </w:r>
          </w:p>
        </w:tc>
      </w:tr>
    </w:tbl>
    <w:p>
      <w:pPr>
        <w:pStyle w:val="TextBody"/>
        <w:bidi w:val="0"/>
        <w:spacing w:lineRule="auto" w:line="288" w:before="0" w:after="0"/>
        <w:ind w:left="0" w:right="0" w:hanging="0"/>
        <w:jc w:val="left"/>
        <w:rPr/>
      </w:pPr>
      <w:r>
        <w:rPr/>
      </w:r>
    </w:p>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336"/>
        <w:gridCol w:w="948"/>
        <w:gridCol w:w="4921"/>
      </w:tblGrid>
      <w:tr>
        <w:trPr/>
        <w:tc>
          <w:tcPr>
            <w:tcW w:w="4336" w:type="dxa"/>
            <w:tcBorders/>
            <w:vAlign w:val="center"/>
          </w:tcPr>
          <w:p>
            <w:pPr>
              <w:pStyle w:val="TableContents"/>
              <w:bidi w:val="0"/>
              <w:spacing w:before="0" w:after="0"/>
              <w:ind w:left="0" w:right="0" w:hanging="0"/>
              <w:jc w:val="both"/>
              <w:rPr/>
            </w:pPr>
            <w:r>
              <w:rPr/>
              <w:t xml:space="preserve">  </w:t>
            </w:r>
          </w:p>
        </w:tc>
        <w:tc>
          <w:tcPr>
            <w:tcW w:w="5869" w:type="dxa"/>
            <w:gridSpan w:val="2"/>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CLEARONE, INC. </w:t>
            </w:r>
          </w:p>
        </w:tc>
      </w:tr>
      <w:tr>
        <w:trPr/>
        <w:tc>
          <w:tcPr>
            <w:tcW w:w="4336" w:type="dxa"/>
            <w:tcBorders/>
            <w:vAlign w:val="center"/>
          </w:tcPr>
          <w:p>
            <w:pPr>
              <w:pStyle w:val="TableContents"/>
              <w:bidi w:val="0"/>
              <w:spacing w:before="0" w:after="0"/>
              <w:ind w:left="0" w:right="0" w:hanging="0"/>
              <w:jc w:val="both"/>
              <w:rPr/>
            </w:pPr>
            <w:r>
              <w:rPr/>
              <w:t xml:space="preserve">  </w:t>
            </w:r>
          </w:p>
        </w:tc>
        <w:tc>
          <w:tcPr>
            <w:tcW w:w="948" w:type="dxa"/>
            <w:tcBorders/>
            <w:vAlign w:val="center"/>
          </w:tcPr>
          <w:p>
            <w:pPr>
              <w:pStyle w:val="TableContents"/>
              <w:bidi w:val="0"/>
              <w:spacing w:before="0" w:after="0"/>
              <w:ind w:left="0" w:right="0" w:hanging="0"/>
              <w:jc w:val="both"/>
              <w:rPr/>
            </w:pPr>
            <w:r>
              <w:rPr/>
              <w:t xml:space="preserve">  </w:t>
            </w:r>
          </w:p>
        </w:tc>
        <w:tc>
          <w:tcPr>
            <w:tcW w:w="4921" w:type="dxa"/>
            <w:tcBorders/>
            <w:vAlign w:val="center"/>
          </w:tcPr>
          <w:p>
            <w:pPr>
              <w:pStyle w:val="TableContents"/>
              <w:bidi w:val="0"/>
              <w:spacing w:before="0" w:after="0"/>
              <w:ind w:left="0" w:right="0" w:hanging="0"/>
              <w:jc w:val="both"/>
              <w:rPr/>
            </w:pPr>
            <w:r>
              <w:rPr/>
              <w:t xml:space="preserve">  </w:t>
            </w:r>
          </w:p>
        </w:tc>
      </w:tr>
      <w:tr>
        <w:trPr/>
        <w:tc>
          <w:tcPr>
            <w:tcW w:w="4336" w:type="dxa"/>
            <w:tcBorders/>
            <w:vAlign w:val="center"/>
          </w:tcPr>
          <w:p>
            <w:pPr>
              <w:pStyle w:val="TableContents"/>
              <w:bidi w:val="0"/>
              <w:spacing w:before="0" w:after="0"/>
              <w:ind w:left="0" w:right="0" w:hanging="0"/>
              <w:jc w:val="both"/>
              <w:rPr/>
            </w:pPr>
            <w:r>
              <w:rPr>
                <w:rFonts w:ascii="Times New Roman" w:hAnsi="Times New Roman"/>
                <w:sz w:val="20"/>
              </w:rPr>
              <w:t>Date:April 13,</w:t>
            </w:r>
            <w:r>
              <w:rPr/>
              <w:t xml:space="preserve"> </w:t>
            </w:r>
            <w:r>
              <w:rPr>
                <w:rFonts w:ascii="Times New Roman" w:hAnsi="Times New Roman"/>
                <w:sz w:val="20"/>
              </w:rPr>
              <w:t>2026</w:t>
            </w:r>
          </w:p>
        </w:tc>
        <w:tc>
          <w:tcPr>
            <w:tcW w:w="94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By: </w:t>
            </w:r>
          </w:p>
        </w:tc>
        <w:tc>
          <w:tcPr>
            <w:tcW w:w="4921" w:type="dxa"/>
            <w:tcBorders/>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Simon Brewer</w:t>
            </w:r>
          </w:p>
        </w:tc>
      </w:tr>
      <w:tr>
        <w:trPr/>
        <w:tc>
          <w:tcPr>
            <w:tcW w:w="4336" w:type="dxa"/>
            <w:tcBorders/>
            <w:vAlign w:val="center"/>
          </w:tcPr>
          <w:p>
            <w:pPr>
              <w:pStyle w:val="TableContents"/>
              <w:bidi w:val="0"/>
              <w:spacing w:before="0" w:after="0"/>
              <w:ind w:left="0" w:right="0" w:hanging="0"/>
              <w:jc w:val="both"/>
              <w:rPr/>
            </w:pPr>
            <w:r>
              <w:rPr/>
              <w:t xml:space="preserve">  </w:t>
            </w:r>
          </w:p>
        </w:tc>
        <w:tc>
          <w:tcPr>
            <w:tcW w:w="948" w:type="dxa"/>
            <w:tcBorders/>
            <w:vAlign w:val="center"/>
          </w:tcPr>
          <w:p>
            <w:pPr>
              <w:pStyle w:val="TableContents"/>
              <w:bidi w:val="0"/>
              <w:spacing w:before="0" w:after="0"/>
              <w:ind w:left="0" w:right="0" w:hanging="0"/>
              <w:jc w:val="both"/>
              <w:rPr/>
            </w:pPr>
            <w:r>
              <w:rPr/>
              <w:t xml:space="preserve">  </w:t>
            </w:r>
          </w:p>
        </w:tc>
        <w:tc>
          <w:tcPr>
            <w:tcW w:w="4921" w:type="dxa"/>
            <w:tcBorders/>
            <w:vAlign w:val="center"/>
          </w:tcPr>
          <w:p>
            <w:pPr>
              <w:pStyle w:val="TableContents"/>
              <w:bidi w:val="0"/>
              <w:spacing w:before="0" w:after="0"/>
              <w:ind w:left="0" w:right="0" w:hanging="0"/>
              <w:jc w:val="both"/>
              <w:rPr>
                <w:rFonts w:ascii="Times New Roman;serif" w:hAnsi="Times New Roman;serif"/>
                <w:sz w:val="20"/>
              </w:rPr>
            </w:pPr>
            <w:r>
              <w:rPr>
                <w:rFonts w:ascii="Times New Roman;serif" w:hAnsi="Times New Roman;serif"/>
                <w:sz w:val="20"/>
              </w:rPr>
              <w:t>Simon Brewer</w:t>
            </w:r>
          </w:p>
        </w:tc>
      </w:tr>
      <w:tr>
        <w:trPr/>
        <w:tc>
          <w:tcPr>
            <w:tcW w:w="4336" w:type="dxa"/>
            <w:tcBorders/>
            <w:vAlign w:val="center"/>
          </w:tcPr>
          <w:p>
            <w:pPr>
              <w:pStyle w:val="TableContents"/>
              <w:bidi w:val="0"/>
              <w:spacing w:before="0" w:after="0"/>
              <w:ind w:left="0" w:right="0" w:hanging="0"/>
              <w:jc w:val="both"/>
              <w:rPr/>
            </w:pPr>
            <w:r>
              <w:rPr/>
              <w:t xml:space="preserve">  </w:t>
            </w:r>
          </w:p>
        </w:tc>
        <w:tc>
          <w:tcPr>
            <w:tcW w:w="948" w:type="dxa"/>
            <w:tcBorders/>
            <w:vAlign w:val="center"/>
          </w:tcPr>
          <w:p>
            <w:pPr>
              <w:pStyle w:val="TableContents"/>
              <w:bidi w:val="0"/>
              <w:spacing w:before="0" w:after="0"/>
              <w:ind w:left="0" w:right="0" w:hanging="0"/>
              <w:jc w:val="both"/>
              <w:rPr/>
            </w:pPr>
            <w:r>
              <w:rPr/>
              <w:t xml:space="preserve">  </w:t>
            </w:r>
          </w:p>
        </w:tc>
        <w:tc>
          <w:tcPr>
            <w:tcW w:w="4921" w:type="dxa"/>
            <w:tcBorders/>
            <w:vAlign w:val="center"/>
          </w:tcPr>
          <w:p>
            <w:pPr>
              <w:pStyle w:val="TableContents"/>
              <w:bidi w:val="0"/>
              <w:spacing w:lineRule="auto" w:line="288" w:before="0" w:after="0"/>
              <w:ind w:left="30" w:right="0" w:hanging="0"/>
              <w:jc w:val="both"/>
              <w:rPr>
                <w:rFonts w:ascii="Times New Roman;serif" w:hAnsi="Times New Roman;serif"/>
                <w:sz w:val="20"/>
              </w:rPr>
            </w:pPr>
            <w:r>
              <w:rPr>
                <w:rFonts w:ascii="Times New Roman;serif" w:hAnsi="Times New Roman;serif"/>
                <w:sz w:val="20"/>
              </w:rPr>
              <w:t>Chief Financial Officer</w:t>
            </w:r>
          </w:p>
        </w:tc>
      </w:tr>
    </w:tbl>
    <w:p>
      <w:pPr>
        <w:pStyle w:val="TextBody"/>
        <w:bidi w:val="0"/>
        <w:spacing w:before="0" w:after="0"/>
        <w:ind w:left="0" w:right="0" w:hanging="0"/>
        <w:jc w:val="left"/>
        <w:rPr/>
      </w:pPr>
      <w:r>
        <w:rPr/>
        <w:t> </w:t>
      </w:r>
    </w:p>
    <w:p>
      <w:pPr>
        <w:pStyle w:val="TextBody"/>
        <w:widowControl/>
        <w:bidi w:val="0"/>
        <w:spacing w:lineRule="auto" w:line="288" w:before="0" w:after="0"/>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Exhibit 10.1</w:t>
      </w:r>
      <w:r>
        <w:br w:type="page"/>
      </w:r>
    </w:p>
    <w:p>
      <w:pPr>
        <w:pStyle w:val="TextBody"/>
        <w:bidi w:val="0"/>
        <w:spacing w:lineRule="auto" w:line="288" w:before="0" w:after="0"/>
        <w:ind w:left="0" w:right="0" w:hanging="0"/>
        <w:jc w:val="center"/>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center"/>
        <w:rPr>
          <w:rFonts w:ascii="Times New Roman" w:hAnsi="Times New Roman"/>
          <w:b/>
          <w:spacing w:val="-2"/>
          <w:sz w:val="20"/>
        </w:rPr>
      </w:pPr>
      <w:r>
        <w:rPr>
          <w:rFonts w:ascii="Times New Roman" w:hAnsi="Times New Roman"/>
          <w:b/>
          <w:spacing w:val="-2"/>
          <w:sz w:val="20"/>
        </w:rPr>
        <w:t>LEASE TERMINATION AGREEMENT</w:t>
      </w:r>
    </w:p>
    <w:p>
      <w:pPr>
        <w:pStyle w:val="TextBody"/>
        <w:bidi w:val="0"/>
        <w:spacing w:lineRule="auto" w:line="288" w:before="160" w:after="180"/>
        <w:ind w:left="0" w:right="0" w:firstLine="480"/>
        <w:jc w:val="left"/>
        <w:rPr>
          <w:rFonts w:ascii="times new roman;times" w:hAnsi="times new roman;times"/>
          <w:sz w:val="20"/>
        </w:rPr>
      </w:pPr>
      <w:r>
        <w:rPr>
          <w:rFonts w:ascii="Times New Roman" w:hAnsi="Times New Roman"/>
          <w:sz w:val="20"/>
        </w:rPr>
        <w:t>This</w:t>
      </w:r>
      <w:r>
        <w:rPr>
          <w:rFonts w:ascii="times new roman;times" w:hAnsi="times new roman;times"/>
          <w:sz w:val="20"/>
        </w:rPr>
        <w:t> LEASE TERMINATION AGREEMENT (“Agreement”) is made and entered into as of April 7, 2026 by and between EDGEWATER CORPORATE PARK, LLC, a Utah limited liability company (“Landlord”), and CLEARONE, INC., a Delaware corporation, (“Tenant”), each herein a “Party” or collectively “Parties”.</w:t>
      </w:r>
    </w:p>
    <w:p>
      <w:pPr>
        <w:pStyle w:val="TextBody"/>
        <w:bidi w:val="0"/>
        <w:spacing w:lineRule="auto" w:line="288" w:before="0" w:after="0"/>
        <w:ind w:left="0" w:right="0" w:hanging="0"/>
        <w:jc w:val="center"/>
        <w:rPr>
          <w:rFonts w:ascii="Times New Roman" w:hAnsi="Times New Roman"/>
          <w:b/>
          <w:spacing w:val="-2"/>
          <w:sz w:val="20"/>
        </w:rPr>
      </w:pPr>
      <w:r>
        <w:rPr>
          <w:rFonts w:ascii="Times New Roman" w:hAnsi="Times New Roman"/>
          <w:b/>
          <w:spacing w:val="-2"/>
          <w:sz w:val="20"/>
        </w:rPr>
        <w:t>RECITALS</w:t>
      </w:r>
    </w:p>
    <w:p>
      <w:pPr>
        <w:pStyle w:val="TextBody"/>
        <w:bidi w:val="0"/>
        <w:spacing w:lineRule="auto" w:line="288" w:before="200" w:after="0"/>
        <w:ind w:left="0" w:right="0" w:firstLine="480"/>
        <w:jc w:val="left"/>
        <w:rPr>
          <w:rFonts w:ascii="times new roman;times" w:hAnsi="times new roman;times"/>
          <w:sz w:val="20"/>
        </w:rPr>
      </w:pPr>
      <w:r>
        <w:rPr>
          <w:rFonts w:ascii="Times New Roman" w:hAnsi="Times New Roman"/>
          <w:i w:val="false"/>
          <w:caps w:val="false"/>
          <w:smallCaps w:val="false"/>
          <w:spacing w:val="-1"/>
          <w:sz w:val="20"/>
        </w:rPr>
        <w:t>A.</w:t>
      </w:r>
      <w:r>
        <w:rPr>
          <w:rFonts w:ascii="times new roman;times" w:hAnsi="times new roman;times"/>
          <w:caps w:val="false"/>
          <w:smallCaps w:val="false"/>
          <w:sz w:val="20"/>
        </w:rPr>
        <w:t xml:space="preserve">        </w:t>
      </w:r>
      <w:r>
        <w:rPr>
          <w:rFonts w:ascii="Times New Roman" w:hAnsi="Times New Roman"/>
          <w:sz w:val="20"/>
        </w:rPr>
        <w:t>Landlord and Tenant are Parties to an Office Lease (the “Original Lease”) dated June 5, 2006 for space in the Edgewater Corporate Park building (“Building”) at 5225 Wiley Post Way, Salt Lake City, Utah (referred to hereafter as the “Premises”).</w:t>
      </w:r>
    </w:p>
    <w:p>
      <w:pPr>
        <w:pStyle w:val="TextBody"/>
        <w:bidi w:val="0"/>
        <w:spacing w:lineRule="auto" w:line="288" w:before="200" w:after="0"/>
        <w:ind w:left="0" w:right="0" w:firstLine="480"/>
        <w:jc w:val="left"/>
        <w:rPr>
          <w:rFonts w:ascii="times new roman;times" w:hAnsi="times new roman;times"/>
          <w:sz w:val="20"/>
        </w:rPr>
      </w:pPr>
      <w:r>
        <w:rPr>
          <w:rFonts w:ascii="Times New Roman" w:hAnsi="Times New Roman"/>
          <w:i w:val="false"/>
          <w:caps w:val="false"/>
          <w:smallCaps w:val="false"/>
          <w:spacing w:val="-1"/>
          <w:sz w:val="20"/>
        </w:rPr>
        <w:t>B.</w:t>
      </w:r>
      <w:r>
        <w:rPr>
          <w:rFonts w:ascii="times new roman;times" w:hAnsi="times new roman;times"/>
          <w:caps w:val="false"/>
          <w:smallCaps w:val="false"/>
          <w:sz w:val="20"/>
        </w:rPr>
        <w:t xml:space="preserve">        </w:t>
      </w:r>
      <w:r>
        <w:rPr>
          <w:rFonts w:ascii="times new roman;times" w:hAnsi="times new roman;times"/>
          <w:sz w:val="20"/>
        </w:rPr>
        <w:t> Landlord and Tenant amended the Original Lease with a First Amendment to Office Lease dated June 4, 2010 (“First Amendment”) reducing the space of the Premises under the Original Lease.</w:t>
      </w:r>
    </w:p>
    <w:p>
      <w:pPr>
        <w:pStyle w:val="TextBody"/>
        <w:bidi w:val="0"/>
        <w:spacing w:lineRule="auto" w:line="288" w:before="200" w:after="160"/>
        <w:ind w:left="0" w:right="0" w:firstLine="480"/>
        <w:jc w:val="left"/>
        <w:rPr>
          <w:rFonts w:ascii="times new roman;times" w:hAnsi="times new roman;times"/>
          <w:sz w:val="20"/>
        </w:rPr>
      </w:pPr>
      <w:r>
        <w:rPr>
          <w:rFonts w:ascii="Times New Roman" w:hAnsi="Times New Roman"/>
          <w:i w:val="false"/>
          <w:caps w:val="false"/>
          <w:smallCaps w:val="false"/>
          <w:spacing w:val="-1"/>
          <w:sz w:val="20"/>
        </w:rPr>
        <w:t>C.</w:t>
      </w:r>
      <w:r>
        <w:rPr>
          <w:rFonts w:ascii="times new roman;times" w:hAnsi="times new roman;times"/>
          <w:caps w:val="false"/>
          <w:smallCaps w:val="false"/>
          <w:sz w:val="20"/>
        </w:rPr>
        <w:t>        </w:t>
      </w:r>
      <w:r>
        <w:rPr>
          <w:rFonts w:ascii="times new roman;times" w:hAnsi="times new roman;times"/>
          <w:sz w:val="20"/>
        </w:rPr>
        <w:t> Landlord and Tenant further amended the Original Lease with a Second Amendment to Office Lease dated May 9, 2014 (“Second Amendment”) extending the Term of the Lease to May 31, 2019.</w:t>
      </w:r>
    </w:p>
    <w:p>
      <w:pPr>
        <w:pStyle w:val="TextBody"/>
        <w:bidi w:val="0"/>
        <w:spacing w:lineRule="auto" w:line="288" w:before="200" w:after="160"/>
        <w:ind w:left="0" w:right="0" w:firstLine="480"/>
        <w:jc w:val="left"/>
        <w:rPr>
          <w:rFonts w:ascii="times new roman;times" w:hAnsi="times new roman;times"/>
          <w:sz w:val="20"/>
        </w:rPr>
      </w:pPr>
      <w:r>
        <w:rPr>
          <w:rFonts w:ascii="times new roman;times" w:hAnsi="times new roman;times"/>
          <w:sz w:val="20"/>
        </w:rPr>
        <w:t>D.        Landlord and Tenant further amended the Original Lease with a Third Amendment to Office Lease dated June 28, 2018 (“Third Amendment”) reducing the space of the Premises under the Lease and extending the Term of the Lease to March 31, 2024, and with options to further extend the Term and obtain additional space.</w:t>
      </w:r>
    </w:p>
    <w:p>
      <w:pPr>
        <w:pStyle w:val="TextBody"/>
        <w:bidi w:val="0"/>
        <w:spacing w:lineRule="auto" w:line="288" w:before="200" w:after="160"/>
        <w:ind w:left="0" w:right="0" w:firstLine="480"/>
        <w:jc w:val="left"/>
        <w:rPr>
          <w:rFonts w:ascii="times new roman;times" w:hAnsi="times new roman;times"/>
          <w:sz w:val="20"/>
        </w:rPr>
      </w:pPr>
      <w:r>
        <w:rPr>
          <w:rFonts w:ascii="times new roman;times" w:hAnsi="times new roman;times"/>
          <w:sz w:val="20"/>
        </w:rPr>
        <w:t>E.        Landlord and Tenant further amended the Original Lease with a Fourth Amendment to Lease Agreement dated January 6, 2023 (“Fourth Amendment”) reducing the space of the Premises under the Lease, extending the Term of the Lease to April 30, 2028, and deleting the options to extend the Term and obtain additional space.    </w:t>
      </w:r>
    </w:p>
    <w:p>
      <w:pPr>
        <w:pStyle w:val="TextBody"/>
        <w:bidi w:val="0"/>
        <w:spacing w:lineRule="auto" w:line="288" w:before="200" w:after="160"/>
        <w:ind w:left="0" w:right="0" w:firstLine="480"/>
        <w:jc w:val="left"/>
        <w:rPr>
          <w:rFonts w:ascii="times new roman;times" w:hAnsi="times new roman;times"/>
          <w:sz w:val="20"/>
        </w:rPr>
      </w:pPr>
      <w:r>
        <w:rPr>
          <w:rFonts w:ascii="times new roman;times" w:hAnsi="times new roman;times"/>
          <w:sz w:val="20"/>
        </w:rPr>
        <w:t>F.         Landlord and Tenant entered into Fifth and Sixth Amendments to the Lease for month-to-month tenancy for temporary space in the Building. The month-to-month terms of the Fifth and Sixth amendments expired and all amounts due to Landlord on the month-to-month Fifth and Sixth amendments have been paid. </w:t>
      </w:r>
    </w:p>
    <w:p>
      <w:pPr>
        <w:pStyle w:val="TextBody"/>
        <w:bidi w:val="0"/>
        <w:spacing w:lineRule="auto" w:line="288" w:before="200" w:after="160"/>
        <w:ind w:left="0" w:right="0" w:firstLine="480"/>
        <w:jc w:val="left"/>
        <w:rPr>
          <w:rFonts w:ascii="times new roman;times" w:hAnsi="times new roman;times"/>
          <w:sz w:val="20"/>
        </w:rPr>
      </w:pPr>
      <w:r>
        <w:rPr>
          <w:rFonts w:ascii="times new roman;times" w:hAnsi="times new roman;times"/>
          <w:sz w:val="20"/>
        </w:rPr>
        <w:t xml:space="preserve">G.        Collectively, the Original Lease, the First Amendment, Second Amendment, the Third Amendment, and the Fourth Amendment are herein collectively referred to as the “Lease”. </w:t>
      </w:r>
    </w:p>
    <w:p>
      <w:pPr>
        <w:pStyle w:val="TextBody"/>
        <w:bidi w:val="0"/>
        <w:spacing w:lineRule="auto" w:line="288" w:before="200" w:after="160"/>
        <w:ind w:left="0" w:right="0" w:firstLine="480"/>
        <w:jc w:val="left"/>
        <w:rPr>
          <w:rFonts w:ascii="times new roman;times" w:hAnsi="times new roman;times"/>
          <w:sz w:val="20"/>
        </w:rPr>
      </w:pPr>
      <w:r>
        <w:rPr>
          <w:rFonts w:ascii="times new roman;times" w:hAnsi="times new roman;times"/>
          <w:sz w:val="20"/>
        </w:rPr>
        <w:t>H.        Tenant permanently vacated the Premises on or about December 17, 2025 even though the Lease Term expires on April 30, 2028.</w:t>
      </w:r>
    </w:p>
    <w:p>
      <w:pPr>
        <w:pStyle w:val="TextBody"/>
        <w:bidi w:val="0"/>
        <w:spacing w:lineRule="auto" w:line="288" w:before="200" w:after="160"/>
        <w:ind w:left="0" w:right="0" w:firstLine="480"/>
        <w:jc w:val="left"/>
        <w:rPr>
          <w:rFonts w:ascii="times new roman;times" w:hAnsi="times new roman;times"/>
          <w:sz w:val="20"/>
        </w:rPr>
      </w:pPr>
      <w:r>
        <w:rPr>
          <w:rFonts w:ascii="times new roman;times" w:hAnsi="times new roman;times"/>
          <w:sz w:val="20"/>
        </w:rPr>
        <w:t>I.          Base Rent and Additional Rent obligations remain to be paid under the Lease for the months of March 2026 through Apil 2028 in the amount of $376,359.15 and restoration charges of $53,240.</w:t>
      </w:r>
    </w:p>
    <w:p>
      <w:pPr>
        <w:pStyle w:val="TextBody"/>
        <w:bidi w:val="0"/>
        <w:spacing w:lineRule="auto" w:line="288" w:before="200" w:after="160"/>
        <w:ind w:left="0" w:right="0" w:firstLine="480"/>
        <w:jc w:val="left"/>
        <w:rPr>
          <w:rFonts w:ascii="times new roman;times" w:hAnsi="times new roman;times"/>
          <w:sz w:val="20"/>
        </w:rPr>
      </w:pPr>
      <w:r>
        <w:rPr>
          <w:rFonts w:ascii="times new roman;times" w:hAnsi="times new roman;times"/>
          <w:sz w:val="20"/>
        </w:rPr>
        <w:t>J.         Tenant acknowledges vacating the Premises and Tenant desires to no longer have any occupancy of the Premises under the Lease, to terminate the Lease, and to pay a settlement amount for its future Base Rent and Additional Rent (collectively, the “Rent”) obligations and Premises and Building restoration charges due to Landlord under the Lease.</w:t>
      </w:r>
    </w:p>
    <w:p>
      <w:pPr>
        <w:pStyle w:val="TextBody"/>
        <w:bidi w:val="0"/>
        <w:spacing w:lineRule="auto" w:line="288" w:before="200" w:after="160"/>
        <w:ind w:left="0" w:right="0" w:firstLine="480"/>
        <w:jc w:val="left"/>
        <w:rPr>
          <w:rFonts w:ascii="times new roman;times" w:hAnsi="times new roman;times"/>
          <w:sz w:val="20"/>
        </w:rPr>
      </w:pPr>
      <w:r>
        <w:rPr>
          <w:rFonts w:ascii="times new roman;times" w:hAnsi="times new roman;times"/>
          <w:sz w:val="20"/>
        </w:rPr>
        <w:t>K.        Landlord is willing to accept the Lease termination and settlement payment request of the Tenant upon the terms and conditions in this Agreement.</w:t>
      </w:r>
    </w:p>
    <w:p>
      <w:pPr>
        <w:pStyle w:val="TextBody"/>
        <w:bidi w:val="0"/>
        <w:spacing w:lineRule="auto" w:line="288" w:before="0" w:after="0"/>
        <w:ind w:left="0" w:right="0" w:firstLine="720"/>
        <w:jc w:val="both"/>
        <w:rPr/>
      </w:pPr>
      <w:r>
        <w:rPr/>
        <w:t>   </w:t>
      </w:r>
      <w:r>
        <w:rPr>
          <w:rFonts w:ascii="times new roman;times" w:hAnsi="times new roman;times"/>
          <w:sz w:val="20"/>
        </w:rPr>
        <w:t>NOW, THEREFORE, for good and valuable consideration, the receipt of which is hereby acknowledged, the parties hereto intending to be legally bound, agree as follows:</w:t>
      </w:r>
    </w:p>
    <w:p>
      <w:pPr>
        <w:pStyle w:val="TextBody"/>
        <w:bidi w:val="0"/>
        <w:spacing w:lineRule="auto" w:line="288" w:before="0" w:after="0"/>
        <w:ind w:left="0" w:right="0" w:firstLine="72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 w:hAnsi="Times New Roman"/>
          <w:b/>
          <w:spacing w:val="-2"/>
          <w:sz w:val="20"/>
        </w:rPr>
      </w:pPr>
      <w:r>
        <w:rPr>
          <w:rFonts w:ascii="Times New Roman" w:hAnsi="Times New Roman"/>
          <w:b/>
          <w:spacing w:val="-2"/>
          <w:sz w:val="20"/>
        </w:rPr>
        <w:t>1.  TERMINATION.</w:t>
      </w:r>
    </w:p>
    <w:p>
      <w:pPr>
        <w:pStyle w:val="TextBody"/>
        <w:bidi w:val="0"/>
        <w:spacing w:lineRule="auto" w:line="288" w:before="240" w:after="0"/>
        <w:ind w:left="0" w:right="0" w:firstLine="480"/>
        <w:jc w:val="left"/>
        <w:rPr>
          <w:rFonts w:ascii="times new roman;times" w:hAnsi="times new roman;times"/>
          <w:sz w:val="20"/>
        </w:rPr>
      </w:pPr>
      <w:r>
        <w:rPr>
          <w:rFonts w:ascii="Times New Roman" w:hAnsi="Times New Roman"/>
          <w:i w:val="false"/>
          <w:caps w:val="false"/>
          <w:smallCaps w:val="false"/>
          <w:sz w:val="20"/>
        </w:rPr>
        <w:t>A</w:t>
      </w:r>
      <w:r>
        <w:rPr>
          <w:rFonts w:ascii="Times New Roman" w:hAnsi="Times New Roman"/>
          <w:b/>
          <w:i w:val="false"/>
          <w:caps w:val="false"/>
          <w:smallCaps w:val="false"/>
          <w:sz w:val="20"/>
        </w:rPr>
        <w:t>.</w:t>
      </w:r>
      <w:r>
        <w:rPr>
          <w:rFonts w:ascii="times new roman;times" w:hAnsi="times new roman;times"/>
          <w:caps w:val="false"/>
          <w:smallCaps w:val="false"/>
          <w:sz w:val="20"/>
        </w:rPr>
        <w:t xml:space="preserve">        </w:t>
      </w:r>
      <w:r>
        <w:rPr>
          <w:rFonts w:ascii="Times New Roman" w:hAnsi="Times New Roman"/>
          <w:sz w:val="20"/>
          <w:u w:val="single"/>
        </w:rPr>
        <w:t>Termination of Possession</w:t>
      </w:r>
      <w:r>
        <w:rPr>
          <w:rFonts w:ascii="Times New Roman" w:hAnsi="Times New Roman"/>
          <w:strike w:val="false"/>
          <w:dstrike w:val="false"/>
          <w:sz w:val="20"/>
          <w:u w:val="none"/>
          <w:effect w:val="none"/>
        </w:rPr>
        <w:t>. </w:t>
      </w:r>
      <w:r>
        <w:rPr>
          <w:rFonts w:ascii="times new roman;times" w:hAnsi="times new roman;times"/>
          <w:sz w:val="20"/>
        </w:rPr>
        <w:t>Landlord and Tenant acknowledge and agree that Tenant has permanently vacated the Premises and Tenant has surrendered possession of the Premises to Landlord. Tenant and Landlord agree that upon payment and performance under this Agreement, Tenant’s Term for the Lease will expire and terminate as of March 31, 2026.</w:t>
      </w:r>
    </w:p>
    <w:p>
      <w:pPr>
        <w:pStyle w:val="TextBody"/>
        <w:bidi w:val="0"/>
        <w:spacing w:lineRule="auto" w:line="288" w:before="200" w:after="200"/>
        <w:ind w:left="0" w:right="0" w:firstLine="480"/>
        <w:jc w:val="left"/>
        <w:rPr>
          <w:rFonts w:ascii="times new roman;times" w:hAnsi="times new roman;times"/>
          <w:sz w:val="20"/>
        </w:rPr>
      </w:pPr>
      <w:r>
        <w:rPr>
          <w:rFonts w:ascii="Times New Roman" w:hAnsi="Times New Roman"/>
          <w:i w:val="false"/>
          <w:caps w:val="false"/>
          <w:smallCaps w:val="false"/>
          <w:sz w:val="20"/>
        </w:rPr>
        <w:t>B.</w:t>
      </w:r>
      <w:r>
        <w:rPr>
          <w:rFonts w:ascii="times new roman;times" w:hAnsi="times new roman;times"/>
          <w:caps w:val="false"/>
          <w:smallCaps w:val="false"/>
          <w:sz w:val="20"/>
        </w:rPr>
        <w:t xml:space="preserve">        </w:t>
      </w:r>
      <w:r>
        <w:rPr>
          <w:rFonts w:ascii="Times New Roman" w:hAnsi="Times New Roman"/>
          <w:sz w:val="20"/>
          <w:u w:val="single"/>
        </w:rPr>
        <w:t>Termination Settlement Payment</w:t>
      </w:r>
      <w:r>
        <w:rPr>
          <w:rFonts w:ascii="Times New Roman" w:hAnsi="Times New Roman"/>
          <w:strike w:val="false"/>
          <w:dstrike w:val="false"/>
          <w:sz w:val="20"/>
          <w:u w:val="none"/>
          <w:effect w:val="none"/>
        </w:rPr>
        <w:t>. </w:t>
      </w:r>
      <w:r>
        <w:rPr>
          <w:rFonts w:ascii="times new roman;times" w:hAnsi="times new roman;times"/>
          <w:sz w:val="20"/>
        </w:rPr>
        <w:t xml:space="preserve">The Tenant agrees to pay to Landlord a compromised amount agreed to be due and payable for future Rent obligations and restoration charges due under the Lease for the Term ending April 30, 2028 in the amount of Three Hundred Thousand Dollars $300,000) (“Settlement Payment”), subject to any additional amounts provided herein. The Settlement Payment shall be paid to Landlord by wire transfer to Landlord on or before April 9, 2026. </w:t>
      </w:r>
    </w:p>
    <w:p>
      <w:pPr>
        <w:pStyle w:val="TextBody"/>
        <w:bidi w:val="0"/>
        <w:spacing w:lineRule="auto" w:line="288" w:before="0" w:after="0"/>
        <w:ind w:left="0" w:right="0" w:firstLine="480"/>
        <w:jc w:val="left"/>
        <w:rPr>
          <w:rFonts w:ascii="times new roman;times" w:hAnsi="times new roman;times"/>
          <w:sz w:val="20"/>
        </w:rPr>
      </w:pPr>
      <w:r>
        <w:rPr>
          <w:rFonts w:ascii="Times New Roman" w:hAnsi="Times New Roman"/>
          <w:i w:val="false"/>
          <w:caps w:val="false"/>
          <w:smallCaps w:val="false"/>
          <w:sz w:val="20"/>
        </w:rPr>
        <w:t>C.</w:t>
      </w:r>
      <w:r>
        <w:rPr>
          <w:rFonts w:ascii="times new roman;times" w:hAnsi="times new roman;times"/>
          <w:caps w:val="false"/>
          <w:smallCaps w:val="false"/>
          <w:sz w:val="20"/>
        </w:rPr>
        <w:t xml:space="preserve">        </w:t>
      </w:r>
      <w:r>
        <w:rPr>
          <w:rFonts w:ascii="Times New Roman" w:hAnsi="Times New Roman"/>
          <w:sz w:val="20"/>
          <w:u w:val="single"/>
        </w:rPr>
        <w:t>Tenant Abandonment of Furniture, Fixtures, and Equipment</w:t>
      </w:r>
      <w:r>
        <w:rPr>
          <w:rFonts w:ascii="Times New Roman" w:hAnsi="Times New Roman"/>
          <w:spacing w:val="-2"/>
          <w:sz w:val="20"/>
        </w:rPr>
        <w:t>. Tenant acknowledges that when it vacated the Premises, it has left some furniture, trade fixtures, wiring, equipment, and other Tenant Improvements (“FFE”) in the Premises and in the Server Room. Tenant acknowledges and agrees that all the FFE in the Premises as of the date of this Agreement is hereby conveyed and transferred to the Landlord as additional consideration for the Settlement Payment and that Tenant is not entitled to any credit on the Settlement Payment amount for such FFE.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480"/>
        <w:jc w:val="left"/>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firstLine="480"/>
        <w:jc w:val="left"/>
        <w:rPr>
          <w:rFonts w:ascii="Times New Roman" w:hAnsi="Times New Roman"/>
          <w:spacing w:val="-2"/>
          <w:sz w:val="20"/>
        </w:rPr>
      </w:pPr>
      <w:r>
        <w:rPr>
          <w:rFonts w:ascii="Times New Roman" w:hAnsi="Times New Roman"/>
          <w:spacing w:val="-2"/>
          <w:sz w:val="20"/>
        </w:rPr>
        <w:t>D.        </w:t>
      </w:r>
      <w:r>
        <w:rPr>
          <w:rFonts w:ascii="Times New Roman" w:hAnsi="Times New Roman"/>
          <w:spacing w:val="-2"/>
          <w:sz w:val="20"/>
          <w:u w:val="single"/>
        </w:rPr>
        <w:t>No Security Deposit</w:t>
      </w:r>
      <w:r>
        <w:rPr>
          <w:rFonts w:ascii="Times New Roman" w:hAnsi="Times New Roman"/>
          <w:spacing w:val="-2"/>
          <w:sz w:val="20"/>
        </w:rPr>
        <w:t>. Landlord and Tenant acknowledge and agree that no security deposit was made by Tenant for the Lease and therefore the Landlord has no security deposit refund owing to Tenant. </w:t>
      </w:r>
    </w:p>
    <w:p>
      <w:pPr>
        <w:pStyle w:val="TextBody"/>
        <w:bidi w:val="0"/>
        <w:spacing w:lineRule="auto" w:line="288" w:before="0" w:after="0"/>
        <w:ind w:left="0" w:right="0" w:firstLine="480"/>
        <w:jc w:val="left"/>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firstLine="480"/>
        <w:jc w:val="left"/>
        <w:rPr>
          <w:rFonts w:ascii="Times New Roman" w:hAnsi="Times New Roman"/>
          <w:spacing w:val="-2"/>
          <w:sz w:val="20"/>
        </w:rPr>
      </w:pPr>
      <w:r>
        <w:rPr>
          <w:rFonts w:ascii="Times New Roman" w:hAnsi="Times New Roman"/>
          <w:spacing w:val="-2"/>
          <w:sz w:val="20"/>
        </w:rPr>
        <w:t xml:space="preserve">E.        </w:t>
      </w:r>
      <w:r>
        <w:rPr>
          <w:rFonts w:ascii="Times New Roman" w:hAnsi="Times New Roman"/>
          <w:spacing w:val="-2"/>
          <w:sz w:val="20"/>
          <w:u w:val="single"/>
        </w:rPr>
        <w:t>Conditions To Effectiveness of this Agreement</w:t>
      </w:r>
      <w:r>
        <w:rPr>
          <w:rFonts w:ascii="Times New Roman" w:hAnsi="Times New Roman"/>
          <w:spacing w:val="-2"/>
          <w:sz w:val="20"/>
        </w:rPr>
        <w:t>. This Agreement and the releases and termination provided herein shall be effective upon (i) full execution of this Agreement by Landlord and Tenant, and (ii) payment in full to Landlord of the Settlement Payment payments and any other performances due under this Agreement.</w:t>
      </w:r>
    </w:p>
    <w:p>
      <w:pPr>
        <w:pStyle w:val="TextBody"/>
        <w:bidi w:val="0"/>
        <w:spacing w:lineRule="auto" w:line="288" w:before="0" w:after="0"/>
        <w:ind w:left="0" w:right="0" w:firstLine="480"/>
        <w:jc w:val="left"/>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firstLine="480"/>
        <w:jc w:val="left"/>
        <w:rPr>
          <w:rFonts w:ascii="Times New Roman" w:hAnsi="Times New Roman"/>
          <w:spacing w:val="-2"/>
          <w:sz w:val="20"/>
        </w:rPr>
      </w:pPr>
      <w:r>
        <w:rPr>
          <w:rFonts w:ascii="Times New Roman" w:hAnsi="Times New Roman"/>
          <w:spacing w:val="-2"/>
          <w:sz w:val="20"/>
        </w:rPr>
        <w:t>F.         </w:t>
      </w:r>
      <w:r>
        <w:rPr>
          <w:rFonts w:ascii="Times New Roman" w:hAnsi="Times New Roman"/>
          <w:spacing w:val="-2"/>
          <w:sz w:val="20"/>
          <w:u w:val="single"/>
        </w:rPr>
        <w:t>Release of Interest</w:t>
      </w:r>
      <w:r>
        <w:rPr>
          <w:rFonts w:ascii="Times New Roman" w:hAnsi="Times New Roman"/>
          <w:spacing w:val="-2"/>
          <w:sz w:val="20"/>
        </w:rPr>
        <w:t>. Except as set forth herein, upon Landlord’s timely receipt of the Settlement Payment, all of Tenant’s right, title, and interest in the Premises shall be automatically surrendered, quitclaimed and transferred to Landlord, without further act of Tenant or Landlord, and free and clear of all claims, security interests, and encumbrances created by or through Tenant or its assigns. </w:t>
      </w:r>
    </w:p>
    <w:p>
      <w:pPr>
        <w:pStyle w:val="TextBody"/>
        <w:bidi w:val="0"/>
        <w:spacing w:lineRule="auto" w:line="288" w:before="0" w:after="0"/>
        <w:ind w:left="0" w:right="0" w:firstLine="480"/>
        <w:jc w:val="left"/>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firstLine="480"/>
        <w:jc w:val="left"/>
        <w:rPr>
          <w:rFonts w:ascii="Times New Roman" w:hAnsi="Times New Roman"/>
          <w:spacing w:val="-2"/>
          <w:sz w:val="20"/>
        </w:rPr>
      </w:pPr>
      <w:r>
        <w:rPr>
          <w:rFonts w:ascii="Times New Roman" w:hAnsi="Times New Roman"/>
          <w:spacing w:val="-2"/>
          <w:sz w:val="20"/>
        </w:rPr>
        <w:t>G.          </w:t>
      </w:r>
      <w:r>
        <w:rPr>
          <w:rFonts w:ascii="Times New Roman" w:hAnsi="Times New Roman"/>
          <w:spacing w:val="-2"/>
          <w:sz w:val="20"/>
          <w:u w:val="single"/>
        </w:rPr>
        <w:t>Tenant Personal Property Tax</w:t>
      </w:r>
      <w:r>
        <w:rPr>
          <w:rFonts w:ascii="Times New Roman" w:hAnsi="Times New Roman"/>
          <w:spacing w:val="-2"/>
          <w:sz w:val="20"/>
        </w:rPr>
        <w:t>. Tenant shall remain liable for all taxes arising in connection with any personal property in the Premises including that personal property abandoned upon Tenant’s vacating the Premises.</w:t>
      </w:r>
    </w:p>
    <w:p>
      <w:pPr>
        <w:pStyle w:val="TextBody"/>
        <w:bidi w:val="0"/>
        <w:spacing w:lineRule="auto" w:line="288" w:before="0" w:after="0"/>
        <w:ind w:left="0" w:right="0" w:firstLine="480"/>
        <w:jc w:val="left"/>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hanging="0"/>
        <w:jc w:val="left"/>
        <w:rPr>
          <w:rFonts w:ascii="Times New Roman" w:hAnsi="Times New Roman"/>
          <w:b/>
          <w:spacing w:val="-2"/>
          <w:sz w:val="20"/>
        </w:rPr>
      </w:pPr>
      <w:r>
        <w:rPr>
          <w:rFonts w:ascii="Times New Roman" w:hAnsi="Times New Roman"/>
          <w:b/>
          <w:spacing w:val="-2"/>
          <w:sz w:val="20"/>
        </w:rPr>
        <w:t>2.  REPRESENTATIONS AND WARRANTIES.</w:t>
      </w:r>
    </w:p>
    <w:p>
      <w:pPr>
        <w:pStyle w:val="TextBody"/>
        <w:bidi w:val="0"/>
        <w:spacing w:lineRule="auto" w:line="288" w:before="0" w:after="0"/>
        <w:ind w:left="0" w:right="0" w:hanging="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0" w:right="0" w:hanging="0"/>
        <w:jc w:val="left"/>
        <w:rPr/>
      </w:pPr>
      <w:r>
        <w:rPr>
          <w:caps w:val="false"/>
          <w:smallCaps w:val="false"/>
        </w:rPr>
        <w:t>           </w:t>
      </w:r>
      <w:r>
        <w:rPr>
          <w:rFonts w:ascii="Times New Roman" w:hAnsi="Times New Roman"/>
          <w:b w:val="false"/>
          <w:i w:val="false"/>
          <w:caps w:val="false"/>
          <w:smallCaps w:val="false"/>
          <w:sz w:val="20"/>
        </w:rPr>
        <w:t>A        </w:t>
      </w:r>
      <w:r>
        <w:rPr>
          <w:rFonts w:ascii="times new roman;times" w:hAnsi="times new roman;times"/>
          <w:sz w:val="20"/>
          <w:u w:val="single"/>
        </w:rPr>
        <w:t>Authorization/Reasonably Equivalent Value</w:t>
      </w:r>
      <w:r>
        <w:rPr>
          <w:rFonts w:ascii="times new roman;times" w:hAnsi="times new roman;times"/>
          <w:sz w:val="20"/>
        </w:rPr>
        <w:t>: Tenant represents and warrants: (i) that Tenant was not acting under any misapprehension as to the effect of this Agreement, and acted freely and voluntarily and was not acting under any coercion or duress; (ii) that the execution of this Agreement was duly authorized by Tenant; and (iii) that Tenant believed and now believes that the consideration given by each Party for this Agreement represents reasonably equivalent value.</w:t>
      </w:r>
    </w:p>
    <w:p>
      <w:pPr>
        <w:pStyle w:val="TextBody"/>
        <w:bidi w:val="0"/>
        <w:spacing w:lineRule="auto" w:line="288" w:before="0" w:after="0"/>
        <w:ind w:left="0" w:right="0" w:hanging="0"/>
        <w:jc w:val="left"/>
        <w:rPr>
          <w:sz w:val="20"/>
        </w:rPr>
      </w:pPr>
      <w:r>
        <w:rPr>
          <w:sz w:val="20"/>
        </w:rPr>
      </w:r>
    </w:p>
    <w:p>
      <w:pPr>
        <w:pStyle w:val="TextBody"/>
        <w:bidi w:val="0"/>
        <w:spacing w:lineRule="auto" w:line="288" w:before="0" w:after="0"/>
        <w:ind w:left="0" w:right="0" w:hanging="0"/>
        <w:jc w:val="left"/>
        <w:rPr/>
      </w:pPr>
      <w:r>
        <w:rPr/>
        <w:t>           </w:t>
      </w:r>
      <w:r>
        <w:rPr>
          <w:rFonts w:ascii="Times New Roman" w:hAnsi="Times New Roman"/>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u w:val="single"/>
        </w:rPr>
        <w:t>Agreement Improves Tenant’s Financial Position</w:t>
      </w:r>
      <w:r>
        <w:rPr>
          <w:rFonts w:ascii="Times New Roman" w:hAnsi="Times New Roman"/>
          <w:sz w:val="20"/>
        </w:rPr>
        <w:t>: Tenant represents and warrants that the completion of this Agreement will enhance Tenant’s overall financial position and condition and that Tenant has proffered and requested this Agreement to improve its financial position.</w:t>
      </w:r>
    </w:p>
    <w:p>
      <w:pPr>
        <w:pStyle w:val="TextBody"/>
        <w:bidi w:val="0"/>
        <w:spacing w:lineRule="auto" w:line="288" w:before="0" w:after="0"/>
        <w:ind w:left="0" w:right="0" w:hanging="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widowControl/>
        <w:bidi w:val="0"/>
        <w:spacing w:lineRule="auto" w:line="288" w:before="0" w:after="0"/>
        <w:ind w:left="0" w:right="0" w:firstLine="1080"/>
        <w:jc w:val="left"/>
        <w:rPr/>
      </w:pPr>
      <w:r>
        <w:rPr>
          <w:caps w:val="false"/>
          <w:smallCaps w:val="false"/>
        </w:rPr>
        <w:t>           </w:t>
      </w:r>
      <w:r>
        <w:rPr>
          <w:rFonts w:ascii="Times New Roman" w:hAnsi="Times New Roman"/>
          <w:i w:val="false"/>
          <w:caps w:val="false"/>
          <w:smallCaps w:val="false"/>
          <w:sz w:val="20"/>
        </w:rPr>
        <w:t>C</w:t>
      </w:r>
      <w:r>
        <w:rPr>
          <w:rFonts w:ascii="Times New Roman" w:hAnsi="Times New Roman"/>
          <w:caps w:val="false"/>
          <w:smallCaps w:val="false"/>
          <w:sz w:val="20"/>
        </w:rPr>
        <w:t>      </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u w:val="single"/>
        </w:rPr>
        <w:t>No Third Party Contacts</w:t>
      </w:r>
      <w:r>
        <w:rPr>
          <w:rFonts w:ascii="Times New Roman" w:hAnsi="Times New Roman"/>
          <w:b w:val="false"/>
          <w:i w:val="false"/>
          <w:caps w:val="false"/>
          <w:smallCaps w:val="false"/>
          <w:color w:val="000000"/>
          <w:spacing w:val="0"/>
          <w:sz w:val="20"/>
        </w:rPr>
        <w:t>. Tenant represents and warrants that it has not shown the Premises or given any information about the Premises to any potential tenant, subtenant, or broker and therefore no other person is entitled to any rights or commissions for the Lease or Premises or any assignment of the Lease or sublease. Tenant agrees to hold harmless and indemnify Landlord for any claims of any person for any rights, entitlements, or commissions for the Lease or the Premises.</w:t>
      </w:r>
    </w:p>
    <w:p>
      <w:pPr>
        <w:pStyle w:val="TextBody"/>
        <w:bidi w:val="0"/>
        <w:spacing w:lineRule="auto" w:line="288" w:before="0" w:after="0"/>
        <w:ind w:left="0" w:right="0" w:hanging="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0" w:right="0" w:hanging="0"/>
        <w:jc w:val="left"/>
        <w:rPr>
          <w:rFonts w:ascii="Times New Roman" w:hAnsi="Times New Roman"/>
          <w:b/>
          <w:i w:val="false"/>
          <w:caps w:val="false"/>
          <w:smallCaps w:val="false"/>
          <w:sz w:val="20"/>
        </w:rPr>
      </w:pPr>
      <w:r>
        <w:rPr>
          <w:rFonts w:ascii="Times New Roman" w:hAnsi="Times New Roman"/>
          <w:b/>
          <w:i w:val="false"/>
          <w:caps w:val="false"/>
          <w:smallCaps w:val="false"/>
          <w:sz w:val="20"/>
        </w:rPr>
        <w:t>3.  MUTAL RELEASES</w:t>
      </w:r>
    </w:p>
    <w:p>
      <w:pPr>
        <w:pStyle w:val="TextBody"/>
        <w:bidi w:val="0"/>
        <w:spacing w:lineRule="auto" w:line="288" w:before="0" w:after="0"/>
        <w:ind w:left="0" w:right="0" w:hanging="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0" w:right="0" w:hanging="0"/>
        <w:jc w:val="left"/>
        <w:rPr/>
      </w:pPr>
      <w:r>
        <w:rPr>
          <w:caps w:val="false"/>
          <w:smallCaps w:val="false"/>
        </w:rPr>
        <w:t xml:space="preserve">        </w:t>
      </w:r>
      <w:r>
        <w:rPr>
          <w:rFonts w:ascii="Times New Roman" w:hAnsi="Times New Roman"/>
          <w:i w:val="false"/>
          <w:caps w:val="false"/>
          <w:smallCaps w:val="false"/>
          <w:sz w:val="20"/>
        </w:rPr>
        <w:t>A.</w:t>
      </w:r>
      <w:r>
        <w:rPr>
          <w:rFonts w:ascii="times new roman;times" w:hAnsi="times new roman;times"/>
          <w:caps w:val="false"/>
          <w:smallCaps w:val="false"/>
          <w:sz w:val="20"/>
        </w:rPr>
        <w:t>       </w:t>
      </w:r>
      <w:r>
        <w:rPr>
          <w:rFonts w:ascii="times new roman;times" w:hAnsi="times new roman;times"/>
          <w:sz w:val="20"/>
        </w:rPr>
        <w:t> </w:t>
      </w:r>
      <w:r>
        <w:rPr>
          <w:rFonts w:ascii="Times New Roman" w:hAnsi="Times New Roman"/>
          <w:sz w:val="20"/>
          <w:u w:val="single"/>
        </w:rPr>
        <w:t>Landlord’s Unconditional Release of Tenant</w:t>
      </w:r>
      <w:r>
        <w:rPr>
          <w:rFonts w:ascii="Times New Roman" w:hAnsi="Times New Roman"/>
          <w:sz w:val="20"/>
        </w:rPr>
        <w:t>. Effective upon Landlord’s receipt of the full amount of payments and performance of all terms and conditions of this Agreement, Landlord, for itself and on behalf of all persons or parties claiming by, through or under it, including any successors, heirs and/or assigns, forever releases and discharges Tenant from any and all further rights, claims, liabilities, and demands of every kind and character, whether in law or in equity, known or unknown, suspected or unsuspected, fixed or contingent, arising from the Lease and this Agreement.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pPr>
      <w:r>
        <w:rPr/>
        <w:t xml:space="preserve">        </w:t>
      </w:r>
      <w:r>
        <w:rPr>
          <w:rFonts w:ascii="Times New Roman" w:hAnsi="Times New Roman"/>
          <w:sz w:val="20"/>
        </w:rPr>
        <w:t>B.        </w:t>
      </w:r>
      <w:r>
        <w:rPr>
          <w:rFonts w:ascii="Times New Roman" w:hAnsi="Times New Roman"/>
          <w:sz w:val="20"/>
          <w:u w:val="single"/>
        </w:rPr>
        <w:t>Tenant’s Unconditional Release of Landlord</w:t>
      </w:r>
      <w:r>
        <w:rPr>
          <w:rFonts w:ascii="Times New Roman" w:hAnsi="Times New Roman"/>
          <w:sz w:val="20"/>
        </w:rPr>
        <w:t>. Effective upon the fulfillment of all conditions to the effectiveness of this Agreement herein, Tenant, for itself and on behalf of all persons or parties claiming by, through or under it, including any successors, heirs and/or assigns, forever releases and discharges Landlord from any and all rights, claims, liabilities and demands of every kind and character, whether in law or in equity, known or unknown, suspected or unsuspected, fixed or contingent, in any way related to or arising from the Lease and this Agreement. Not by way of limitation of the foregoing, Tenant represents that Landlord has not failed to perform, and is not in any respect in default or otherwise liable in the performance of, any of its obligations under the Lease, nor in connection with the negotiation and execution of the Lease, the administration of the Lease, and the leasing, operations, or management of the Building.</w:t>
      </w:r>
    </w:p>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GENERAL</w:t>
      </w:r>
    </w:p>
    <w:p>
      <w:pPr>
        <w:pStyle w:val="TextBody"/>
        <w:bidi w:val="0"/>
        <w:spacing w:lineRule="auto" w:line="288" w:before="0" w:after="0"/>
        <w:ind w:left="0" w:right="0" w:hanging="0"/>
        <w:jc w:val="left"/>
        <w:rPr>
          <w:caps w:val="false"/>
          <w:smallCaps w:val="false"/>
        </w:rPr>
      </w:pPr>
      <w:r>
        <w:rPr>
          <w:caps w:val="false"/>
          <w:smallCaps w:val="false"/>
        </w:rPr>
        <w:t xml:space="preserve">  </w:t>
      </w:r>
    </w:p>
    <w:p>
      <w:pPr>
        <w:pStyle w:val="TextBody"/>
        <w:bidi w:val="0"/>
        <w:spacing w:lineRule="auto" w:line="288" w:before="0" w:after="0"/>
        <w:ind w:left="0" w:right="0" w:hanging="0"/>
        <w:jc w:val="left"/>
        <w:rPr/>
      </w:pPr>
      <w:r>
        <w:rPr>
          <w:caps w:val="false"/>
          <w:smallCaps w:val="false"/>
        </w:rPr>
        <w:t>       </w:t>
      </w:r>
      <w:r>
        <w:rPr>
          <w:rFonts w:ascii="Times New Roman" w:hAnsi="Times New Roman"/>
          <w:i w:val="false"/>
          <w:caps w:val="false"/>
          <w:smallCaps w:val="false"/>
          <w:sz w:val="20"/>
        </w:rPr>
        <w:t>A.</w:t>
      </w:r>
      <w:r>
        <w:rPr>
          <w:rFonts w:ascii="times new roman;times" w:hAnsi="times new roman;times"/>
          <w:caps w:val="false"/>
          <w:smallCaps w:val="false"/>
          <w:sz w:val="20"/>
        </w:rPr>
        <w:t>     </w:t>
      </w:r>
      <w:r>
        <w:rPr>
          <w:rFonts w:ascii="times new roman;times" w:hAnsi="times new roman;times"/>
          <w:sz w:val="20"/>
        </w:rPr>
        <w:t> </w:t>
      </w:r>
      <w:r>
        <w:rPr>
          <w:rFonts w:ascii="Times New Roman" w:hAnsi="Times New Roman"/>
          <w:sz w:val="20"/>
          <w:u w:val="single"/>
        </w:rPr>
        <w:t>Counterparts</w:t>
      </w:r>
      <w:r>
        <w:rPr>
          <w:rFonts w:ascii="Times New Roman" w:hAnsi="Times New Roman"/>
          <w:sz w:val="20"/>
        </w:rPr>
        <w:t>. If this Agreement is executed in counterparts, each is hereby declared to be an original; all, however, shall constitute but one and the same amendment. In any action or proceeding, any photographic, photostatic, or other copy of this Agreement may be introduced into evidence without foundation. The Parties agree to accept a digital image (including but not limited to an image in the form of a PDF or other e-signature) of this Agreement, if applicable, reflecting the execution of one or both of the Parties, as a true and correct original.</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pPr>
      <w:r>
        <w:rPr/>
        <w:t xml:space="preserve">      </w:t>
      </w:r>
      <w:r>
        <w:rPr>
          <w:rFonts w:ascii="Times New Roman" w:hAnsi="Times New Roman"/>
          <w:sz w:val="20"/>
        </w:rPr>
        <w:t>B.      </w:t>
      </w:r>
      <w:r>
        <w:rPr>
          <w:rFonts w:ascii="Times New Roman" w:hAnsi="Times New Roman"/>
          <w:sz w:val="20"/>
          <w:u w:val="single"/>
        </w:rPr>
        <w:t>Defined Terms</w:t>
      </w:r>
      <w:r>
        <w:rPr>
          <w:rFonts w:ascii="Times New Roman" w:hAnsi="Times New Roman"/>
          <w:sz w:val="20"/>
        </w:rPr>
        <w:t>. All capitalized terms in this Agreement which are not defined in this Agreement shall have the same meaning in this Agreement as in the Lease.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pPr>
      <w:r>
        <w:rPr/>
        <w:t xml:space="preserve">      </w:t>
      </w:r>
      <w:r>
        <w:rPr>
          <w:rFonts w:ascii="Times New Roman" w:hAnsi="Times New Roman"/>
          <w:sz w:val="20"/>
        </w:rPr>
        <w:t>C.       </w:t>
      </w:r>
      <w:r>
        <w:rPr>
          <w:rFonts w:ascii="Times New Roman" w:hAnsi="Times New Roman"/>
          <w:sz w:val="20"/>
          <w:u w:val="single"/>
        </w:rPr>
        <w:t>Attorneys' Fees</w:t>
      </w:r>
      <w:r>
        <w:rPr>
          <w:rFonts w:ascii="Times New Roman" w:hAnsi="Times New Roman"/>
          <w:sz w:val="20"/>
        </w:rPr>
        <w:t>. In the event that either Party is required to enforce the terms of this Agreement in a court of appropriate jurisdiction, then the prevailing Party shall be entitled to the recovery of attorney's fees and court costs.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pPr>
      <w:r>
        <w:rPr/>
        <w:t xml:space="preserve">      </w:t>
      </w:r>
      <w:r>
        <w:rPr>
          <w:rFonts w:ascii="Times New Roman" w:hAnsi="Times New Roman"/>
          <w:sz w:val="20"/>
        </w:rPr>
        <w:t>D.     </w:t>
      </w:r>
      <w:r>
        <w:rPr>
          <w:rFonts w:ascii="Times New Roman" w:hAnsi="Times New Roman"/>
          <w:sz w:val="20"/>
          <w:u w:val="single"/>
        </w:rPr>
        <w:t>Nondisclosure of Agreement Terms</w:t>
      </w:r>
      <w:r>
        <w:rPr>
          <w:rFonts w:ascii="Times New Roman" w:hAnsi="Times New Roman"/>
          <w:sz w:val="20"/>
        </w:rPr>
        <w:t>. Landlord and Tenant acknowledge that the contents of this Agreement, and any related documents are confidential information. Except to the extent disclosure is required by law, Landlord and Tenant shall each keep such confidential information strictly confidential and shall not disclose such confidential information to any person or entity other than to its respective financial, and legal consultants, provided, however, that Tenant may disclose the terms pursuant to any applicable legal requirements.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pPr>
      <w:r>
        <w:rPr/>
        <w:t xml:space="preserve">      </w:t>
      </w:r>
      <w:r>
        <w:rPr>
          <w:rFonts w:ascii="Times New Roman" w:hAnsi="Times New Roman"/>
          <w:sz w:val="20"/>
        </w:rPr>
        <w:t>E .      </w:t>
      </w:r>
      <w:r>
        <w:rPr>
          <w:rFonts w:ascii="Times New Roman" w:hAnsi="Times New Roman"/>
          <w:sz w:val="20"/>
          <w:u w:val="single"/>
        </w:rPr>
        <w:t>Incorporation of Recitals</w:t>
      </w:r>
      <w:r>
        <w:rPr>
          <w:rFonts w:ascii="Times New Roman" w:hAnsi="Times New Roman"/>
          <w:sz w:val="20"/>
        </w:rPr>
        <w:t>. The above Recitals are true, accurate and correct and are a substantive part of and incorporated into this Agreement.</w:t>
      </w:r>
    </w:p>
    <w:p>
      <w:pPr>
        <w:pStyle w:val="TextBody"/>
        <w:bidi w:val="0"/>
        <w:spacing w:lineRule="auto" w:line="288" w:before="0" w:after="0"/>
        <w:ind w:left="0" w:right="0" w:hanging="0"/>
        <w:jc w:val="left"/>
        <w:rPr/>
      </w:pPr>
      <w:r>
        <w:rPr/>
        <w:t>     </w:t>
      </w:r>
      <w:r>
        <w:rPr>
          <w:rFonts w:ascii="Times New Roman" w:hAnsi="Times New Roman"/>
          <w:sz w:val="20"/>
        </w:rPr>
        <w:br/>
        <w:t>      F.        </w:t>
      </w:r>
      <w:r>
        <w:rPr>
          <w:rFonts w:ascii="Times New Roman" w:hAnsi="Times New Roman"/>
          <w:sz w:val="20"/>
          <w:u w:val="single"/>
        </w:rPr>
        <w:t>Time of Essence</w:t>
      </w:r>
      <w:r>
        <w:rPr>
          <w:rFonts w:ascii="Times New Roman" w:hAnsi="Times New Roman"/>
          <w:sz w:val="20"/>
        </w:rPr>
        <w:t>. Time is of the essence of each term, covenant, condition and obligation of this Agreement.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pPr>
      <w:r>
        <w:rPr/>
        <w:t xml:space="preserve">      </w:t>
      </w:r>
      <w:r>
        <w:rPr>
          <w:rFonts w:ascii="Times New Roman" w:hAnsi="Times New Roman"/>
          <w:sz w:val="20"/>
        </w:rPr>
        <w:t>G.       </w:t>
      </w:r>
      <w:r>
        <w:rPr>
          <w:rFonts w:ascii="Times New Roman" w:hAnsi="Times New Roman"/>
          <w:sz w:val="20"/>
          <w:u w:val="single"/>
        </w:rPr>
        <w:t>Entire Agreement</w:t>
      </w:r>
      <w:r>
        <w:rPr>
          <w:rFonts w:ascii="Times New Roman" w:hAnsi="Times New Roman"/>
          <w:sz w:val="20"/>
        </w:rPr>
        <w:t>. This Agreement constitutes the entire agreement between Landlord and Tenant for the subject matter hereof and may not be modified or amended except by written agreement between Landlord and Tenant. This Agreement may not be contradicted by evidence of any alleged oral agreement.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pPr>
      <w:r>
        <w:rPr/>
        <w:t>       </w:t>
      </w:r>
      <w:r>
        <w:rPr>
          <w:rFonts w:ascii="Times New Roman" w:hAnsi="Times New Roman"/>
          <w:sz w:val="20"/>
        </w:rPr>
        <w:t>H.      </w:t>
      </w:r>
      <w:r>
        <w:rPr>
          <w:rFonts w:ascii="Times New Roman" w:hAnsi="Times New Roman"/>
          <w:sz w:val="20"/>
          <w:u w:val="single"/>
        </w:rPr>
        <w:t>Binding Effect</w:t>
      </w:r>
      <w:r>
        <w:rPr>
          <w:rFonts w:ascii="Times New Roman" w:hAnsi="Times New Roman"/>
          <w:sz w:val="20"/>
        </w:rPr>
        <w:t>. Once effective, this Agreement shall be binding upon and inure to the benefit of each of Landlord and Tenant and their respective assigns and successors in interest.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pPr>
      <w:r>
        <w:rPr/>
        <w:t xml:space="preserve">        </w:t>
      </w:r>
      <w:r>
        <w:rPr>
          <w:rFonts w:ascii="Times New Roman" w:hAnsi="Times New Roman"/>
          <w:sz w:val="20"/>
        </w:rPr>
        <w:t xml:space="preserve">I.      </w:t>
      </w:r>
      <w:r>
        <w:rPr>
          <w:rFonts w:ascii="Times New Roman" w:hAnsi="Times New Roman"/>
          <w:sz w:val="20"/>
          <w:u w:val="single"/>
        </w:rPr>
        <w:t>Governing Law; Jurisdiction; Jury Waiver</w:t>
      </w:r>
      <w:r>
        <w:rPr>
          <w:rFonts w:ascii="Times New Roman" w:hAnsi="Times New Roman"/>
          <w:sz w:val="20"/>
        </w:rPr>
        <w:t>. This Agreement shall be governed by and construed in accordance with the laws of the State of Utah without regard to conflict of laws principles thereof. All matters or disputes relating to or arising out of this Agreement shall be heard exclusively in the state and federal courts in Salt Lake County, Utah and such courts shall have the exclusive and mandatory jurisdiction and venue. Tenant hereby waives all rights to a trial by jury.</w:t>
      </w:r>
    </w:p>
    <w:p>
      <w:pPr>
        <w:pStyle w:val="TextBody"/>
        <w:bidi w:val="0"/>
        <w:spacing w:lineRule="auto" w:line="288"/>
        <w:jc w:val="left"/>
        <w:rPr/>
      </w:pPr>
      <w:r>
        <w:rPr/>
      </w:r>
    </w:p>
    <w:p>
      <w:pPr>
        <w:pStyle w:val="TextBody"/>
        <w:bidi w:val="0"/>
        <w:spacing w:lineRule="auto" w:line="288" w:before="0" w:after="0"/>
        <w:ind w:left="0" w:right="0" w:hanging="0"/>
        <w:jc w:val="left"/>
        <w:rPr/>
      </w:pPr>
      <w:r>
        <w:rPr/>
        <w:t>       </w:t>
      </w:r>
      <w:r>
        <w:rPr>
          <w:rFonts w:ascii="Times New Roman" w:hAnsi="Times New Roman"/>
          <w:sz w:val="20"/>
        </w:rPr>
        <w:t>J.       </w:t>
      </w:r>
      <w:r>
        <w:rPr>
          <w:rFonts w:ascii="Times New Roman" w:hAnsi="Times New Roman"/>
          <w:sz w:val="20"/>
          <w:u w:val="single"/>
        </w:rPr>
        <w:t>Default</w:t>
      </w:r>
      <w:r>
        <w:rPr>
          <w:rFonts w:ascii="Times New Roman" w:hAnsi="Times New Roman"/>
          <w:sz w:val="20"/>
        </w:rPr>
        <w:t>. If Tenant defaults in the payment of any of payments and performance obligations of this Agreement, time being the essence hereof, or in any other term or condition of this Agreement, then, notwithstanding anything to the contrary in this Agreement, the entire unpaid balance of unpaid amounts due and owing under this Agreement and the Lease, shall, at the election of the Landlord and without notice of such election, become immediately due and payable in full. Upon any default under this Agreement Landlord may exercise any and all rights available in law or in equity.</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pPr>
      <w:r>
        <w:rPr/>
        <w:t>       </w:t>
      </w:r>
      <w:r>
        <w:rPr>
          <w:rFonts w:ascii="Times New Roman" w:hAnsi="Times New Roman"/>
          <w:sz w:val="20"/>
        </w:rPr>
        <w:t>K.      </w:t>
      </w:r>
      <w:r>
        <w:rPr>
          <w:rFonts w:ascii="Times New Roman" w:hAnsi="Times New Roman"/>
          <w:sz w:val="20"/>
          <w:u w:val="single"/>
        </w:rPr>
        <w:t>Waiver.</w:t>
      </w:r>
      <w:r>
        <w:rPr>
          <w:rFonts w:ascii="Times New Roman" w:hAnsi="Times New Roman"/>
          <w:sz w:val="20"/>
        </w:rPr>
        <w:t xml:space="preserve"> A waiver by either party or the failure of any party to take action for any breach of any term, covenant or condition of this Agreement shall not be deemed to be a waiver of such term, covenant or condition or subsequent breach of the same or any other term, covenant or condition of this Agreement.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pPr>
      <w:r>
        <w:rPr/>
        <w:t>       </w:t>
      </w:r>
      <w:r>
        <w:rPr>
          <w:rFonts w:ascii="Times New Roman" w:hAnsi="Times New Roman"/>
          <w:sz w:val="20"/>
        </w:rPr>
        <w:t>L .      </w:t>
      </w:r>
      <w:r>
        <w:rPr>
          <w:rFonts w:ascii="Times New Roman" w:hAnsi="Times New Roman"/>
          <w:sz w:val="20"/>
          <w:u w:val="single"/>
        </w:rPr>
        <w:t>No Third Party Beneficiary</w:t>
      </w:r>
      <w:r>
        <w:rPr>
          <w:rFonts w:ascii="Times New Roman" w:hAnsi="Times New Roman"/>
          <w:sz w:val="20"/>
        </w:rPr>
        <w:t>. This Agreement is made for the sole and exclusive benefit of the Landlord and Tenant and is not intended to benefit any third party, and no third party may claim any right or benefit or seek to enforce any provision of this Agreement.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pPr>
      <w:r>
        <w:rPr/>
        <w:t>       </w:t>
      </w:r>
      <w:r>
        <w:rPr>
          <w:rFonts w:ascii="Times New Roman" w:hAnsi="Times New Roman"/>
          <w:sz w:val="20"/>
        </w:rPr>
        <w:t>M.      </w:t>
      </w:r>
      <w:r>
        <w:rPr>
          <w:rFonts w:ascii="Times New Roman" w:hAnsi="Times New Roman"/>
          <w:sz w:val="20"/>
          <w:u w:val="single"/>
        </w:rPr>
        <w:t>Authority</w:t>
      </w:r>
      <w:r>
        <w:rPr>
          <w:rFonts w:ascii="Times New Roman" w:hAnsi="Times New Roman"/>
          <w:sz w:val="20"/>
        </w:rPr>
        <w:t>. Each Party signing below represents and warrants to the other Party that such Party is duly authorize to enter into this Agreement on behalf of such Party, and the person executing this Agreement on behalf of such Party has been duly authorized to execute and deliver this Agreement.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sz w:val="20"/>
        </w:rPr>
        <w:t>[Remainder of page intentionally blank. Signature page follows.]</w:t>
      </w:r>
    </w:p>
    <w:p>
      <w:pPr>
        <w:pStyle w:val="HorizontalLine"/>
        <w:bidi w:val="0"/>
        <w:spacing w:lineRule="auto" w:line="288"/>
        <w:jc w:val="left"/>
        <w:rPr/>
      </w:pPr>
      <w:r>
        <w:rPr/>
      </w:r>
    </w:p>
    <w:p>
      <w:pPr>
        <w:pStyle w:val="TextBody"/>
        <w:bidi w:val="0"/>
        <w:spacing w:lineRule="auto" w:line="288"/>
        <w:jc w:val="left"/>
        <w:rPr/>
      </w:pPr>
      <w:r>
        <w:rPr/>
      </w:r>
    </w:p>
    <w:p>
      <w:pPr>
        <w:pStyle w:val="TextBody"/>
        <w:widowControl w:val="false"/>
        <w:bidi w:val="0"/>
        <w:spacing w:lineRule="auto" w:line="14"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ind w:left="0" w:right="0" w:firstLine="489"/>
        <w:jc w:val="center"/>
        <w:rPr>
          <w:rFonts w:ascii="times new roman;times" w:hAnsi="times new roman;times"/>
          <w:sz w:val="20"/>
        </w:rPr>
      </w:pPr>
      <w:r>
        <w:rPr>
          <w:rFonts w:ascii="times new roman;times" w:hAnsi="times new roman;times"/>
          <w:sz w:val="20"/>
        </w:rPr>
        <w:t>Landlord and Tenant have executed this Agreement as of the day and year first written above</w:t>
      </w:r>
    </w:p>
    <w:p>
      <w:pPr>
        <w:pStyle w:val="TextBody"/>
        <w:widowControl w:val="false"/>
        <w:bidi w:val="0"/>
        <w:spacing w:lineRule="auto" w:line="288" w:before="1" w:after="0"/>
        <w:ind w:left="0" w:right="0" w:hanging="0"/>
        <w:jc w:val="left"/>
        <w:rPr/>
      </w:pPr>
      <w:r>
        <w:rPr/>
        <w:t> </w:t>
      </w:r>
    </w:p>
    <w:p>
      <w:pPr>
        <w:pStyle w:val="TextBody"/>
        <w:widowControl w:val="false"/>
        <w:bidi w:val="0"/>
        <w:spacing w:lineRule="auto" w:line="14"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18"/>
        <w:gridCol w:w="8894"/>
        <w:gridCol w:w="594"/>
        <w:gridCol w:w="599"/>
      </w:tblGrid>
      <w:tr>
        <w:trPr/>
        <w:tc>
          <w:tcPr>
            <w:tcW w:w="118" w:type="dxa"/>
            <w:tcBorders/>
            <w:vAlign w:val="center"/>
          </w:tcPr>
          <w:p>
            <w:pPr>
              <w:pStyle w:val="TableContents"/>
              <w:bidi w:val="0"/>
              <w:spacing w:before="0" w:after="283"/>
              <w:jc w:val="left"/>
              <w:rPr/>
            </w:pPr>
            <w:r>
              <w:rPr/>
            </w:r>
          </w:p>
        </w:tc>
        <w:tc>
          <w:tcPr>
            <w:tcW w:w="8894" w:type="dxa"/>
            <w:tcBorders/>
            <w:vAlign w:val="center"/>
          </w:tcPr>
          <w:p>
            <w:pPr>
              <w:pStyle w:val="TableContents"/>
              <w:bidi w:val="0"/>
              <w:spacing w:before="0" w:after="0"/>
              <w:ind w:left="0" w:right="0" w:hanging="0"/>
              <w:jc w:val="left"/>
              <w:rPr/>
            </w:pPr>
            <w:r>
              <w:rPr/>
              <w:t> </w:t>
            </w:r>
            <w:r>
              <w:rPr>
                <w:rFonts w:ascii="Times New Roman" w:hAnsi="Times New Roman"/>
                <w:b/>
                <w:sz w:val="20"/>
              </w:rPr>
              <w:t>TENANT</w:t>
            </w:r>
            <w:r>
              <w:rPr>
                <w:rFonts w:ascii="Times New Roman" w:hAnsi="Times New Roman"/>
                <w:sz w:val="20"/>
              </w:rPr>
              <w:t>:</w:t>
            </w:r>
          </w:p>
        </w:tc>
        <w:tc>
          <w:tcPr>
            <w:tcW w:w="594"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left"/>
              <w:rPr/>
            </w:pPr>
            <w:r>
              <w:rPr/>
              <w:t> </w:t>
            </w:r>
          </w:p>
        </w:tc>
      </w:tr>
      <w:tr>
        <w:trPr/>
        <w:tc>
          <w:tcPr>
            <w:tcW w:w="118" w:type="dxa"/>
            <w:tcBorders/>
            <w:vAlign w:val="center"/>
          </w:tcPr>
          <w:p>
            <w:pPr>
              <w:pStyle w:val="TableContents"/>
              <w:bidi w:val="0"/>
              <w:spacing w:before="0" w:after="283"/>
              <w:jc w:val="left"/>
              <w:rPr/>
            </w:pPr>
            <w:r>
              <w:rPr/>
            </w:r>
          </w:p>
        </w:tc>
        <w:tc>
          <w:tcPr>
            <w:tcW w:w="10087" w:type="dxa"/>
            <w:gridSpan w:val="3"/>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CLEARONE, INC.,</w:t>
            </w:r>
          </w:p>
        </w:tc>
      </w:tr>
      <w:tr>
        <w:trPr/>
        <w:tc>
          <w:tcPr>
            <w:tcW w:w="118" w:type="dxa"/>
            <w:tcBorders/>
            <w:vAlign w:val="center"/>
          </w:tcPr>
          <w:p>
            <w:pPr>
              <w:pStyle w:val="TableContents"/>
              <w:bidi w:val="0"/>
              <w:spacing w:before="0" w:after="283"/>
              <w:jc w:val="left"/>
              <w:rPr/>
            </w:pPr>
            <w:r>
              <w:rPr/>
            </w:r>
          </w:p>
        </w:tc>
        <w:tc>
          <w:tcPr>
            <w:tcW w:w="10087" w:type="dxa"/>
            <w:gridSpan w:val="3"/>
            <w:tcBorders/>
            <w:vAlign w:val="center"/>
          </w:tcPr>
          <w:p>
            <w:pPr>
              <w:pStyle w:val="TableContents"/>
              <w:bidi w:val="0"/>
              <w:spacing w:before="0" w:after="0"/>
              <w:ind w:left="0" w:right="0" w:hanging="0"/>
              <w:jc w:val="left"/>
              <w:rPr/>
            </w:pPr>
            <w:r>
              <w:rPr/>
              <w:t> </w:t>
            </w:r>
            <w:r>
              <w:rPr>
                <w:rFonts w:ascii="Times New Roman" w:hAnsi="Times New Roman"/>
                <w:sz w:val="20"/>
              </w:rPr>
              <w:t>a Delaware corporation</w:t>
            </w:r>
          </w:p>
        </w:tc>
      </w:tr>
      <w:tr>
        <w:trPr/>
        <w:tc>
          <w:tcPr>
            <w:tcW w:w="118" w:type="dxa"/>
            <w:tcBorders/>
            <w:vAlign w:val="center"/>
          </w:tcPr>
          <w:p>
            <w:pPr>
              <w:pStyle w:val="TableContents"/>
              <w:bidi w:val="0"/>
              <w:spacing w:before="0" w:after="283"/>
              <w:jc w:val="left"/>
              <w:rPr/>
            </w:pPr>
            <w:r>
              <w:rPr/>
            </w:r>
          </w:p>
        </w:tc>
        <w:tc>
          <w:tcPr>
            <w:tcW w:w="88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594"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pBdr/>
              <w:bidi w:val="0"/>
              <w:spacing w:before="0" w:after="20"/>
              <w:ind w:left="0" w:right="0" w:hanging="0"/>
              <w:jc w:val="left"/>
              <w:rPr/>
            </w:pPr>
            <w:r>
              <w:rPr/>
              <w:t> </w:t>
            </w:r>
          </w:p>
        </w:tc>
      </w:tr>
      <w:tr>
        <w:trPr/>
        <w:tc>
          <w:tcPr>
            <w:tcW w:w="118" w:type="dxa"/>
            <w:tcBorders/>
            <w:vAlign w:val="center"/>
          </w:tcPr>
          <w:p>
            <w:pPr>
              <w:pStyle w:val="TableContents"/>
              <w:bidi w:val="0"/>
              <w:spacing w:before="0" w:after="283"/>
              <w:jc w:val="left"/>
              <w:rPr/>
            </w:pPr>
            <w:r>
              <w:rPr/>
            </w:r>
          </w:p>
        </w:tc>
        <w:tc>
          <w:tcPr>
            <w:tcW w:w="88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594"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283"/>
              <w:jc w:val="left"/>
              <w:rPr/>
            </w:pPr>
            <w:r>
              <w:rPr/>
            </w:r>
          </w:p>
        </w:tc>
      </w:tr>
      <w:tr>
        <w:trPr/>
        <w:tc>
          <w:tcPr>
            <w:tcW w:w="118" w:type="dxa"/>
            <w:tcBorders/>
            <w:vAlign w:val="center"/>
          </w:tcPr>
          <w:p>
            <w:pPr>
              <w:pStyle w:val="TableContents"/>
              <w:bidi w:val="0"/>
              <w:spacing w:before="0" w:after="283"/>
              <w:jc w:val="left"/>
              <w:rPr/>
            </w:pPr>
            <w:r>
              <w:rPr/>
            </w:r>
          </w:p>
        </w:tc>
        <w:tc>
          <w:tcPr>
            <w:tcW w:w="88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594"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left"/>
              <w:rPr/>
            </w:pPr>
            <w:r>
              <w:rPr/>
            </w:r>
          </w:p>
        </w:tc>
      </w:tr>
      <w:tr>
        <w:trPr/>
        <w:tc>
          <w:tcPr>
            <w:tcW w:w="118" w:type="dxa"/>
            <w:tcBorders/>
            <w:vAlign w:val="center"/>
          </w:tcPr>
          <w:p>
            <w:pPr>
              <w:pStyle w:val="TableContents"/>
              <w:bidi w:val="0"/>
              <w:spacing w:before="0" w:after="283"/>
              <w:jc w:val="left"/>
              <w:rPr/>
            </w:pPr>
            <w:r>
              <w:rPr/>
            </w:r>
          </w:p>
        </w:tc>
        <w:tc>
          <w:tcPr>
            <w:tcW w:w="8894" w:type="dxa"/>
            <w:tcBorders/>
            <w:vAlign w:val="center"/>
          </w:tcPr>
          <w:p>
            <w:pPr>
              <w:pStyle w:val="TableContents"/>
              <w:bidi w:val="0"/>
              <w:spacing w:before="0" w:after="283"/>
              <w:jc w:val="left"/>
              <w:rPr/>
            </w:pPr>
            <w:r>
              <w:rPr/>
              <w:t>Address:</w:t>
            </w:r>
          </w:p>
        </w:tc>
        <w:tc>
          <w:tcPr>
            <w:tcW w:w="594" w:type="dxa"/>
            <w:tcBorders/>
            <w:vAlign w:val="center"/>
          </w:tcPr>
          <w:p>
            <w:pPr>
              <w:pStyle w:val="TableContents"/>
              <w:bidi w:val="0"/>
              <w:spacing w:before="0" w:after="283"/>
              <w:jc w:val="left"/>
              <w:rPr/>
            </w:pPr>
            <w:r>
              <w:rPr/>
            </w:r>
          </w:p>
        </w:tc>
        <w:tc>
          <w:tcPr>
            <w:tcW w:w="599" w:type="dxa"/>
            <w:tcBorders/>
            <w:vAlign w:val="center"/>
          </w:tcPr>
          <w:p>
            <w:pPr>
              <w:pStyle w:val="TableContents"/>
              <w:bidi w:val="0"/>
              <w:spacing w:before="0" w:after="283"/>
              <w:jc w:val="left"/>
              <w:rPr/>
            </w:pPr>
            <w:r>
              <w:rPr/>
            </w:r>
          </w:p>
        </w:tc>
      </w:tr>
    </w:tbl>
    <w:p>
      <w:pPr>
        <w:pStyle w:val="TextBody"/>
        <w:widowControl w:val="false"/>
        <w:bidi w:val="0"/>
        <w:spacing w:lineRule="auto" w:line="14" w:before="0" w:after="0"/>
        <w:ind w:left="0" w:right="0" w:hanging="0"/>
        <w:jc w:val="left"/>
        <w:rPr/>
      </w:pPr>
      <w:r>
        <w:rPr/>
      </w:r>
    </w:p>
    <w:p>
      <w:pPr>
        <w:pStyle w:val="TextBody"/>
        <w:widowControl w:val="false"/>
        <w:bidi w:val="0"/>
        <w:spacing w:lineRule="auto" w:line="14" w:before="0" w:after="0"/>
        <w:ind w:left="0" w:right="0" w:hanging="0"/>
        <w:jc w:val="left"/>
        <w:rPr/>
      </w:pPr>
      <w:r>
        <w:rPr/>
      </w:r>
    </w:p>
    <w:p>
      <w:pPr>
        <w:pStyle w:val="TextBody"/>
        <w:widowControl w:val="false"/>
        <w:bidi w:val="0"/>
        <w:spacing w:lineRule="auto" w:line="14" w:before="0" w:after="0"/>
        <w:ind w:left="0" w:right="0" w:hanging="0"/>
        <w:jc w:val="left"/>
        <w:rPr/>
      </w:pPr>
      <w:r>
        <w:rPr/>
      </w:r>
    </w:p>
    <w:p>
      <w:pPr>
        <w:pStyle w:val="TextBody"/>
        <w:widowControl w:val="false"/>
        <w:bidi w:val="0"/>
        <w:spacing w:lineRule="auto" w:line="14" w:before="0" w:after="0"/>
        <w:ind w:left="0" w:right="0" w:hanging="0"/>
        <w:jc w:val="left"/>
        <w:rPr/>
      </w:pPr>
      <w:r>
        <w:rPr/>
      </w:r>
    </w:p>
    <w:p>
      <w:pPr>
        <w:pStyle w:val="TextBody"/>
        <w:widowControl w:val="false"/>
        <w:bidi w:val="0"/>
        <w:spacing w:lineRule="auto" w:line="14" w:before="0" w:after="0"/>
        <w:ind w:left="0" w:right="0" w:hanging="0"/>
        <w:jc w:val="left"/>
        <w:rPr/>
      </w:pPr>
      <w:r>
        <w:rPr/>
      </w:r>
    </w:p>
    <w:p>
      <w:pPr>
        <w:pStyle w:val="TextBody"/>
        <w:widowControl w:val="false"/>
        <w:bidi w:val="0"/>
        <w:spacing w:lineRule="auto" w:line="14"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val="false"/>
        <w:bidi w:val="0"/>
        <w:spacing w:before="80" w:after="0"/>
        <w:ind w:left="0" w:right="392" w:firstLine="489"/>
        <w:jc w:val="left"/>
        <w:rPr/>
      </w:pPr>
      <w:r>
        <w:rPr/>
      </w:r>
    </w:p>
    <w:tbl>
      <w:tblPr>
        <w:tblW w:w="5000" w:type="pct"/>
        <w:jc w:val="left"/>
        <w:tblInd w:w="0" w:type="dxa"/>
        <w:tblLayout w:type="fixed"/>
        <w:tblCellMar>
          <w:top w:w="0" w:type="dxa"/>
          <w:left w:w="0" w:type="dxa"/>
          <w:bottom w:w="0" w:type="dxa"/>
          <w:right w:w="0" w:type="dxa"/>
        </w:tblCellMar>
      </w:tblPr>
      <w:tblGrid>
        <w:gridCol w:w="36"/>
        <w:gridCol w:w="8836"/>
        <w:gridCol w:w="650"/>
        <w:gridCol w:w="683"/>
      </w:tblGrid>
      <w:tr>
        <w:trPr/>
        <w:tc>
          <w:tcPr>
            <w:tcW w:w="36" w:type="dxa"/>
            <w:tcBorders/>
            <w:vAlign w:val="center"/>
          </w:tcPr>
          <w:p>
            <w:pPr>
              <w:pStyle w:val="TableContents"/>
              <w:bidi w:val="0"/>
              <w:spacing w:before="0" w:after="283"/>
              <w:jc w:val="left"/>
              <w:rPr/>
            </w:pPr>
            <w:r>
              <w:rPr/>
            </w:r>
          </w:p>
        </w:tc>
        <w:tc>
          <w:tcPr>
            <w:tcW w:w="8836"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left"/>
              <w:rPr/>
            </w:pPr>
            <w:r>
              <w:rPr/>
              <w:t> </w:t>
            </w:r>
          </w:p>
        </w:tc>
      </w:tr>
      <w:tr>
        <w:trPr/>
        <w:tc>
          <w:tcPr>
            <w:tcW w:w="36" w:type="dxa"/>
            <w:tcBorders/>
            <w:vAlign w:val="center"/>
          </w:tcPr>
          <w:p>
            <w:pPr>
              <w:pStyle w:val="TableContents"/>
              <w:bidi w:val="0"/>
              <w:spacing w:before="0" w:after="283"/>
              <w:jc w:val="left"/>
              <w:rPr/>
            </w:pPr>
            <w:r>
              <w:rPr/>
            </w:r>
          </w:p>
        </w:tc>
        <w:tc>
          <w:tcPr>
            <w:tcW w:w="10169" w:type="dxa"/>
            <w:gridSpan w:val="3"/>
            <w:tcBorders/>
            <w:vAlign w:val="center"/>
          </w:tcPr>
          <w:p>
            <w:pPr>
              <w:pStyle w:val="TableContents"/>
              <w:widowControl/>
              <w:bidi w:val="0"/>
              <w:spacing w:before="0" w:after="0"/>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t>LANDLORD</w:t>
            </w:r>
          </w:p>
        </w:tc>
      </w:tr>
      <w:tr>
        <w:trPr/>
        <w:tc>
          <w:tcPr>
            <w:tcW w:w="36" w:type="dxa"/>
            <w:tcBorders/>
            <w:vAlign w:val="center"/>
          </w:tcPr>
          <w:p>
            <w:pPr>
              <w:pStyle w:val="TableContents"/>
              <w:bidi w:val="0"/>
              <w:spacing w:before="0" w:after="283"/>
              <w:jc w:val="left"/>
              <w:rPr/>
            </w:pPr>
            <w:r>
              <w:rPr/>
            </w:r>
          </w:p>
        </w:tc>
        <w:tc>
          <w:tcPr>
            <w:tcW w:w="10169" w:type="dxa"/>
            <w:gridSpan w:val="3"/>
            <w:tcBorders/>
            <w:vAlign w:val="center"/>
          </w:tcPr>
          <w:p>
            <w:pPr>
              <w:pStyle w:val="TableContents"/>
              <w:bidi w:val="0"/>
              <w:spacing w:before="0" w:after="0"/>
              <w:ind w:left="0" w:right="0" w:hanging="0"/>
              <w:jc w:val="left"/>
              <w:rPr/>
            </w:pPr>
            <w:r>
              <w:rPr/>
              <w:t> </w:t>
            </w:r>
            <w:r>
              <w:rPr>
                <w:rFonts w:ascii="Times New Roman" w:hAnsi="Times New Roman"/>
                <w:sz w:val="20"/>
              </w:rPr>
              <w:t>EDGEWATER CORPORATE PARK, LLC, a Utah limited Liability company </w:t>
            </w:r>
          </w:p>
        </w:tc>
      </w:tr>
      <w:tr>
        <w:trPr/>
        <w:tc>
          <w:tcPr>
            <w:tcW w:w="36" w:type="dxa"/>
            <w:tcBorders/>
            <w:vAlign w:val="center"/>
          </w:tcPr>
          <w:p>
            <w:pPr>
              <w:pStyle w:val="TableContents"/>
              <w:bidi w:val="0"/>
              <w:spacing w:before="0" w:after="283"/>
              <w:jc w:val="left"/>
              <w:rPr/>
            </w:pPr>
            <w:r>
              <w:rPr/>
            </w:r>
          </w:p>
        </w:tc>
        <w:tc>
          <w:tcPr>
            <w:tcW w:w="88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50"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pBdr/>
              <w:bidi w:val="0"/>
              <w:spacing w:before="0" w:after="20"/>
              <w:ind w:left="0" w:right="0" w:hanging="0"/>
              <w:jc w:val="left"/>
              <w:rPr/>
            </w:pPr>
            <w:r>
              <w:rPr/>
              <w:t> </w:t>
            </w:r>
          </w:p>
        </w:tc>
      </w:tr>
      <w:tr>
        <w:trPr/>
        <w:tc>
          <w:tcPr>
            <w:tcW w:w="36" w:type="dxa"/>
            <w:tcBorders/>
            <w:vAlign w:val="center"/>
          </w:tcPr>
          <w:p>
            <w:pPr>
              <w:pStyle w:val="TableContents"/>
              <w:bidi w:val="0"/>
              <w:spacing w:before="0" w:after="283"/>
              <w:jc w:val="left"/>
              <w:rPr/>
            </w:pPr>
            <w:r>
              <w:rPr/>
            </w:r>
          </w:p>
        </w:tc>
        <w:tc>
          <w:tcPr>
            <w:tcW w:w="88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650" w:type="dxa"/>
            <w:tcBorders/>
            <w:vAlign w:val="center"/>
          </w:tcPr>
          <w:p>
            <w:pPr>
              <w:pStyle w:val="TableContents"/>
              <w:bidi w:val="0"/>
              <w:spacing w:before="0" w:after="283"/>
              <w:jc w:val="left"/>
              <w:rPr/>
            </w:pPr>
            <w:r>
              <w:rPr/>
            </w:r>
          </w:p>
        </w:tc>
        <w:tc>
          <w:tcPr>
            <w:tcW w:w="683" w:type="dxa"/>
            <w:tcBorders/>
            <w:vAlign w:val="center"/>
          </w:tcPr>
          <w:p>
            <w:pPr>
              <w:pStyle w:val="TableContents"/>
              <w:bidi w:val="0"/>
              <w:spacing w:before="0" w:after="283"/>
              <w:jc w:val="left"/>
              <w:rPr/>
            </w:pPr>
            <w:r>
              <w:rPr/>
            </w:r>
          </w:p>
        </w:tc>
      </w:tr>
      <w:tr>
        <w:trPr/>
        <w:tc>
          <w:tcPr>
            <w:tcW w:w="36" w:type="dxa"/>
            <w:tcBorders/>
            <w:vAlign w:val="center"/>
          </w:tcPr>
          <w:p>
            <w:pPr>
              <w:pStyle w:val="TableContents"/>
              <w:bidi w:val="0"/>
              <w:spacing w:before="0" w:after="283"/>
              <w:jc w:val="left"/>
              <w:rPr/>
            </w:pPr>
            <w:r>
              <w:rPr/>
            </w:r>
          </w:p>
        </w:tc>
        <w:tc>
          <w:tcPr>
            <w:tcW w:w="88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650"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left"/>
              <w:rPr/>
            </w:pPr>
            <w:r>
              <w:rPr/>
            </w:r>
          </w:p>
        </w:tc>
      </w:tr>
      <w:tr>
        <w:trPr/>
        <w:tc>
          <w:tcPr>
            <w:tcW w:w="36" w:type="dxa"/>
            <w:tcBorders/>
            <w:vAlign w:val="center"/>
          </w:tcPr>
          <w:p>
            <w:pPr>
              <w:pStyle w:val="TableContents"/>
              <w:bidi w:val="0"/>
              <w:spacing w:before="0" w:after="283"/>
              <w:jc w:val="left"/>
              <w:rPr/>
            </w:pPr>
            <w:r>
              <w:rPr/>
            </w:r>
          </w:p>
        </w:tc>
        <w:tc>
          <w:tcPr>
            <w:tcW w:w="8836" w:type="dxa"/>
            <w:tcBorders/>
            <w:vAlign w:val="center"/>
          </w:tcPr>
          <w:p>
            <w:pPr>
              <w:pStyle w:val="TableContents"/>
              <w:bidi w:val="0"/>
              <w:spacing w:before="0" w:after="283"/>
              <w:jc w:val="left"/>
              <w:rPr/>
            </w:pPr>
            <w:r>
              <w:rPr/>
              <w:t>Address:</w:t>
            </w:r>
          </w:p>
        </w:tc>
        <w:tc>
          <w:tcPr>
            <w:tcW w:w="650" w:type="dxa"/>
            <w:tcBorders/>
            <w:vAlign w:val="center"/>
          </w:tcPr>
          <w:p>
            <w:pPr>
              <w:pStyle w:val="TableContents"/>
              <w:bidi w:val="0"/>
              <w:spacing w:before="0" w:after="283"/>
              <w:jc w:val="left"/>
              <w:rPr/>
            </w:pPr>
            <w:r>
              <w:rPr/>
            </w:r>
          </w:p>
        </w:tc>
        <w:tc>
          <w:tcPr>
            <w:tcW w:w="683" w:type="dxa"/>
            <w:tcBorders/>
            <w:vAlign w:val="center"/>
          </w:tcPr>
          <w:p>
            <w:pPr>
              <w:pStyle w:val="TableContents"/>
              <w:bidi w:val="0"/>
              <w:spacing w:before="0" w:after="283"/>
              <w:jc w:val="left"/>
              <w:rPr/>
            </w:pPr>
            <w:r>
              <w:rPr/>
            </w:r>
          </w:p>
        </w:tc>
      </w:tr>
    </w:tbl>
    <w:p>
      <w:pPr>
        <w:pStyle w:val="TextBody"/>
        <w:widowControl w:val="false"/>
        <w:bidi w:val="0"/>
        <w:spacing w:lineRule="auto" w:line="14" w:before="0" w:after="0"/>
        <w:ind w:left="0" w:right="0" w:hanging="0"/>
        <w:jc w:val="left"/>
        <w:rPr/>
      </w:pPr>
      <w:r>
        <w:rPr/>
      </w:r>
    </w:p>
    <w:p>
      <w:pPr>
        <w:pStyle w:val="TextBody"/>
        <w:widowControl w:val="false"/>
        <w:bidi w:val="0"/>
        <w:spacing w:lineRule="auto" w:line="14" w:before="0" w:after="0"/>
        <w:ind w:left="0" w:right="0" w:hanging="0"/>
        <w:jc w:val="left"/>
        <w:rPr>
          <w:sz w:val="20"/>
        </w:rPr>
      </w:pPr>
      <w:r>
        <w:rPr>
          <w:sz w:val="20"/>
        </w:rPr>
      </w:r>
    </w:p>
    <w:p>
      <w:pPr>
        <w:pStyle w:val="TextBody"/>
        <w:widowControl w:val="false"/>
        <w:bidi w:val="0"/>
        <w:spacing w:lineRule="auto" w:line="14" w:before="0" w:after="0"/>
        <w:ind w:left="0" w:right="0" w:hanging="0"/>
        <w:jc w:val="left"/>
        <w:rPr>
          <w:sz w:val="20"/>
        </w:rPr>
      </w:pPr>
      <w:r>
        <w:rPr>
          <w:sz w:val="20"/>
        </w:rPr>
      </w:r>
    </w:p>
    <w:p>
      <w:pPr>
        <w:pStyle w:val="TextBody"/>
        <w:widowControl w:val="false"/>
        <w:bidi w:val="0"/>
        <w:spacing w:lineRule="auto" w:line="14" w:before="0" w:after="0"/>
        <w:ind w:left="0" w:right="0" w:hanging="0"/>
        <w:jc w:val="left"/>
        <w:rPr>
          <w:sz w:val="20"/>
        </w:rPr>
      </w:pPr>
      <w:r>
        <w:rPr>
          <w:sz w:val="20"/>
        </w:rPr>
      </w:r>
    </w:p>
    <w:p>
      <w:pPr>
        <w:pStyle w:val="TextBody"/>
        <w:widowControl w:val="false"/>
        <w:bidi w:val="0"/>
        <w:spacing w:lineRule="auto" w:line="14" w:before="0" w:after="0"/>
        <w:ind w:left="0" w:right="0" w:hanging="0"/>
        <w:jc w:val="left"/>
        <w:rPr>
          <w:sz w:val="20"/>
        </w:rPr>
      </w:pPr>
      <w:r>
        <w:rPr>
          <w:sz w:val="20"/>
        </w:rPr>
      </w:r>
    </w:p>
    <w:p>
      <w:pPr>
        <w:pStyle w:val="TextBody"/>
        <w:bidi w:val="0"/>
        <w:spacing w:lineRule="auto" w:line="288" w:before="0" w:after="0"/>
        <w:ind w:left="0" w:right="0" w:hanging="0"/>
        <w:jc w:val="center"/>
        <w:rPr/>
      </w:pPr>
      <w:r>
        <w:rPr/>
      </w:r>
    </w:p>
    <w:p>
      <w:pPr>
        <w:pStyle w:val="HorizontalLine"/>
        <w:bidi w:val="0"/>
        <w:spacing w:lineRule="auto" w:line="288"/>
        <w:jc w:val="left"/>
        <w:rPr/>
      </w:pPr>
      <w:r>
        <w:rPr/>
      </w:r>
    </w:p>
    <w:p>
      <w:pPr>
        <w:pStyle w:val="TextBody"/>
        <w:bidi w:val="0"/>
        <w:spacing w:lineRule="auto" w:line="288" w:before="0" w:after="0"/>
        <w:ind w:left="0" w:right="0" w:hanging="0"/>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2947</Words>
  <Characters>15582</Characters>
  <CharactersWithSpaces>18957</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