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8"/>
        <w:spacing w:after="0"/>
        <w:rPr>
          <w:sz w:val="20"/>
          <w:szCs w:val="20"/>
          <w:color w:val="auto"/>
        </w:rPr>
      </w:pPr>
      <w:r>
        <w:rPr>
          <w:rFonts w:ascii="Arial" w:cs="Arial" w:eastAsia="Arial" w:hAnsi="Arial"/>
          <w:sz w:val="13"/>
          <w:szCs w:val="13"/>
          <w:b w:val="1"/>
          <w:bCs w:val="1"/>
          <w:color w:val="auto"/>
        </w:rPr>
        <w:t>UNITED STATES</w:t>
      </w:r>
    </w:p>
    <w:p>
      <w:pPr>
        <w:spacing w:after="0" w:line="18" w:lineRule="exact"/>
        <w:rPr>
          <w:sz w:val="24"/>
          <w:szCs w:val="24"/>
          <w:color w:val="auto"/>
        </w:rPr>
      </w:pPr>
    </w:p>
    <w:p>
      <w:pPr>
        <w:jc w:val="center"/>
        <w:ind w:right="58"/>
        <w:spacing w:after="0"/>
        <w:rPr>
          <w:sz w:val="20"/>
          <w:szCs w:val="20"/>
          <w:color w:val="auto"/>
        </w:rPr>
      </w:pPr>
      <w:r>
        <w:rPr>
          <w:rFonts w:ascii="Arial" w:cs="Arial" w:eastAsia="Arial" w:hAnsi="Arial"/>
          <w:sz w:val="13"/>
          <w:szCs w:val="13"/>
          <w:b w:val="1"/>
          <w:bCs w:val="1"/>
          <w:color w:val="auto"/>
        </w:rPr>
        <w:t>SECURITIES AND EXCHANGE COMMISSION</w:t>
      </w:r>
    </w:p>
    <w:p>
      <w:pPr>
        <w:spacing w:after="0" w:line="6" w:lineRule="exact"/>
        <w:rPr>
          <w:sz w:val="24"/>
          <w:szCs w:val="24"/>
          <w:color w:val="auto"/>
        </w:rPr>
      </w:pPr>
    </w:p>
    <w:p>
      <w:pPr>
        <w:jc w:val="center"/>
        <w:ind w:right="58"/>
        <w:spacing w:after="0"/>
        <w:rPr>
          <w:sz w:val="20"/>
          <w:szCs w:val="20"/>
          <w:color w:val="auto"/>
        </w:rPr>
      </w:pPr>
      <w:r>
        <w:rPr>
          <w:rFonts w:ascii="Arial" w:cs="Arial" w:eastAsia="Arial" w:hAnsi="Arial"/>
          <w:sz w:val="13"/>
          <w:szCs w:val="13"/>
          <w:b w:val="1"/>
          <w:bCs w:val="1"/>
          <w:color w:val="auto"/>
        </w:rPr>
        <w:t>WASHINGTON, DC 20549</w:t>
      </w:r>
    </w:p>
    <w:p>
      <w:pPr>
        <w:spacing w:after="0" w:line="162" w:lineRule="exact"/>
        <w:rPr>
          <w:sz w:val="24"/>
          <w:szCs w:val="24"/>
          <w:color w:val="auto"/>
        </w:rPr>
      </w:pPr>
    </w:p>
    <w:p>
      <w:pPr>
        <w:jc w:val="center"/>
        <w:ind w:right="78"/>
        <w:spacing w:after="0"/>
        <w:rPr>
          <w:sz w:val="20"/>
          <w:szCs w:val="20"/>
          <w:color w:val="auto"/>
        </w:rPr>
      </w:pPr>
      <w:r>
        <w:rPr>
          <w:rFonts w:ascii="Arial" w:cs="Arial" w:eastAsia="Arial" w:hAnsi="Arial"/>
          <w:sz w:val="16"/>
          <w:szCs w:val="16"/>
          <w:b w:val="1"/>
          <w:bCs w:val="1"/>
          <w:color w:val="auto"/>
        </w:rPr>
        <w:t>SCHEDULE 14A</w:t>
      </w:r>
    </w:p>
    <w:p>
      <w:pPr>
        <w:spacing w:after="0" w:line="13" w:lineRule="exact"/>
        <w:rPr>
          <w:sz w:val="24"/>
          <w:szCs w:val="24"/>
          <w:color w:val="auto"/>
        </w:rPr>
      </w:pPr>
    </w:p>
    <w:p>
      <w:pPr>
        <w:jc w:val="center"/>
        <w:ind w:right="58"/>
        <w:spacing w:after="0"/>
        <w:rPr>
          <w:sz w:val="20"/>
          <w:szCs w:val="20"/>
          <w:color w:val="auto"/>
        </w:rPr>
      </w:pPr>
      <w:r>
        <w:rPr>
          <w:rFonts w:ascii="Arial" w:cs="Arial" w:eastAsia="Arial" w:hAnsi="Arial"/>
          <w:sz w:val="13"/>
          <w:szCs w:val="13"/>
          <w:b w:val="1"/>
          <w:bCs w:val="1"/>
          <w:color w:val="auto"/>
        </w:rPr>
        <w:t>(Rule 14a-101)</w:t>
      </w:r>
    </w:p>
    <w:p>
      <w:pPr>
        <w:spacing w:after="0" w:line="168" w:lineRule="exact"/>
        <w:rPr>
          <w:sz w:val="24"/>
          <w:szCs w:val="24"/>
          <w:color w:val="auto"/>
        </w:rPr>
      </w:pPr>
    </w:p>
    <w:p>
      <w:pPr>
        <w:jc w:val="center"/>
        <w:ind w:right="58"/>
        <w:spacing w:after="0"/>
        <w:rPr>
          <w:sz w:val="20"/>
          <w:szCs w:val="20"/>
          <w:color w:val="auto"/>
        </w:rPr>
      </w:pPr>
      <w:r>
        <w:rPr>
          <w:rFonts w:ascii="Arial" w:cs="Arial" w:eastAsia="Arial" w:hAnsi="Arial"/>
          <w:sz w:val="13"/>
          <w:szCs w:val="13"/>
          <w:b w:val="1"/>
          <w:bCs w:val="1"/>
          <w:color w:val="auto"/>
        </w:rPr>
        <w:t>SCHEDULE 14A INFORMATION</w:t>
      </w:r>
    </w:p>
    <w:p>
      <w:pPr>
        <w:spacing w:after="0" w:line="186" w:lineRule="exact"/>
        <w:rPr>
          <w:sz w:val="24"/>
          <w:szCs w:val="24"/>
          <w:color w:val="auto"/>
        </w:rPr>
      </w:pPr>
    </w:p>
    <w:p>
      <w:pPr>
        <w:jc w:val="center"/>
        <w:ind w:right="58"/>
        <w:spacing w:after="0"/>
        <w:rPr>
          <w:sz w:val="20"/>
          <w:szCs w:val="20"/>
          <w:color w:val="auto"/>
        </w:rPr>
      </w:pPr>
      <w:r>
        <w:rPr>
          <w:rFonts w:ascii="Arial" w:cs="Arial" w:eastAsia="Arial" w:hAnsi="Arial"/>
          <w:sz w:val="13"/>
          <w:szCs w:val="13"/>
          <w:color w:val="auto"/>
        </w:rPr>
        <w:t>Proxy Statement Pursuant to Section 14(a) of</w:t>
      </w:r>
    </w:p>
    <w:p>
      <w:pPr>
        <w:spacing w:after="0" w:line="14" w:lineRule="exact"/>
        <w:rPr>
          <w:sz w:val="24"/>
          <w:szCs w:val="24"/>
          <w:color w:val="auto"/>
        </w:rPr>
      </w:pPr>
    </w:p>
    <w:p>
      <w:pPr>
        <w:jc w:val="center"/>
        <w:ind w:right="78"/>
        <w:spacing w:after="0"/>
        <w:rPr>
          <w:sz w:val="20"/>
          <w:szCs w:val="20"/>
          <w:color w:val="auto"/>
        </w:rPr>
      </w:pPr>
      <w:r>
        <w:rPr>
          <w:rFonts w:ascii="Arial" w:cs="Arial" w:eastAsia="Arial" w:hAnsi="Arial"/>
          <w:sz w:val="13"/>
          <w:szCs w:val="13"/>
          <w:color w:val="auto"/>
        </w:rPr>
        <w:t>the Securities Exchange Act of 1934</w:t>
      </w:r>
    </w:p>
    <w:p>
      <w:pPr>
        <w:spacing w:after="0" w:line="6" w:lineRule="exact"/>
        <w:rPr>
          <w:sz w:val="24"/>
          <w:szCs w:val="24"/>
          <w:color w:val="auto"/>
        </w:rPr>
      </w:pPr>
    </w:p>
    <w:p>
      <w:pPr>
        <w:jc w:val="center"/>
        <w:ind w:right="58"/>
        <w:spacing w:after="0"/>
        <w:rPr>
          <w:sz w:val="20"/>
          <w:szCs w:val="20"/>
          <w:color w:val="auto"/>
        </w:rPr>
      </w:pPr>
      <w:r>
        <w:rPr>
          <w:rFonts w:ascii="Arial" w:cs="Arial" w:eastAsia="Arial" w:hAnsi="Arial"/>
          <w:sz w:val="13"/>
          <w:szCs w:val="13"/>
          <w:color w:val="auto"/>
        </w:rPr>
        <w:t>(Amendment No. __)</w:t>
      </w:r>
    </w:p>
    <w:p>
      <w:pPr>
        <w:spacing w:after="0" w:line="174" w:lineRule="exact"/>
        <w:rPr>
          <w:sz w:val="24"/>
          <w:szCs w:val="24"/>
          <w:color w:val="auto"/>
        </w:rPr>
      </w:pPr>
    </w:p>
    <w:p>
      <w:pPr>
        <w:ind w:left="2"/>
        <w:spacing w:after="0"/>
        <w:rPr>
          <w:sz w:val="20"/>
          <w:szCs w:val="20"/>
          <w:color w:val="auto"/>
        </w:rPr>
      </w:pPr>
      <w:r>
        <w:rPr>
          <w:rFonts w:ascii="Arial" w:cs="Arial" w:eastAsia="Arial" w:hAnsi="Arial"/>
          <w:sz w:val="13"/>
          <w:szCs w:val="13"/>
          <w:color w:val="auto"/>
        </w:rPr>
        <w:t>Filed by the Registrant [X]</w:t>
      </w:r>
    </w:p>
    <w:p>
      <w:pPr>
        <w:spacing w:after="0" w:line="182" w:lineRule="exact"/>
        <w:rPr>
          <w:sz w:val="24"/>
          <w:szCs w:val="24"/>
          <w:color w:val="auto"/>
        </w:rPr>
      </w:pPr>
    </w:p>
    <w:p>
      <w:pPr>
        <w:ind w:left="2"/>
        <w:spacing w:after="0"/>
        <w:rPr>
          <w:sz w:val="20"/>
          <w:szCs w:val="20"/>
          <w:color w:val="auto"/>
        </w:rPr>
      </w:pPr>
      <w:r>
        <w:rPr>
          <w:rFonts w:ascii="Arial" w:cs="Arial" w:eastAsia="Arial" w:hAnsi="Arial"/>
          <w:sz w:val="13"/>
          <w:szCs w:val="13"/>
          <w:color w:val="auto"/>
        </w:rPr>
        <w:t>Filed by a Party other than the Registrant [  ]</w:t>
      </w:r>
    </w:p>
    <w:p>
      <w:pPr>
        <w:spacing w:after="0" w:line="182" w:lineRule="exact"/>
        <w:rPr>
          <w:sz w:val="24"/>
          <w:szCs w:val="24"/>
          <w:color w:val="auto"/>
        </w:rPr>
      </w:pPr>
    </w:p>
    <w:p>
      <w:pPr>
        <w:ind w:left="2"/>
        <w:spacing w:after="0"/>
        <w:rPr>
          <w:sz w:val="20"/>
          <w:szCs w:val="20"/>
          <w:color w:val="auto"/>
        </w:rPr>
      </w:pPr>
      <w:r>
        <w:rPr>
          <w:rFonts w:ascii="Arial" w:cs="Arial" w:eastAsia="Arial" w:hAnsi="Arial"/>
          <w:sz w:val="13"/>
          <w:szCs w:val="13"/>
          <w:color w:val="auto"/>
        </w:rPr>
        <w:t>Check the appropriate box:.</w:t>
      </w:r>
    </w:p>
    <w:p>
      <w:pPr>
        <w:spacing w:after="0" w:line="182" w:lineRule="exact"/>
        <w:rPr>
          <w:sz w:val="24"/>
          <w:szCs w:val="24"/>
          <w:color w:val="auto"/>
        </w:rPr>
      </w:pPr>
    </w:p>
    <w:p>
      <w:pPr>
        <w:ind w:left="2"/>
        <w:spacing w:after="0"/>
        <w:tabs>
          <w:tab w:leader="none" w:pos="522" w:val="left"/>
        </w:tabs>
        <w:rPr>
          <w:sz w:val="20"/>
          <w:szCs w:val="20"/>
          <w:color w:val="auto"/>
        </w:rPr>
      </w:pPr>
      <w:r>
        <w:rPr>
          <w:rFonts w:ascii="Arial" w:cs="Arial" w:eastAsia="Arial" w:hAnsi="Arial"/>
          <w:sz w:val="13"/>
          <w:szCs w:val="13"/>
          <w:color w:val="auto"/>
        </w:rPr>
        <w:t>[  ]</w:t>
      </w:r>
      <w:r>
        <w:rPr>
          <w:sz w:val="20"/>
          <w:szCs w:val="20"/>
          <w:color w:val="auto"/>
        </w:rPr>
        <w:tab/>
      </w:r>
      <w:r>
        <w:rPr>
          <w:rFonts w:ascii="Arial" w:cs="Arial" w:eastAsia="Arial" w:hAnsi="Arial"/>
          <w:sz w:val="11"/>
          <w:szCs w:val="11"/>
          <w:color w:val="auto"/>
        </w:rPr>
        <w:t>Preliminary Proxy Statement.</w:t>
      </w:r>
    </w:p>
    <w:p>
      <w:pPr>
        <w:spacing w:after="0" w:line="14" w:lineRule="exact"/>
        <w:rPr>
          <w:sz w:val="24"/>
          <w:szCs w:val="24"/>
          <w:color w:val="auto"/>
        </w:rPr>
      </w:pPr>
    </w:p>
    <w:p>
      <w:pPr>
        <w:ind w:left="2"/>
        <w:spacing w:after="0"/>
        <w:tabs>
          <w:tab w:leader="none" w:pos="522" w:val="left"/>
        </w:tabs>
        <w:rPr>
          <w:sz w:val="20"/>
          <w:szCs w:val="20"/>
          <w:color w:val="auto"/>
        </w:rPr>
      </w:pPr>
      <w:r>
        <w:rPr>
          <w:rFonts w:ascii="Arial" w:cs="Arial" w:eastAsia="Arial" w:hAnsi="Arial"/>
          <w:sz w:val="13"/>
          <w:szCs w:val="13"/>
          <w:b w:val="1"/>
          <w:bCs w:val="1"/>
          <w:color w:val="auto"/>
        </w:rPr>
        <w:t>[  ]</w:t>
      </w:r>
      <w:r>
        <w:rPr>
          <w:sz w:val="20"/>
          <w:szCs w:val="20"/>
          <w:color w:val="auto"/>
        </w:rPr>
        <w:tab/>
      </w:r>
      <w:r>
        <w:rPr>
          <w:rFonts w:ascii="Arial" w:cs="Arial" w:eastAsia="Arial" w:hAnsi="Arial"/>
          <w:sz w:val="11"/>
          <w:szCs w:val="11"/>
          <w:b w:val="1"/>
          <w:bCs w:val="1"/>
          <w:color w:val="auto"/>
        </w:rPr>
        <w:t>Confidential, for Use of the Commission Only (as permitted by Rule 14a-6(e)(2)).</w:t>
      </w:r>
    </w:p>
    <w:p>
      <w:pPr>
        <w:spacing w:after="0" w:line="6" w:lineRule="exact"/>
        <w:rPr>
          <w:sz w:val="24"/>
          <w:szCs w:val="24"/>
          <w:color w:val="auto"/>
        </w:rPr>
      </w:pPr>
    </w:p>
    <w:p>
      <w:pPr>
        <w:ind w:left="542" w:hanging="542"/>
        <w:spacing w:after="0"/>
        <w:tabs>
          <w:tab w:leader="none" w:pos="542" w:val="left"/>
        </w:tabs>
        <w:numPr>
          <w:ilvl w:val="0"/>
          <w:numId w:val="1"/>
        </w:numPr>
        <w:rPr>
          <w:rFonts w:ascii="Arial" w:cs="Arial" w:eastAsia="Arial" w:hAnsi="Arial"/>
          <w:sz w:val="13"/>
          <w:szCs w:val="13"/>
          <w:color w:val="auto"/>
        </w:rPr>
      </w:pPr>
      <w:r>
        <w:rPr>
          <w:rFonts w:ascii="Arial" w:cs="Arial" w:eastAsia="Arial" w:hAnsi="Arial"/>
          <w:sz w:val="13"/>
          <w:szCs w:val="13"/>
          <w:color w:val="auto"/>
        </w:rPr>
        <w:t>Definitive Proxy Statement.</w:t>
      </w:r>
    </w:p>
    <w:p>
      <w:pPr>
        <w:spacing w:after="0" w:line="6" w:lineRule="exact"/>
        <w:rPr>
          <w:sz w:val="24"/>
          <w:szCs w:val="24"/>
          <w:color w:val="auto"/>
        </w:rPr>
      </w:pPr>
    </w:p>
    <w:p>
      <w:pPr>
        <w:ind w:left="2"/>
        <w:spacing w:after="0"/>
        <w:tabs>
          <w:tab w:leader="none" w:pos="522" w:val="left"/>
        </w:tabs>
        <w:rPr>
          <w:sz w:val="20"/>
          <w:szCs w:val="20"/>
          <w:color w:val="auto"/>
        </w:rPr>
      </w:pPr>
      <w:r>
        <w:rPr>
          <w:rFonts w:ascii="Arial" w:cs="Arial" w:eastAsia="Arial" w:hAnsi="Arial"/>
          <w:sz w:val="13"/>
          <w:szCs w:val="13"/>
          <w:color w:val="auto"/>
        </w:rPr>
        <w:t>[  ]</w:t>
      </w:r>
      <w:r>
        <w:rPr>
          <w:sz w:val="20"/>
          <w:szCs w:val="20"/>
          <w:color w:val="auto"/>
        </w:rPr>
        <w:tab/>
      </w:r>
      <w:r>
        <w:rPr>
          <w:rFonts w:ascii="Arial" w:cs="Arial" w:eastAsia="Arial" w:hAnsi="Arial"/>
          <w:sz w:val="12"/>
          <w:szCs w:val="12"/>
          <w:color w:val="auto"/>
        </w:rPr>
        <w:t>Definitive Additional Materials.</w:t>
      </w:r>
    </w:p>
    <w:p>
      <w:pPr>
        <w:spacing w:after="0" w:line="6" w:lineRule="exact"/>
        <w:rPr>
          <w:sz w:val="24"/>
          <w:szCs w:val="24"/>
          <w:color w:val="auto"/>
        </w:rPr>
      </w:pPr>
    </w:p>
    <w:p>
      <w:pPr>
        <w:ind w:left="2"/>
        <w:spacing w:after="0"/>
        <w:tabs>
          <w:tab w:leader="none" w:pos="522" w:val="left"/>
        </w:tabs>
        <w:rPr>
          <w:sz w:val="20"/>
          <w:szCs w:val="20"/>
          <w:color w:val="auto"/>
        </w:rPr>
      </w:pPr>
      <w:r>
        <w:rPr>
          <w:rFonts w:ascii="Arial" w:cs="Arial" w:eastAsia="Arial" w:hAnsi="Arial"/>
          <w:sz w:val="13"/>
          <w:szCs w:val="13"/>
          <w:color w:val="auto"/>
        </w:rPr>
        <w:t>[  ]</w:t>
      </w:r>
      <w:r>
        <w:rPr>
          <w:sz w:val="20"/>
          <w:szCs w:val="20"/>
          <w:color w:val="auto"/>
        </w:rPr>
        <w:tab/>
      </w:r>
      <w:r>
        <w:rPr>
          <w:rFonts w:ascii="Arial" w:cs="Arial" w:eastAsia="Arial" w:hAnsi="Arial"/>
          <w:sz w:val="11"/>
          <w:szCs w:val="11"/>
          <w:color w:val="auto"/>
        </w:rPr>
        <w:t>Soliciting Material Pursuant to §240.14a-12.</w:t>
      </w:r>
    </w:p>
    <w:p>
      <w:pPr>
        <w:spacing w:after="0" w:line="162" w:lineRule="exact"/>
        <w:rPr>
          <w:sz w:val="24"/>
          <w:szCs w:val="24"/>
          <w:color w:val="auto"/>
        </w:rPr>
      </w:pPr>
    </w:p>
    <w:p>
      <w:pPr>
        <w:jc w:val="center"/>
        <w:ind w:right="78"/>
        <w:spacing w:after="0"/>
        <w:rPr>
          <w:sz w:val="20"/>
          <w:szCs w:val="20"/>
          <w:color w:val="auto"/>
        </w:rPr>
      </w:pPr>
      <w:r>
        <w:rPr>
          <w:rFonts w:ascii="Arial" w:cs="Arial" w:eastAsia="Arial" w:hAnsi="Arial"/>
          <w:sz w:val="16"/>
          <w:szCs w:val="16"/>
          <w:b w:val="1"/>
          <w:bCs w:val="1"/>
          <w:u w:val="single" w:color="auto"/>
          <w:color w:val="auto"/>
        </w:rPr>
        <w:t>ClearOne Communications, Inc.</w:t>
      </w:r>
    </w:p>
    <w:p>
      <w:pPr>
        <w:spacing w:after="0" w:line="9" w:lineRule="exact"/>
        <w:rPr>
          <w:sz w:val="24"/>
          <w:szCs w:val="24"/>
          <w:color w:val="auto"/>
        </w:rPr>
      </w:pPr>
    </w:p>
    <w:p>
      <w:pPr>
        <w:jc w:val="center"/>
        <w:ind w:right="58"/>
        <w:spacing w:after="0"/>
        <w:rPr>
          <w:sz w:val="20"/>
          <w:szCs w:val="20"/>
          <w:color w:val="auto"/>
        </w:rPr>
      </w:pPr>
      <w:r>
        <w:rPr>
          <w:rFonts w:ascii="Arial" w:cs="Arial" w:eastAsia="Arial" w:hAnsi="Arial"/>
          <w:sz w:val="16"/>
          <w:szCs w:val="16"/>
          <w:color w:val="auto"/>
        </w:rPr>
        <w:t>(Name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156845</wp:posOffset>
            </wp:positionV>
            <wp:extent cx="7297420" cy="635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97420" cy="6350"/>
                    </a:xfrm>
                    <a:prstGeom prst="rect">
                      <a:avLst/>
                    </a:prstGeom>
                    <a:noFill/>
                  </pic:spPr>
                </pic:pic>
              </a:graphicData>
            </a:graphic>
          </wp:anchor>
        </w:drawing>
      </w:r>
    </w:p>
    <w:p>
      <w:pPr>
        <w:spacing w:after="0" w:line="306" w:lineRule="exact"/>
        <w:rPr>
          <w:sz w:val="24"/>
          <w:szCs w:val="24"/>
          <w:color w:val="auto"/>
        </w:rPr>
      </w:pPr>
    </w:p>
    <w:p>
      <w:pPr>
        <w:jc w:val="center"/>
        <w:ind w:right="58"/>
        <w:spacing w:after="0"/>
        <w:rPr>
          <w:sz w:val="20"/>
          <w:szCs w:val="20"/>
          <w:color w:val="auto"/>
        </w:rPr>
      </w:pPr>
      <w:r>
        <w:rPr>
          <w:rFonts w:ascii="Arial" w:cs="Arial" w:eastAsia="Arial" w:hAnsi="Arial"/>
          <w:sz w:val="13"/>
          <w:szCs w:val="13"/>
          <w:color w:val="auto"/>
        </w:rPr>
        <w:t>(Name of Person(s) Filing Proxy Statement, if other than Registrant)</w:t>
      </w:r>
    </w:p>
    <w:p>
      <w:pPr>
        <w:spacing w:after="0" w:line="182" w:lineRule="exact"/>
        <w:rPr>
          <w:sz w:val="24"/>
          <w:szCs w:val="24"/>
          <w:color w:val="auto"/>
        </w:rPr>
      </w:pPr>
    </w:p>
    <w:p>
      <w:pPr>
        <w:ind w:left="2"/>
        <w:spacing w:after="0"/>
        <w:rPr>
          <w:sz w:val="20"/>
          <w:szCs w:val="20"/>
          <w:color w:val="auto"/>
        </w:rPr>
      </w:pPr>
      <w:r>
        <w:rPr>
          <w:rFonts w:ascii="Arial" w:cs="Arial" w:eastAsia="Arial" w:hAnsi="Arial"/>
          <w:sz w:val="13"/>
          <w:szCs w:val="13"/>
          <w:color w:val="auto"/>
        </w:rPr>
        <w:t>Payment of Filing Fee (Check the appropriate box):</w:t>
      </w:r>
    </w:p>
    <w:p>
      <w:pPr>
        <w:spacing w:after="0" w:line="182" w:lineRule="exact"/>
        <w:rPr>
          <w:sz w:val="24"/>
          <w:szCs w:val="24"/>
          <w:color w:val="auto"/>
        </w:rPr>
      </w:pPr>
    </w:p>
    <w:p>
      <w:pPr>
        <w:ind w:left="462" w:hanging="462"/>
        <w:spacing w:after="0"/>
        <w:tabs>
          <w:tab w:leader="none" w:pos="462" w:val="left"/>
        </w:tabs>
        <w:numPr>
          <w:ilvl w:val="0"/>
          <w:numId w:val="2"/>
        </w:numPr>
        <w:rPr>
          <w:rFonts w:ascii="Arial" w:cs="Arial" w:eastAsia="Arial" w:hAnsi="Arial"/>
          <w:sz w:val="13"/>
          <w:szCs w:val="13"/>
          <w:color w:val="auto"/>
        </w:rPr>
      </w:pPr>
      <w:r>
        <w:rPr>
          <w:rFonts w:ascii="Arial" w:cs="Arial" w:eastAsia="Arial" w:hAnsi="Arial"/>
          <w:sz w:val="13"/>
          <w:szCs w:val="13"/>
          <w:color w:val="auto"/>
        </w:rPr>
        <w:t>No fee required.</w:t>
      </w:r>
    </w:p>
    <w:p>
      <w:pPr>
        <w:spacing w:after="0" w:line="14" w:lineRule="exact"/>
        <w:rPr>
          <w:sz w:val="24"/>
          <w:szCs w:val="24"/>
          <w:color w:val="auto"/>
        </w:rPr>
      </w:pPr>
    </w:p>
    <w:p>
      <w:pPr>
        <w:ind w:left="142" w:hanging="142"/>
        <w:spacing w:after="0"/>
        <w:tabs>
          <w:tab w:leader="none" w:pos="142" w:val="left"/>
        </w:tabs>
        <w:numPr>
          <w:ilvl w:val="0"/>
          <w:numId w:val="3"/>
        </w:numPr>
        <w:rPr>
          <w:rFonts w:ascii="Arial" w:cs="Arial" w:eastAsia="Arial" w:hAnsi="Arial"/>
          <w:sz w:val="13"/>
          <w:szCs w:val="13"/>
          <w:color w:val="auto"/>
        </w:rPr>
      </w:pPr>
      <w:r>
        <w:rPr>
          <w:rFonts w:ascii="Arial" w:cs="Arial" w:eastAsia="Arial" w:hAnsi="Arial"/>
          <w:sz w:val="13"/>
          <w:szCs w:val="13"/>
          <w:color w:val="auto"/>
        </w:rPr>
        <w:t>]</w:t>
      </w:r>
      <w:r>
        <w:rPr>
          <w:rFonts w:ascii="Arial" w:cs="Arial" w:eastAsia="Arial" w:hAnsi="Arial"/>
          <w:sz w:val="11"/>
          <w:szCs w:val="11"/>
          <w:color w:val="auto"/>
        </w:rPr>
        <w:t>Fee computed on table below per Exchange Act Rules 14a-6(i)(4) and 0-11.</w:t>
      </w:r>
    </w:p>
    <w:p>
      <w:pPr>
        <w:spacing w:after="0" w:line="6" w:lineRule="exact"/>
        <w:rPr>
          <w:rFonts w:ascii="Arial" w:cs="Arial" w:eastAsia="Arial" w:hAnsi="Arial"/>
          <w:sz w:val="13"/>
          <w:szCs w:val="13"/>
          <w:color w:val="auto"/>
        </w:rPr>
      </w:pPr>
    </w:p>
    <w:p>
      <w:pPr>
        <w:ind w:left="162" w:hanging="123"/>
        <w:spacing w:after="0"/>
        <w:tabs>
          <w:tab w:leader="none" w:pos="162" w:val="left"/>
        </w:tabs>
        <w:numPr>
          <w:ilvl w:val="1"/>
          <w:numId w:val="3"/>
        </w:numPr>
        <w:rPr>
          <w:rFonts w:ascii="Arial" w:cs="Arial" w:eastAsia="Arial" w:hAnsi="Arial"/>
          <w:sz w:val="13"/>
          <w:szCs w:val="13"/>
          <w:color w:val="auto"/>
        </w:rPr>
      </w:pPr>
      <w:r>
        <w:rPr>
          <w:rFonts w:ascii="Arial" w:cs="Arial" w:eastAsia="Arial" w:hAnsi="Arial"/>
          <w:sz w:val="13"/>
          <w:szCs w:val="13"/>
          <w:color w:val="auto"/>
        </w:rPr>
        <w:t>Title of each class of securities to which transaction applies:</w:t>
      </w:r>
    </w:p>
    <w:p>
      <w:pPr>
        <w:spacing w:after="0" w:line="6" w:lineRule="exact"/>
        <w:rPr>
          <w:rFonts w:ascii="Arial" w:cs="Arial" w:eastAsia="Arial" w:hAnsi="Arial"/>
          <w:sz w:val="13"/>
          <w:szCs w:val="13"/>
          <w:color w:val="auto"/>
        </w:rPr>
      </w:pPr>
    </w:p>
    <w:p>
      <w:pPr>
        <w:ind w:left="162"/>
        <w:spacing w:after="0"/>
        <w:rPr>
          <w:rFonts w:ascii="Arial" w:cs="Arial" w:eastAsia="Arial" w:hAnsi="Arial"/>
          <w:sz w:val="13"/>
          <w:szCs w:val="13"/>
          <w:color w:val="auto"/>
        </w:rPr>
      </w:pPr>
      <w:r>
        <w:rPr>
          <w:rFonts w:ascii="Arial" w:cs="Arial" w:eastAsia="Arial" w:hAnsi="Arial"/>
          <w:sz w:val="11"/>
          <w:szCs w:val="11"/>
          <w:color w:val="auto"/>
        </w:rPr>
        <w:t>____________________________________________________________________________________________________________________________________________________________________________________</w:t>
      </w:r>
    </w:p>
    <w:p>
      <w:pPr>
        <w:spacing w:after="0" w:line="196" w:lineRule="exact"/>
        <w:rPr>
          <w:rFonts w:ascii="Arial" w:cs="Arial" w:eastAsia="Arial" w:hAnsi="Arial"/>
          <w:sz w:val="13"/>
          <w:szCs w:val="13"/>
          <w:color w:val="auto"/>
        </w:rPr>
      </w:pPr>
    </w:p>
    <w:p>
      <w:pPr>
        <w:ind w:left="162" w:hanging="123"/>
        <w:spacing w:after="0"/>
        <w:tabs>
          <w:tab w:leader="none" w:pos="162" w:val="left"/>
        </w:tabs>
        <w:numPr>
          <w:ilvl w:val="1"/>
          <w:numId w:val="3"/>
        </w:numPr>
        <w:rPr>
          <w:rFonts w:ascii="Arial" w:cs="Arial" w:eastAsia="Arial" w:hAnsi="Arial"/>
          <w:sz w:val="13"/>
          <w:szCs w:val="13"/>
          <w:color w:val="auto"/>
        </w:rPr>
      </w:pPr>
      <w:r>
        <w:rPr>
          <w:rFonts w:ascii="Arial" w:cs="Arial" w:eastAsia="Arial" w:hAnsi="Arial"/>
          <w:sz w:val="13"/>
          <w:szCs w:val="13"/>
          <w:color w:val="auto"/>
        </w:rPr>
        <w:t>Aggregate number of securities to which transaction applies:</w:t>
      </w:r>
    </w:p>
    <w:p>
      <w:pPr>
        <w:spacing w:after="0" w:line="14" w:lineRule="exact"/>
        <w:rPr>
          <w:rFonts w:ascii="Arial" w:cs="Arial" w:eastAsia="Arial" w:hAnsi="Arial"/>
          <w:sz w:val="13"/>
          <w:szCs w:val="13"/>
          <w:color w:val="auto"/>
        </w:rPr>
      </w:pPr>
    </w:p>
    <w:p>
      <w:pPr>
        <w:ind w:left="162"/>
        <w:spacing w:after="0"/>
        <w:rPr>
          <w:rFonts w:ascii="Arial" w:cs="Arial" w:eastAsia="Arial" w:hAnsi="Arial"/>
          <w:sz w:val="13"/>
          <w:szCs w:val="13"/>
          <w:color w:val="auto"/>
        </w:rPr>
      </w:pPr>
      <w:r>
        <w:rPr>
          <w:rFonts w:ascii="Arial" w:cs="Arial" w:eastAsia="Arial" w:hAnsi="Arial"/>
          <w:sz w:val="11"/>
          <w:szCs w:val="11"/>
          <w:color w:val="auto"/>
        </w:rPr>
        <w:t>____________________________________________________________________________________________________________________________________________________________________________________</w:t>
      </w:r>
    </w:p>
    <w:p>
      <w:pPr>
        <w:spacing w:after="0" w:line="196" w:lineRule="exact"/>
        <w:rPr>
          <w:rFonts w:ascii="Arial" w:cs="Arial" w:eastAsia="Arial" w:hAnsi="Arial"/>
          <w:sz w:val="13"/>
          <w:szCs w:val="13"/>
          <w:color w:val="auto"/>
        </w:rPr>
      </w:pPr>
    </w:p>
    <w:p>
      <w:pPr>
        <w:ind w:left="162" w:hanging="123"/>
        <w:spacing w:after="0"/>
        <w:tabs>
          <w:tab w:leader="none" w:pos="162" w:val="left"/>
        </w:tabs>
        <w:numPr>
          <w:ilvl w:val="1"/>
          <w:numId w:val="3"/>
        </w:numPr>
        <w:rPr>
          <w:rFonts w:ascii="Arial" w:cs="Arial" w:eastAsia="Arial" w:hAnsi="Arial"/>
          <w:sz w:val="13"/>
          <w:szCs w:val="13"/>
          <w:color w:val="auto"/>
        </w:rPr>
      </w:pPr>
      <w:r>
        <w:rPr>
          <w:rFonts w:ascii="Arial" w:cs="Arial" w:eastAsia="Arial" w:hAnsi="Arial"/>
          <w:sz w:val="13"/>
          <w:szCs w:val="13"/>
          <w:color w:val="auto"/>
        </w:rPr>
        <w:t>Per unit price or other underlying value of transaction computed pursuant to Exchange Act Rule 0-11 (set forth the amount on which the filing fee is calculated and state how it was determined):</w:t>
      </w:r>
    </w:p>
    <w:p>
      <w:pPr>
        <w:spacing w:after="0" w:line="14" w:lineRule="exact"/>
        <w:rPr>
          <w:rFonts w:ascii="Arial" w:cs="Arial" w:eastAsia="Arial" w:hAnsi="Arial"/>
          <w:sz w:val="13"/>
          <w:szCs w:val="13"/>
          <w:color w:val="auto"/>
        </w:rPr>
      </w:pPr>
    </w:p>
    <w:p>
      <w:pPr>
        <w:ind w:left="162"/>
        <w:spacing w:after="0"/>
        <w:rPr>
          <w:rFonts w:ascii="Arial" w:cs="Arial" w:eastAsia="Arial" w:hAnsi="Arial"/>
          <w:sz w:val="13"/>
          <w:szCs w:val="13"/>
          <w:color w:val="auto"/>
        </w:rPr>
      </w:pPr>
      <w:r>
        <w:rPr>
          <w:rFonts w:ascii="Arial" w:cs="Arial" w:eastAsia="Arial" w:hAnsi="Arial"/>
          <w:sz w:val="11"/>
          <w:szCs w:val="11"/>
          <w:color w:val="auto"/>
        </w:rPr>
        <w:t>____________________________________________________________________________________________________________________________________________________________________________________</w:t>
      </w:r>
    </w:p>
    <w:p>
      <w:pPr>
        <w:spacing w:after="0" w:line="196" w:lineRule="exact"/>
        <w:rPr>
          <w:rFonts w:ascii="Arial" w:cs="Arial" w:eastAsia="Arial" w:hAnsi="Arial"/>
          <w:sz w:val="13"/>
          <w:szCs w:val="13"/>
          <w:color w:val="auto"/>
        </w:rPr>
      </w:pPr>
    </w:p>
    <w:p>
      <w:pPr>
        <w:ind w:left="162" w:hanging="123"/>
        <w:spacing w:after="0"/>
        <w:tabs>
          <w:tab w:leader="none" w:pos="162" w:val="left"/>
        </w:tabs>
        <w:numPr>
          <w:ilvl w:val="1"/>
          <w:numId w:val="3"/>
        </w:numPr>
        <w:rPr>
          <w:rFonts w:ascii="Arial" w:cs="Arial" w:eastAsia="Arial" w:hAnsi="Arial"/>
          <w:sz w:val="13"/>
          <w:szCs w:val="13"/>
          <w:color w:val="auto"/>
        </w:rPr>
      </w:pPr>
      <w:r>
        <w:rPr>
          <w:rFonts w:ascii="Arial" w:cs="Arial" w:eastAsia="Arial" w:hAnsi="Arial"/>
          <w:sz w:val="13"/>
          <w:szCs w:val="13"/>
          <w:color w:val="auto"/>
        </w:rPr>
        <w:t>Proposed maximum aggregate value of transaction:</w:t>
      </w:r>
    </w:p>
    <w:p>
      <w:pPr>
        <w:spacing w:after="0" w:line="14" w:lineRule="exact"/>
        <w:rPr>
          <w:rFonts w:ascii="Arial" w:cs="Arial" w:eastAsia="Arial" w:hAnsi="Arial"/>
          <w:sz w:val="13"/>
          <w:szCs w:val="13"/>
          <w:color w:val="auto"/>
        </w:rPr>
      </w:pPr>
    </w:p>
    <w:p>
      <w:pPr>
        <w:ind w:left="162"/>
        <w:spacing w:after="0"/>
        <w:rPr>
          <w:rFonts w:ascii="Arial" w:cs="Arial" w:eastAsia="Arial" w:hAnsi="Arial"/>
          <w:sz w:val="13"/>
          <w:szCs w:val="13"/>
          <w:color w:val="auto"/>
        </w:rPr>
      </w:pPr>
      <w:r>
        <w:rPr>
          <w:rFonts w:ascii="Arial" w:cs="Arial" w:eastAsia="Arial" w:hAnsi="Arial"/>
          <w:sz w:val="11"/>
          <w:szCs w:val="11"/>
          <w:color w:val="auto"/>
        </w:rPr>
        <w:t>____________________________________________________________________________________________________________________________________________________________________________________</w:t>
      </w:r>
    </w:p>
    <w:p>
      <w:pPr>
        <w:spacing w:after="0" w:line="196" w:lineRule="exact"/>
        <w:rPr>
          <w:rFonts w:ascii="Arial" w:cs="Arial" w:eastAsia="Arial" w:hAnsi="Arial"/>
          <w:sz w:val="13"/>
          <w:szCs w:val="13"/>
          <w:color w:val="auto"/>
        </w:rPr>
      </w:pPr>
    </w:p>
    <w:p>
      <w:pPr>
        <w:ind w:left="162" w:hanging="123"/>
        <w:spacing w:after="0"/>
        <w:tabs>
          <w:tab w:leader="none" w:pos="162" w:val="left"/>
        </w:tabs>
        <w:numPr>
          <w:ilvl w:val="1"/>
          <w:numId w:val="3"/>
        </w:numPr>
        <w:rPr>
          <w:rFonts w:ascii="Arial" w:cs="Arial" w:eastAsia="Arial" w:hAnsi="Arial"/>
          <w:sz w:val="13"/>
          <w:szCs w:val="13"/>
          <w:color w:val="auto"/>
        </w:rPr>
      </w:pPr>
      <w:r>
        <w:rPr>
          <w:rFonts w:ascii="Arial" w:cs="Arial" w:eastAsia="Arial" w:hAnsi="Arial"/>
          <w:sz w:val="13"/>
          <w:szCs w:val="13"/>
          <w:color w:val="auto"/>
        </w:rPr>
        <w:t>Total fee paid:</w:t>
      </w:r>
    </w:p>
    <w:p>
      <w:pPr>
        <w:spacing w:after="0" w:line="14" w:lineRule="exact"/>
        <w:rPr>
          <w:rFonts w:ascii="Arial" w:cs="Arial" w:eastAsia="Arial" w:hAnsi="Arial"/>
          <w:sz w:val="13"/>
          <w:szCs w:val="13"/>
          <w:color w:val="auto"/>
        </w:rPr>
      </w:pPr>
    </w:p>
    <w:p>
      <w:pPr>
        <w:ind w:left="162"/>
        <w:spacing w:after="0"/>
        <w:rPr>
          <w:rFonts w:ascii="Arial" w:cs="Arial" w:eastAsia="Arial" w:hAnsi="Arial"/>
          <w:sz w:val="13"/>
          <w:szCs w:val="13"/>
          <w:color w:val="auto"/>
        </w:rPr>
      </w:pPr>
      <w:r>
        <w:rPr>
          <w:rFonts w:ascii="Arial" w:cs="Arial" w:eastAsia="Arial" w:hAnsi="Arial"/>
          <w:sz w:val="11"/>
          <w:szCs w:val="11"/>
          <w:color w:val="auto"/>
        </w:rPr>
        <w:t>____________________________________________________________________________________________________________________________________________________________________________________</w:t>
      </w:r>
    </w:p>
    <w:p>
      <w:pPr>
        <w:spacing w:after="0" w:line="372" w:lineRule="exact"/>
        <w:rPr>
          <w:sz w:val="24"/>
          <w:szCs w:val="24"/>
          <w:color w:val="auto"/>
        </w:rPr>
      </w:pPr>
    </w:p>
    <w:p>
      <w:pPr>
        <w:ind w:left="2"/>
        <w:spacing w:after="0"/>
        <w:tabs>
          <w:tab w:leader="none" w:pos="442" w:val="left"/>
        </w:tabs>
        <w:rPr>
          <w:sz w:val="20"/>
          <w:szCs w:val="20"/>
          <w:color w:val="auto"/>
        </w:rPr>
      </w:pPr>
      <w:r>
        <w:rPr>
          <w:rFonts w:ascii="Arial" w:cs="Arial" w:eastAsia="Arial" w:hAnsi="Arial"/>
          <w:sz w:val="13"/>
          <w:szCs w:val="13"/>
          <w:color w:val="auto"/>
        </w:rPr>
        <w:t>[  ]</w:t>
      </w:r>
      <w:r>
        <w:rPr>
          <w:sz w:val="20"/>
          <w:szCs w:val="20"/>
          <w:color w:val="auto"/>
        </w:rPr>
        <w:tab/>
      </w:r>
      <w:r>
        <w:rPr>
          <w:rFonts w:ascii="Arial" w:cs="Arial" w:eastAsia="Arial" w:hAnsi="Arial"/>
          <w:sz w:val="12"/>
          <w:szCs w:val="12"/>
          <w:color w:val="auto"/>
        </w:rPr>
        <w:t>Fee paid previously with preliminary materials.</w:t>
      </w:r>
    </w:p>
    <w:p>
      <w:pPr>
        <w:spacing w:after="0" w:line="14" w:lineRule="exact"/>
        <w:rPr>
          <w:sz w:val="24"/>
          <w:szCs w:val="24"/>
          <w:color w:val="auto"/>
        </w:rPr>
      </w:pPr>
    </w:p>
    <w:p>
      <w:pPr>
        <w:ind w:left="462" w:right="80" w:hanging="462"/>
        <w:spacing w:after="0" w:line="250" w:lineRule="auto"/>
        <w:tabs>
          <w:tab w:leader="none" w:pos="135" w:val="left"/>
        </w:tabs>
        <w:numPr>
          <w:ilvl w:val="0"/>
          <w:numId w:val="4"/>
        </w:numPr>
        <w:rPr>
          <w:rFonts w:ascii="Arial" w:cs="Arial" w:eastAsia="Arial" w:hAnsi="Arial"/>
          <w:sz w:val="13"/>
          <w:szCs w:val="13"/>
          <w:color w:val="auto"/>
        </w:rPr>
      </w:pPr>
      <w:r>
        <w:rPr>
          <w:rFonts w:ascii="Arial" w:cs="Arial" w:eastAsia="Arial" w:hAnsi="Arial"/>
          <w:sz w:val="13"/>
          <w:szCs w:val="13"/>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ind w:left="162" w:hanging="123"/>
        <w:spacing w:after="0"/>
        <w:tabs>
          <w:tab w:leader="none" w:pos="162" w:val="left"/>
        </w:tabs>
        <w:numPr>
          <w:ilvl w:val="1"/>
          <w:numId w:val="4"/>
        </w:numPr>
        <w:rPr>
          <w:rFonts w:ascii="Arial" w:cs="Arial" w:eastAsia="Arial" w:hAnsi="Arial"/>
          <w:sz w:val="13"/>
          <w:szCs w:val="13"/>
          <w:color w:val="auto"/>
        </w:rPr>
      </w:pPr>
      <w:r>
        <w:rPr>
          <w:rFonts w:ascii="Arial" w:cs="Arial" w:eastAsia="Arial" w:hAnsi="Arial"/>
          <w:sz w:val="13"/>
          <w:szCs w:val="13"/>
          <w:color w:val="auto"/>
        </w:rPr>
        <w:t>Amount Previously Paid:</w:t>
      </w:r>
    </w:p>
    <w:p>
      <w:pPr>
        <w:spacing w:after="0" w:line="6" w:lineRule="exact"/>
        <w:rPr>
          <w:rFonts w:ascii="Arial" w:cs="Arial" w:eastAsia="Arial" w:hAnsi="Arial"/>
          <w:sz w:val="13"/>
          <w:szCs w:val="13"/>
          <w:color w:val="auto"/>
        </w:rPr>
      </w:pPr>
    </w:p>
    <w:p>
      <w:pPr>
        <w:ind w:left="162"/>
        <w:spacing w:after="0"/>
        <w:rPr>
          <w:rFonts w:ascii="Arial" w:cs="Arial" w:eastAsia="Arial" w:hAnsi="Arial"/>
          <w:sz w:val="13"/>
          <w:szCs w:val="13"/>
          <w:color w:val="auto"/>
        </w:rPr>
      </w:pPr>
      <w:r>
        <w:rPr>
          <w:rFonts w:ascii="Arial" w:cs="Arial" w:eastAsia="Arial" w:hAnsi="Arial"/>
          <w:sz w:val="11"/>
          <w:szCs w:val="11"/>
          <w:color w:val="auto"/>
        </w:rPr>
        <w:t>____________________________________________________________________________________________________________________________________________________________________________________</w:t>
      </w:r>
    </w:p>
    <w:p>
      <w:pPr>
        <w:spacing w:after="0" w:line="196" w:lineRule="exact"/>
        <w:rPr>
          <w:rFonts w:ascii="Arial" w:cs="Arial" w:eastAsia="Arial" w:hAnsi="Arial"/>
          <w:sz w:val="13"/>
          <w:szCs w:val="13"/>
          <w:color w:val="auto"/>
        </w:rPr>
      </w:pPr>
    </w:p>
    <w:p>
      <w:pPr>
        <w:ind w:left="162" w:hanging="123"/>
        <w:spacing w:after="0"/>
        <w:tabs>
          <w:tab w:leader="none" w:pos="162" w:val="left"/>
        </w:tabs>
        <w:numPr>
          <w:ilvl w:val="1"/>
          <w:numId w:val="4"/>
        </w:numPr>
        <w:rPr>
          <w:rFonts w:ascii="Arial" w:cs="Arial" w:eastAsia="Arial" w:hAnsi="Arial"/>
          <w:sz w:val="13"/>
          <w:szCs w:val="13"/>
          <w:color w:val="auto"/>
        </w:rPr>
      </w:pPr>
      <w:r>
        <w:rPr>
          <w:rFonts w:ascii="Arial" w:cs="Arial" w:eastAsia="Arial" w:hAnsi="Arial"/>
          <w:sz w:val="13"/>
          <w:szCs w:val="13"/>
          <w:color w:val="auto"/>
        </w:rPr>
        <w:t>Form, Schedule or Registration Statement No.:</w:t>
      </w:r>
    </w:p>
    <w:p>
      <w:pPr>
        <w:spacing w:after="0" w:line="14" w:lineRule="exact"/>
        <w:rPr>
          <w:rFonts w:ascii="Arial" w:cs="Arial" w:eastAsia="Arial" w:hAnsi="Arial"/>
          <w:sz w:val="13"/>
          <w:szCs w:val="13"/>
          <w:color w:val="auto"/>
        </w:rPr>
      </w:pPr>
    </w:p>
    <w:p>
      <w:pPr>
        <w:ind w:left="162"/>
        <w:spacing w:after="0"/>
        <w:rPr>
          <w:rFonts w:ascii="Arial" w:cs="Arial" w:eastAsia="Arial" w:hAnsi="Arial"/>
          <w:sz w:val="13"/>
          <w:szCs w:val="13"/>
          <w:color w:val="auto"/>
        </w:rPr>
      </w:pPr>
      <w:r>
        <w:rPr>
          <w:rFonts w:ascii="Arial" w:cs="Arial" w:eastAsia="Arial" w:hAnsi="Arial"/>
          <w:sz w:val="11"/>
          <w:szCs w:val="11"/>
          <w:color w:val="auto"/>
        </w:rPr>
        <w:t>____________________________________________________________________________________________________________________________________________________________________________________</w:t>
      </w:r>
    </w:p>
    <w:p>
      <w:pPr>
        <w:spacing w:after="0" w:line="196" w:lineRule="exact"/>
        <w:rPr>
          <w:rFonts w:ascii="Arial" w:cs="Arial" w:eastAsia="Arial" w:hAnsi="Arial"/>
          <w:sz w:val="13"/>
          <w:szCs w:val="13"/>
          <w:color w:val="auto"/>
        </w:rPr>
      </w:pPr>
    </w:p>
    <w:p>
      <w:pPr>
        <w:ind w:left="162" w:hanging="123"/>
        <w:spacing w:after="0"/>
        <w:tabs>
          <w:tab w:leader="none" w:pos="162" w:val="left"/>
        </w:tabs>
        <w:numPr>
          <w:ilvl w:val="1"/>
          <w:numId w:val="4"/>
        </w:numPr>
        <w:rPr>
          <w:rFonts w:ascii="Arial" w:cs="Arial" w:eastAsia="Arial" w:hAnsi="Arial"/>
          <w:sz w:val="13"/>
          <w:szCs w:val="13"/>
          <w:color w:val="auto"/>
        </w:rPr>
      </w:pPr>
      <w:r>
        <w:rPr>
          <w:rFonts w:ascii="Arial" w:cs="Arial" w:eastAsia="Arial" w:hAnsi="Arial"/>
          <w:sz w:val="13"/>
          <w:szCs w:val="13"/>
          <w:color w:val="auto"/>
        </w:rPr>
        <w:t>Filing Pary:</w:t>
      </w:r>
    </w:p>
    <w:p>
      <w:pPr>
        <w:spacing w:after="0" w:line="14" w:lineRule="exact"/>
        <w:rPr>
          <w:rFonts w:ascii="Arial" w:cs="Arial" w:eastAsia="Arial" w:hAnsi="Arial"/>
          <w:sz w:val="13"/>
          <w:szCs w:val="13"/>
          <w:color w:val="auto"/>
        </w:rPr>
      </w:pPr>
    </w:p>
    <w:p>
      <w:pPr>
        <w:ind w:left="162"/>
        <w:spacing w:after="0"/>
        <w:rPr>
          <w:rFonts w:ascii="Arial" w:cs="Arial" w:eastAsia="Arial" w:hAnsi="Arial"/>
          <w:sz w:val="13"/>
          <w:szCs w:val="13"/>
          <w:color w:val="auto"/>
        </w:rPr>
      </w:pPr>
      <w:r>
        <w:rPr>
          <w:rFonts w:ascii="Arial" w:cs="Arial" w:eastAsia="Arial" w:hAnsi="Arial"/>
          <w:sz w:val="11"/>
          <w:szCs w:val="11"/>
          <w:color w:val="auto"/>
        </w:rPr>
        <w:t>____________________________________________________________________________________________________________________________________________________________________________________</w:t>
      </w:r>
    </w:p>
    <w:p>
      <w:pPr>
        <w:spacing w:after="0" w:line="196" w:lineRule="exact"/>
        <w:rPr>
          <w:rFonts w:ascii="Arial" w:cs="Arial" w:eastAsia="Arial" w:hAnsi="Arial"/>
          <w:sz w:val="13"/>
          <w:szCs w:val="13"/>
          <w:color w:val="auto"/>
        </w:rPr>
      </w:pPr>
    </w:p>
    <w:p>
      <w:pPr>
        <w:ind w:left="162" w:hanging="123"/>
        <w:spacing w:after="0"/>
        <w:tabs>
          <w:tab w:leader="none" w:pos="162" w:val="left"/>
        </w:tabs>
        <w:numPr>
          <w:ilvl w:val="1"/>
          <w:numId w:val="4"/>
        </w:numPr>
        <w:rPr>
          <w:rFonts w:ascii="Arial" w:cs="Arial" w:eastAsia="Arial" w:hAnsi="Arial"/>
          <w:sz w:val="13"/>
          <w:szCs w:val="13"/>
          <w:color w:val="auto"/>
        </w:rPr>
      </w:pPr>
      <w:r>
        <w:rPr>
          <w:rFonts w:ascii="Arial" w:cs="Arial" w:eastAsia="Arial" w:hAnsi="Arial"/>
          <w:sz w:val="13"/>
          <w:szCs w:val="13"/>
          <w:color w:val="auto"/>
        </w:rPr>
        <w:t>Date Filed:</w:t>
      </w:r>
    </w:p>
    <w:p>
      <w:pPr>
        <w:spacing w:after="0" w:line="14" w:lineRule="exact"/>
        <w:rPr>
          <w:rFonts w:ascii="Arial" w:cs="Arial" w:eastAsia="Arial" w:hAnsi="Arial"/>
          <w:sz w:val="13"/>
          <w:szCs w:val="13"/>
          <w:color w:val="auto"/>
        </w:rPr>
      </w:pPr>
    </w:p>
    <w:p>
      <w:pPr>
        <w:ind w:left="162"/>
        <w:spacing w:after="0"/>
        <w:rPr>
          <w:rFonts w:ascii="Arial" w:cs="Arial" w:eastAsia="Arial" w:hAnsi="Arial"/>
          <w:sz w:val="13"/>
          <w:szCs w:val="13"/>
          <w:color w:val="auto"/>
        </w:rPr>
      </w:pPr>
      <w:r>
        <w:rPr>
          <w:rFonts w:ascii="Arial" w:cs="Arial" w:eastAsia="Arial" w:hAnsi="Arial"/>
          <w:sz w:val="11"/>
          <w:szCs w:val="11"/>
          <w:color w:val="auto"/>
        </w:rPr>
        <w:t>____________________________________________________________________________________________________________________________________________________________________________________</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wp:posOffset>
            </wp:positionH>
            <wp:positionV relativeFrom="paragraph">
              <wp:posOffset>467360</wp:posOffset>
            </wp:positionV>
            <wp:extent cx="7291070" cy="1905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91070" cy="19050"/>
                    </a:xfrm>
                    <a:prstGeom prst="rect">
                      <a:avLst/>
                    </a:prstGeom>
                    <a:noFill/>
                  </pic:spPr>
                </pic:pic>
              </a:graphicData>
            </a:graphic>
          </wp:anchor>
        </w:drawing>
      </w:r>
    </w:p>
    <w:p>
      <w:pPr>
        <w:sectPr>
          <w:pgSz w:w="11900" w:h="16838" w:orient="portrait"/>
          <w:cols w:equalWidth="0" w:num="1">
            <w:col w:w="11542"/>
          </w:cols>
          <w:pgMar w:left="218" w:top="555" w:right="139" w:bottom="1440" w:gutter="0" w:footer="0" w:header="0"/>
        </w:sectPr>
      </w:pPr>
    </w:p>
    <w:bookmarkStart w:id="1" w:name="page2"/>
    <w:bookmarkEnd w:id="1"/>
    <w:p>
      <w:pPr>
        <w:jc w:val="center"/>
        <w:spacing w:after="0"/>
        <w:rPr>
          <w:sz w:val="20"/>
          <w:szCs w:val="20"/>
          <w:color w:val="auto"/>
        </w:rPr>
      </w:pPr>
      <w:r>
        <w:rPr>
          <w:rFonts w:ascii="Arial" w:cs="Arial" w:eastAsia="Arial" w:hAnsi="Arial"/>
          <w:sz w:val="13"/>
          <w:szCs w:val="13"/>
          <w:b w:val="1"/>
          <w:bCs w:val="1"/>
          <w:color w:val="auto"/>
        </w:rPr>
        <w:t>CLEARONE COMMUNICATIONS, INC.</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NOTICE OF ANNUAL MEETING OF SHAREHOLDERS</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NOVEMBER 14, 2008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2509520</wp:posOffset>
            </wp:positionH>
            <wp:positionV relativeFrom="paragraph">
              <wp:posOffset>123190</wp:posOffset>
            </wp:positionV>
            <wp:extent cx="2269490" cy="3651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269490" cy="3651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ind w:firstLine="467"/>
        <w:spacing w:after="0" w:line="272" w:lineRule="auto"/>
        <w:rPr>
          <w:sz w:val="20"/>
          <w:szCs w:val="20"/>
          <w:color w:val="auto"/>
        </w:rPr>
      </w:pPr>
      <w:r>
        <w:rPr>
          <w:rFonts w:ascii="Arial" w:cs="Arial" w:eastAsia="Arial" w:hAnsi="Arial"/>
          <w:sz w:val="13"/>
          <w:szCs w:val="13"/>
          <w:color w:val="auto"/>
        </w:rPr>
        <w:t>The Annual Meeting of Shareholders of ClearOne Communications, Inc., a Utah corporation, will be held at 9:00 a.m., local time, on Friday, November 14, 2008, at our corporate offices, 5225 Wiley Post Way, Suite 500, Salt Lake City, Utah 84116.</w:t>
      </w:r>
    </w:p>
    <w:p>
      <w:pPr>
        <w:spacing w:after="0" w:line="148" w:lineRule="exact"/>
        <w:rPr>
          <w:sz w:val="20"/>
          <w:szCs w:val="20"/>
          <w:color w:val="auto"/>
        </w:rPr>
      </w:pPr>
    </w:p>
    <w:p>
      <w:pPr>
        <w:ind w:left="460"/>
        <w:spacing w:after="0"/>
        <w:rPr>
          <w:sz w:val="20"/>
          <w:szCs w:val="20"/>
          <w:color w:val="auto"/>
        </w:rPr>
      </w:pPr>
      <w:r>
        <w:rPr>
          <w:rFonts w:ascii="Arial" w:cs="Arial" w:eastAsia="Arial" w:hAnsi="Arial"/>
          <w:sz w:val="13"/>
          <w:szCs w:val="13"/>
          <w:color w:val="auto"/>
        </w:rPr>
        <w:t>Attendance at the meeting will be limited to shareholders of record (or their authorized representatives) at the close of business on September 29, 2008.</w:t>
      </w:r>
    </w:p>
    <w:p>
      <w:pPr>
        <w:spacing w:after="0" w:line="182" w:lineRule="exact"/>
        <w:rPr>
          <w:sz w:val="20"/>
          <w:szCs w:val="20"/>
          <w:color w:val="auto"/>
        </w:rPr>
      </w:pPr>
    </w:p>
    <w:p>
      <w:pPr>
        <w:ind w:left="460"/>
        <w:spacing w:after="0"/>
        <w:rPr>
          <w:sz w:val="20"/>
          <w:szCs w:val="20"/>
          <w:color w:val="auto"/>
        </w:rPr>
      </w:pPr>
      <w:r>
        <w:rPr>
          <w:rFonts w:ascii="Arial" w:cs="Arial" w:eastAsia="Arial" w:hAnsi="Arial"/>
          <w:sz w:val="13"/>
          <w:szCs w:val="13"/>
          <w:color w:val="auto"/>
        </w:rPr>
        <w:t>The following describes the purpose of the Annual Meeting:</w:t>
      </w:r>
    </w:p>
    <w:p>
      <w:pPr>
        <w:spacing w:after="0" w:line="182" w:lineRule="exact"/>
        <w:rPr>
          <w:sz w:val="20"/>
          <w:szCs w:val="20"/>
          <w:color w:val="auto"/>
        </w:rPr>
      </w:pPr>
    </w:p>
    <w:p>
      <w:pPr>
        <w:ind w:left="940" w:hanging="475"/>
        <w:spacing w:after="0"/>
        <w:tabs>
          <w:tab w:leader="none" w:pos="940" w:val="left"/>
        </w:tabs>
        <w:numPr>
          <w:ilvl w:val="0"/>
          <w:numId w:val="5"/>
        </w:numPr>
        <w:rPr>
          <w:rFonts w:ascii="Arial" w:cs="Arial" w:eastAsia="Arial" w:hAnsi="Arial"/>
          <w:sz w:val="13"/>
          <w:szCs w:val="13"/>
          <w:color w:val="auto"/>
        </w:rPr>
      </w:pPr>
      <w:r>
        <w:rPr>
          <w:rFonts w:ascii="Arial" w:cs="Arial" w:eastAsia="Arial" w:hAnsi="Arial"/>
          <w:sz w:val="13"/>
          <w:szCs w:val="13"/>
          <w:color w:val="auto"/>
        </w:rPr>
        <w:t>To elect four members of our Board of Directors;</w:t>
      </w:r>
    </w:p>
    <w:p>
      <w:pPr>
        <w:spacing w:after="0" w:line="181" w:lineRule="exact"/>
        <w:rPr>
          <w:rFonts w:ascii="Arial" w:cs="Arial" w:eastAsia="Arial" w:hAnsi="Arial"/>
          <w:sz w:val="13"/>
          <w:szCs w:val="13"/>
          <w:color w:val="auto"/>
        </w:rPr>
      </w:pPr>
    </w:p>
    <w:p>
      <w:pPr>
        <w:ind w:left="940" w:hanging="475"/>
        <w:spacing w:after="0"/>
        <w:tabs>
          <w:tab w:leader="none" w:pos="940" w:val="left"/>
        </w:tabs>
        <w:numPr>
          <w:ilvl w:val="0"/>
          <w:numId w:val="5"/>
        </w:numPr>
        <w:rPr>
          <w:rFonts w:ascii="Arial" w:cs="Arial" w:eastAsia="Arial" w:hAnsi="Arial"/>
          <w:sz w:val="13"/>
          <w:szCs w:val="13"/>
          <w:color w:val="auto"/>
        </w:rPr>
      </w:pPr>
      <w:r>
        <w:rPr>
          <w:rFonts w:ascii="Arial" w:cs="Arial" w:eastAsia="Arial" w:hAnsi="Arial"/>
          <w:sz w:val="13"/>
          <w:szCs w:val="13"/>
          <w:color w:val="auto"/>
        </w:rPr>
        <w:t>To transact such other business as may properly come before the meeting or any adjournment thereof.</w:t>
      </w:r>
    </w:p>
    <w:p>
      <w:pPr>
        <w:spacing w:after="0" w:line="182" w:lineRule="exact"/>
        <w:rPr>
          <w:sz w:val="20"/>
          <w:szCs w:val="20"/>
          <w:color w:val="auto"/>
        </w:rPr>
      </w:pPr>
    </w:p>
    <w:p>
      <w:pPr>
        <w:ind w:firstLine="467"/>
        <w:spacing w:after="0" w:line="272" w:lineRule="auto"/>
        <w:rPr>
          <w:sz w:val="20"/>
          <w:szCs w:val="20"/>
          <w:color w:val="auto"/>
        </w:rPr>
      </w:pPr>
      <w:r>
        <w:rPr>
          <w:rFonts w:ascii="Arial" w:cs="Arial" w:eastAsia="Arial" w:hAnsi="Arial"/>
          <w:sz w:val="13"/>
          <w:szCs w:val="13"/>
          <w:color w:val="auto"/>
        </w:rPr>
        <w:t>The foregoing items of business are more fully described in the proxy statement accompanying this notice. Our Board of Directors recommends that an affirmative vote be cast in favor of all nominees listed in the proxy statement.</w:t>
      </w:r>
    </w:p>
    <w:p>
      <w:pPr>
        <w:spacing w:after="0" w:line="148" w:lineRule="exact"/>
        <w:rPr>
          <w:sz w:val="20"/>
          <w:szCs w:val="20"/>
          <w:color w:val="auto"/>
        </w:rPr>
      </w:pPr>
    </w:p>
    <w:p>
      <w:pPr>
        <w:ind w:firstLine="467"/>
        <w:spacing w:after="0" w:line="315" w:lineRule="auto"/>
        <w:rPr>
          <w:sz w:val="20"/>
          <w:szCs w:val="20"/>
          <w:color w:val="auto"/>
        </w:rPr>
      </w:pPr>
      <w:r>
        <w:rPr>
          <w:rFonts w:ascii="Arial" w:cs="Arial" w:eastAsia="Arial" w:hAnsi="Arial"/>
          <w:sz w:val="12"/>
          <w:szCs w:val="12"/>
          <w:color w:val="auto"/>
        </w:rPr>
        <w:t>All shareholders are cordially invited to attend the meeting and vote in person. However, to ensure your representation at the meeting, you are urged to mark, sign, date, and return the enclosed proxy as promptly as possible in the postage-prepaid envelope enclosed for that purpose. Any shareholder attending the meeting may vote in person even if such shareholder has previously returned a proxy.</w:t>
      </w:r>
    </w:p>
    <w:p>
      <w:pPr>
        <w:spacing w:after="0" w:line="125" w:lineRule="exact"/>
        <w:rPr>
          <w:sz w:val="20"/>
          <w:szCs w:val="20"/>
          <w:color w:val="auto"/>
        </w:rPr>
      </w:pPr>
    </w:p>
    <w:p>
      <w:pPr>
        <w:jc w:val="center"/>
        <w:ind w:left="520"/>
        <w:spacing w:after="0"/>
        <w:rPr>
          <w:sz w:val="20"/>
          <w:szCs w:val="20"/>
          <w:color w:val="auto"/>
        </w:rPr>
      </w:pPr>
      <w:r>
        <w:rPr>
          <w:rFonts w:ascii="Arial" w:cs="Arial" w:eastAsia="Arial" w:hAnsi="Arial"/>
          <w:sz w:val="13"/>
          <w:szCs w:val="13"/>
          <w:color w:val="auto"/>
        </w:rPr>
        <w:t>Sincerely,</w:t>
      </w:r>
    </w:p>
    <w:p>
      <w:pPr>
        <w:spacing w:after="0" w:line="200" w:lineRule="exact"/>
        <w:rPr>
          <w:sz w:val="20"/>
          <w:szCs w:val="20"/>
          <w:color w:val="auto"/>
        </w:rPr>
      </w:pPr>
    </w:p>
    <w:p>
      <w:pPr>
        <w:spacing w:after="0" w:line="274" w:lineRule="exact"/>
        <w:rPr>
          <w:sz w:val="20"/>
          <w:szCs w:val="20"/>
          <w:color w:val="auto"/>
        </w:rPr>
      </w:pPr>
    </w:p>
    <w:p>
      <w:pPr>
        <w:ind w:left="5740"/>
        <w:spacing w:after="0"/>
        <w:rPr>
          <w:sz w:val="20"/>
          <w:szCs w:val="20"/>
          <w:color w:val="auto"/>
        </w:rPr>
      </w:pPr>
      <w:r>
        <w:rPr>
          <w:rFonts w:ascii="Arial" w:cs="Arial" w:eastAsia="Arial" w:hAnsi="Arial"/>
          <w:sz w:val="13"/>
          <w:szCs w:val="13"/>
          <w:color w:val="auto"/>
        </w:rPr>
        <w:t>/s/ Greg A. LeClaire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3641090</wp:posOffset>
            </wp:positionH>
            <wp:positionV relativeFrom="paragraph">
              <wp:posOffset>9525</wp:posOffset>
            </wp:positionV>
            <wp:extent cx="3642360" cy="120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642360" cy="12065"/>
                    </a:xfrm>
                    <a:prstGeom prst="rect">
                      <a:avLst/>
                    </a:prstGeom>
                    <a:noFill/>
                  </pic:spPr>
                </pic:pic>
              </a:graphicData>
            </a:graphic>
          </wp:anchor>
        </w:drawing>
      </w:r>
    </w:p>
    <w:p>
      <w:pPr>
        <w:spacing w:after="0" w:line="6" w:lineRule="exact"/>
        <w:rPr>
          <w:sz w:val="20"/>
          <w:szCs w:val="20"/>
          <w:color w:val="auto"/>
        </w:rPr>
      </w:pPr>
    </w:p>
    <w:p>
      <w:pPr>
        <w:ind w:left="5740"/>
        <w:spacing w:after="0"/>
        <w:rPr>
          <w:sz w:val="20"/>
          <w:szCs w:val="20"/>
          <w:color w:val="auto"/>
        </w:rPr>
      </w:pPr>
      <w:r>
        <w:rPr>
          <w:rFonts w:ascii="Arial" w:cs="Arial" w:eastAsia="Arial" w:hAnsi="Arial"/>
          <w:sz w:val="13"/>
          <w:szCs w:val="13"/>
          <w:color w:val="auto"/>
        </w:rPr>
        <w:t>Greg A. LeClaire</w:t>
      </w:r>
    </w:p>
    <w:p>
      <w:pPr>
        <w:spacing w:after="0" w:line="14" w:lineRule="exact"/>
        <w:rPr>
          <w:sz w:val="20"/>
          <w:szCs w:val="20"/>
          <w:color w:val="auto"/>
        </w:rPr>
      </w:pPr>
    </w:p>
    <w:p>
      <w:pPr>
        <w:ind w:left="5740"/>
        <w:spacing w:after="0"/>
        <w:rPr>
          <w:sz w:val="20"/>
          <w:szCs w:val="20"/>
          <w:color w:val="auto"/>
        </w:rPr>
      </w:pPr>
      <w:r>
        <w:rPr>
          <w:rFonts w:ascii="Arial" w:cs="Arial" w:eastAsia="Arial" w:hAnsi="Arial"/>
          <w:sz w:val="13"/>
          <w:szCs w:val="13"/>
          <w:i w:val="1"/>
          <w:iCs w:val="1"/>
          <w:color w:val="auto"/>
        </w:rPr>
        <w:t>Chief Financial Officer and Corporate Secretary</w:t>
      </w:r>
    </w:p>
    <w:p>
      <w:pPr>
        <w:spacing w:after="0" w:line="174" w:lineRule="exact"/>
        <w:rPr>
          <w:sz w:val="20"/>
          <w:szCs w:val="20"/>
          <w:color w:val="auto"/>
        </w:rPr>
      </w:pPr>
    </w:p>
    <w:p>
      <w:pPr>
        <w:spacing w:after="0"/>
        <w:rPr>
          <w:sz w:val="20"/>
          <w:szCs w:val="20"/>
          <w:color w:val="auto"/>
        </w:rPr>
      </w:pPr>
      <w:r>
        <w:rPr>
          <w:rFonts w:ascii="Arial" w:cs="Arial" w:eastAsia="Arial" w:hAnsi="Arial"/>
          <w:sz w:val="13"/>
          <w:szCs w:val="13"/>
          <w:color w:val="auto"/>
        </w:rPr>
        <w:t>Salt Lake City, Utah</w:t>
      </w:r>
    </w:p>
    <w:p>
      <w:pPr>
        <w:spacing w:after="0" w:line="14" w:lineRule="exact"/>
        <w:rPr>
          <w:sz w:val="20"/>
          <w:szCs w:val="20"/>
          <w:color w:val="auto"/>
        </w:rPr>
      </w:pPr>
    </w:p>
    <w:p>
      <w:pPr>
        <w:spacing w:after="0"/>
        <w:rPr>
          <w:sz w:val="20"/>
          <w:szCs w:val="20"/>
          <w:color w:val="auto"/>
        </w:rPr>
      </w:pPr>
      <w:r>
        <w:rPr>
          <w:rFonts w:ascii="Arial" w:cs="Arial" w:eastAsia="Arial" w:hAnsi="Arial"/>
          <w:sz w:val="13"/>
          <w:szCs w:val="13"/>
          <w:color w:val="auto"/>
        </w:rPr>
        <w:t>September 29, 2008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563880</wp:posOffset>
            </wp:positionV>
            <wp:extent cx="7291070" cy="1905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91070" cy="19050"/>
                    </a:xfrm>
                    <a:prstGeom prst="rect">
                      <a:avLst/>
                    </a:prstGeom>
                    <a:noFill/>
                  </pic:spPr>
                </pic:pic>
              </a:graphicData>
            </a:graphic>
          </wp:anchor>
        </w:drawing>
      </w:r>
    </w:p>
    <w:p>
      <w:pPr>
        <w:sectPr>
          <w:pgSz w:w="11900" w:h="16838" w:orient="portrait"/>
          <w:cols w:equalWidth="0" w:num="1">
            <w:col w:w="11460"/>
          </w:cols>
          <w:pgMar w:left="220" w:top="409" w:right="219" w:bottom="1440" w:gutter="0" w:footer="0" w:header="0"/>
        </w:sectPr>
      </w:pPr>
    </w:p>
    <w:bookmarkStart w:id="2" w:name="page3"/>
    <w:bookmarkEnd w:id="2"/>
    <w:p>
      <w:pPr>
        <w:jc w:val="center"/>
        <w:spacing w:after="0"/>
        <w:rPr>
          <w:sz w:val="20"/>
          <w:szCs w:val="20"/>
          <w:color w:val="auto"/>
        </w:rPr>
      </w:pPr>
      <w:r>
        <w:rPr>
          <w:rFonts w:ascii="Arial" w:cs="Arial" w:eastAsia="Arial" w:hAnsi="Arial"/>
          <w:sz w:val="16"/>
          <w:szCs w:val="16"/>
          <w:b w:val="1"/>
          <w:bCs w:val="1"/>
          <w:color w:val="auto"/>
        </w:rPr>
        <w:t>CLEARONE COMMUNICATIONS, INC.</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5225 Wiley Post Way, Suite 500</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Salt Lake City, Utah 84116</w:t>
      </w:r>
    </w:p>
    <w:p>
      <w:pPr>
        <w:spacing w:after="0" w:line="6" w:lineRule="exact"/>
        <w:rPr>
          <w:sz w:val="20"/>
          <w:szCs w:val="20"/>
          <w:color w:val="auto"/>
        </w:rPr>
      </w:pPr>
    </w:p>
    <w:p>
      <w:pPr>
        <w:ind w:left="5240"/>
        <w:spacing w:after="0"/>
        <w:rPr>
          <w:sz w:val="20"/>
          <w:szCs w:val="20"/>
          <w:color w:val="auto"/>
        </w:rPr>
      </w:pPr>
      <w:r>
        <w:rPr>
          <w:rFonts w:ascii="Arial" w:cs="Arial" w:eastAsia="Arial" w:hAnsi="Arial"/>
          <w:sz w:val="13"/>
          <w:szCs w:val="13"/>
          <w:b w:val="1"/>
          <w:bCs w:val="1"/>
          <w:color w:val="auto"/>
        </w:rPr>
        <w:t>_______________</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PROXY STATEMENT</w:t>
      </w:r>
    </w:p>
    <w:p>
      <w:pPr>
        <w:spacing w:after="0" w:line="18" w:lineRule="exact"/>
        <w:rPr>
          <w:sz w:val="20"/>
          <w:szCs w:val="20"/>
          <w:color w:val="auto"/>
        </w:rPr>
      </w:pPr>
    </w:p>
    <w:p>
      <w:pPr>
        <w:ind w:left="5240"/>
        <w:spacing w:after="0"/>
        <w:rPr>
          <w:sz w:val="20"/>
          <w:szCs w:val="20"/>
          <w:color w:val="auto"/>
        </w:rPr>
      </w:pPr>
      <w:r>
        <w:rPr>
          <w:rFonts w:ascii="Arial" w:cs="Arial" w:eastAsia="Arial" w:hAnsi="Arial"/>
          <w:sz w:val="13"/>
          <w:szCs w:val="13"/>
          <w:b w:val="1"/>
          <w:bCs w:val="1"/>
          <w:color w:val="auto"/>
        </w:rPr>
        <w:t>_______________</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VOTING AND OTHER MATTERS</w:t>
      </w:r>
    </w:p>
    <w:p>
      <w:pPr>
        <w:spacing w:after="0" w:line="182"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General</w:t>
      </w:r>
    </w:p>
    <w:p>
      <w:pPr>
        <w:spacing w:after="0" w:line="186" w:lineRule="exact"/>
        <w:rPr>
          <w:sz w:val="20"/>
          <w:szCs w:val="20"/>
          <w:color w:val="auto"/>
        </w:rPr>
      </w:pPr>
    </w:p>
    <w:p>
      <w:pPr>
        <w:jc w:val="both"/>
        <w:ind w:firstLine="467"/>
        <w:spacing w:after="0" w:line="261" w:lineRule="auto"/>
        <w:rPr>
          <w:sz w:val="20"/>
          <w:szCs w:val="20"/>
          <w:color w:val="auto"/>
        </w:rPr>
      </w:pPr>
      <w:r>
        <w:rPr>
          <w:rFonts w:ascii="Arial" w:cs="Arial" w:eastAsia="Arial" w:hAnsi="Arial"/>
          <w:sz w:val="13"/>
          <w:szCs w:val="13"/>
          <w:color w:val="auto"/>
        </w:rPr>
        <w:t>The accompanying proxy is solicited on behalf of ClearOne Communications, Inc., a Utah corporation, by the Board of Directors for use at our 2008 Annual Meeting of Shareholders to be held November 14, 2008 at 9:00 a.m., local time, or at any postponement or adjournment thereof, for the purposes set forth herein and in the accompanying notice. The meeting will be held at the above date and time at our corporate offices, 5225 Wiley Post Way, Suite 500, Salt Lake City, Utah 84116.</w:t>
      </w:r>
    </w:p>
    <w:p>
      <w:pPr>
        <w:spacing w:after="0" w:line="155" w:lineRule="exact"/>
        <w:rPr>
          <w:sz w:val="20"/>
          <w:szCs w:val="20"/>
          <w:color w:val="auto"/>
        </w:rPr>
      </w:pPr>
    </w:p>
    <w:p>
      <w:pPr>
        <w:ind w:left="460"/>
        <w:spacing w:after="0"/>
        <w:rPr>
          <w:sz w:val="20"/>
          <w:szCs w:val="20"/>
          <w:color w:val="auto"/>
        </w:rPr>
      </w:pPr>
      <w:r>
        <w:rPr>
          <w:rFonts w:ascii="Arial" w:cs="Arial" w:eastAsia="Arial" w:hAnsi="Arial"/>
          <w:sz w:val="13"/>
          <w:szCs w:val="13"/>
          <w:color w:val="auto"/>
        </w:rPr>
        <w:t>These proxy solicitation materials were first distributed on or about October 14, 2008 to all shareholders entitled to vote at the meeting.</w:t>
      </w:r>
    </w:p>
    <w:p>
      <w:pPr>
        <w:spacing w:after="0" w:line="178"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Record Date and Shares Outstanding</w:t>
      </w:r>
    </w:p>
    <w:p>
      <w:pPr>
        <w:spacing w:after="0" w:line="186" w:lineRule="exact"/>
        <w:rPr>
          <w:sz w:val="20"/>
          <w:szCs w:val="20"/>
          <w:color w:val="auto"/>
        </w:rPr>
      </w:pPr>
    </w:p>
    <w:p>
      <w:pPr>
        <w:ind w:left="460"/>
        <w:spacing w:after="0"/>
        <w:rPr>
          <w:sz w:val="20"/>
          <w:szCs w:val="20"/>
          <w:color w:val="auto"/>
        </w:rPr>
      </w:pPr>
      <w:r>
        <w:rPr>
          <w:rFonts w:ascii="Arial" w:cs="Arial" w:eastAsia="Arial" w:hAnsi="Arial"/>
          <w:sz w:val="11"/>
          <w:szCs w:val="11"/>
          <w:color w:val="auto"/>
        </w:rPr>
        <w:t>Shareholders of record at the close of business on September 29, 2008 are entitled to notice of, and to vote at, the meeting. On the record date, 8,888,348 shares of common stock were issued and outstanding.</w:t>
      </w:r>
    </w:p>
    <w:p>
      <w:pPr>
        <w:spacing w:after="0" w:line="37" w:lineRule="exact"/>
        <w:rPr>
          <w:sz w:val="20"/>
          <w:szCs w:val="20"/>
          <w:color w:val="auto"/>
        </w:rPr>
      </w:pPr>
    </w:p>
    <w:p>
      <w:pPr>
        <w:spacing w:after="0"/>
        <w:rPr>
          <w:sz w:val="20"/>
          <w:szCs w:val="20"/>
          <w:color w:val="auto"/>
        </w:rPr>
      </w:pPr>
      <w:r>
        <w:rPr>
          <w:rFonts w:ascii="Arial" w:cs="Arial" w:eastAsia="Arial" w:hAnsi="Arial"/>
          <w:sz w:val="13"/>
          <w:szCs w:val="13"/>
          <w:color w:val="auto"/>
        </w:rPr>
        <w:t>Each holder of common stock will be entitled to one vote for each share of common stock held on the record date.</w:t>
      </w:r>
    </w:p>
    <w:p>
      <w:pPr>
        <w:spacing w:after="0" w:line="170"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Voting of Proxies</w:t>
      </w:r>
    </w:p>
    <w:p>
      <w:pPr>
        <w:spacing w:after="0" w:line="186" w:lineRule="exact"/>
        <w:rPr>
          <w:sz w:val="20"/>
          <w:szCs w:val="20"/>
          <w:color w:val="auto"/>
        </w:rPr>
      </w:pPr>
    </w:p>
    <w:p>
      <w:pPr>
        <w:jc w:val="both"/>
        <w:ind w:firstLine="467"/>
        <w:spacing w:after="0" w:line="261" w:lineRule="auto"/>
        <w:rPr>
          <w:sz w:val="20"/>
          <w:szCs w:val="20"/>
          <w:color w:val="auto"/>
        </w:rPr>
      </w:pPr>
      <w:r>
        <w:rPr>
          <w:rFonts w:ascii="Arial" w:cs="Arial" w:eastAsia="Arial" w:hAnsi="Arial"/>
          <w:sz w:val="13"/>
          <w:szCs w:val="13"/>
          <w:color w:val="auto"/>
        </w:rPr>
        <w:t>By completing and returning the accompanying proxy, the shareholder authorizes Zeynep Hakimoglu, Chairman and Chief Executive Officer, and Greg A. LeClaire, Chief Financial Officer, as designated on the face of the proxy, to vote all shares for the shareholder. All proxies that are properly signed and dated will be voted as the shareholder directs. If no direction is given, executed proxies will be voted FOR the election of each of the nominees set forth in this proxy statement.</w:t>
      </w:r>
    </w:p>
    <w:p>
      <w:pPr>
        <w:spacing w:after="0" w:line="151"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Vote Required for Approval</w:t>
      </w:r>
    </w:p>
    <w:p>
      <w:pPr>
        <w:spacing w:after="0" w:line="186" w:lineRule="exact"/>
        <w:rPr>
          <w:sz w:val="20"/>
          <w:szCs w:val="20"/>
          <w:color w:val="auto"/>
        </w:rPr>
      </w:pPr>
    </w:p>
    <w:p>
      <w:pPr>
        <w:jc w:val="both"/>
        <w:ind w:firstLine="467"/>
        <w:spacing w:after="0" w:line="282" w:lineRule="auto"/>
        <w:rPr>
          <w:sz w:val="20"/>
          <w:szCs w:val="20"/>
          <w:color w:val="auto"/>
        </w:rPr>
      </w:pPr>
      <w:r>
        <w:rPr>
          <w:rFonts w:ascii="Arial" w:cs="Arial" w:eastAsia="Arial" w:hAnsi="Arial"/>
          <w:sz w:val="12"/>
          <w:szCs w:val="12"/>
          <w:color w:val="auto"/>
        </w:rPr>
        <w:t>A quorum must be present at the meeting in order for the shareholders to take official action. Under Utah law and our Articles of Incorporation and Bylaws, a quorum will exist if a majority of the total number of shares entitled to vote are present, in person or by proxy. Abstentions and broker non-votes will be considered present and entitled to vote at the meeting and will be counted for purposes of determining the presence of a quorum, but as unvoted for purposes of determining the approval of any matter currently proposed for action at the meeting. If a broker indicates on the proxy that it does not have discretionary authority as to certain shares to vote on a particular matter, those shares will not be considered as present and entitled to vote with respect to that matter. Assuming that a quorum is present, the election of directors will be determined by plurality vote. The Board of Directors recommends that an affirmative vote be cast in favor of all nominees listed in the proxy statement.</w:t>
      </w:r>
    </w:p>
    <w:p>
      <w:pPr>
        <w:spacing w:after="0" w:line="140"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Revocability of Proxies</w:t>
      </w:r>
    </w:p>
    <w:p>
      <w:pPr>
        <w:spacing w:after="0" w:line="186" w:lineRule="exact"/>
        <w:rPr>
          <w:sz w:val="20"/>
          <w:szCs w:val="20"/>
          <w:color w:val="auto"/>
        </w:rPr>
      </w:pPr>
    </w:p>
    <w:p>
      <w:pPr>
        <w:jc w:val="both"/>
        <w:ind w:firstLine="467"/>
        <w:spacing w:after="0" w:line="272" w:lineRule="auto"/>
        <w:rPr>
          <w:sz w:val="20"/>
          <w:szCs w:val="20"/>
          <w:color w:val="auto"/>
        </w:rPr>
      </w:pPr>
      <w:r>
        <w:rPr>
          <w:rFonts w:ascii="Arial" w:cs="Arial" w:eastAsia="Arial" w:hAnsi="Arial"/>
          <w:sz w:val="13"/>
          <w:szCs w:val="13"/>
          <w:color w:val="auto"/>
        </w:rPr>
        <w:t>Any proxy given pursuant to this solicitation may be revoked by the person giving it at any time before its use by delivering to us written notice of revocation, a duly executed proxy bearing a later date, or by attending the meeting and voting in person.</w:t>
      </w:r>
    </w:p>
    <w:p>
      <w:pPr>
        <w:spacing w:after="0" w:line="144"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Solicitation</w:t>
      </w:r>
    </w:p>
    <w:p>
      <w:pPr>
        <w:spacing w:after="0" w:line="186" w:lineRule="exact"/>
        <w:rPr>
          <w:sz w:val="20"/>
          <w:szCs w:val="20"/>
          <w:color w:val="auto"/>
        </w:rPr>
      </w:pPr>
    </w:p>
    <w:p>
      <w:pPr>
        <w:jc w:val="both"/>
        <w:ind w:firstLine="467"/>
        <w:spacing w:after="0" w:line="272" w:lineRule="auto"/>
        <w:rPr>
          <w:sz w:val="20"/>
          <w:szCs w:val="20"/>
          <w:color w:val="auto"/>
        </w:rPr>
      </w:pPr>
      <w:r>
        <w:rPr>
          <w:rFonts w:ascii="Arial" w:cs="Arial" w:eastAsia="Arial" w:hAnsi="Arial"/>
          <w:sz w:val="13"/>
          <w:szCs w:val="13"/>
          <w:color w:val="auto"/>
        </w:rPr>
        <w:t>We will pay the cost of this solicitation. In addition, we may reimburse brokerage firms and other persons representing beneficial owners of shares for their expenses in forwarding solicitation material to such beneficial owners. Proxies may also be solicited by certain of our directors, officers, and employees, without additional compensation, personally or by telephone, facsimile, or e-mail.</w:t>
      </w:r>
    </w:p>
    <w:p>
      <w:pPr>
        <w:spacing w:after="0" w:line="144"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Annual Report and Other Matters</w:t>
      </w:r>
    </w:p>
    <w:p>
      <w:pPr>
        <w:spacing w:after="0" w:line="186" w:lineRule="exact"/>
        <w:rPr>
          <w:sz w:val="20"/>
          <w:szCs w:val="20"/>
          <w:color w:val="auto"/>
        </w:rPr>
      </w:pPr>
    </w:p>
    <w:p>
      <w:pPr>
        <w:jc w:val="both"/>
        <w:ind w:firstLine="467"/>
        <w:spacing w:after="0" w:line="257" w:lineRule="auto"/>
        <w:rPr>
          <w:sz w:val="20"/>
          <w:szCs w:val="20"/>
          <w:color w:val="auto"/>
        </w:rPr>
      </w:pPr>
      <w:r>
        <w:rPr>
          <w:rFonts w:ascii="Arial" w:cs="Arial" w:eastAsia="Arial" w:hAnsi="Arial"/>
          <w:sz w:val="13"/>
          <w:szCs w:val="13"/>
          <w:color w:val="auto"/>
        </w:rPr>
        <w:t>Our 2008 Annual Report on Form 10-K, which was made available to shareholders with or preceding this proxy statement, contains financial and other information about our company, but is not incorporated into this proxy statement and is not to be considered a part of these proxy soliciting materials or subject to Regulations 14A or 14C or to the liabilities of Section 18 of the Securities Exchange Act of 1934, as amended. The information contained in the “Compensation Committee Report” and “Audit Committee Report” shall not be deemed “filed” with the Securities and Exchange Commission or subject to Regulations 14A or 14C or to the liabilities of Section 18 of the Exchange Act.</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55880</wp:posOffset>
            </wp:positionV>
            <wp:extent cx="7291070" cy="1905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91070" cy="19050"/>
                    </a:xfrm>
                    <a:prstGeom prst="rect">
                      <a:avLst/>
                    </a:prstGeom>
                    <a:noFill/>
                  </pic:spPr>
                </pic:pic>
              </a:graphicData>
            </a:graphic>
          </wp:anchor>
        </w:drawing>
      </w:r>
    </w:p>
    <w:p>
      <w:pPr>
        <w:sectPr>
          <w:pgSz w:w="11900" w:h="16838" w:orient="portrait"/>
          <w:cols w:equalWidth="0" w:num="1">
            <w:col w:w="11460"/>
          </w:cols>
          <w:pgMar w:left="220" w:top="401" w:right="219" w:bottom="1440" w:gutter="0" w:footer="0" w:header="0"/>
        </w:sectPr>
      </w:pPr>
    </w:p>
    <w:bookmarkStart w:id="3" w:name="page4"/>
    <w:bookmarkEnd w:id="3"/>
    <w:p>
      <w:pPr>
        <w:jc w:val="both"/>
        <w:ind w:firstLine="467"/>
        <w:spacing w:after="0" w:line="322" w:lineRule="auto"/>
        <w:rPr>
          <w:sz w:val="20"/>
          <w:szCs w:val="20"/>
          <w:color w:val="auto"/>
        </w:rPr>
      </w:pPr>
      <w:r>
        <w:rPr>
          <w:rFonts w:ascii="Arial" w:cs="Arial" w:eastAsia="Arial" w:hAnsi="Arial"/>
          <w:sz w:val="12"/>
          <w:szCs w:val="12"/>
          <w:b w:val="1"/>
          <w:bCs w:val="1"/>
          <w:color w:val="auto"/>
        </w:rPr>
        <w:t>We will provide, without charge, a printed copy of our annual report on Form 10-K for the fiscal year ended June 30, 2008 as filed with the Securities and Exchange Commission to each shareholder of record as of the record date that requests a copy in writing. Any such requests should be directed to our company’s secretary at our corporate offices set forth in this proxy statement.</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ELECTION OF DIRECTORS</w:t>
      </w:r>
    </w:p>
    <w:p>
      <w:pPr>
        <w:spacing w:after="0" w:line="186" w:lineRule="exact"/>
        <w:rPr>
          <w:sz w:val="20"/>
          <w:szCs w:val="20"/>
          <w:color w:val="auto"/>
        </w:rPr>
      </w:pPr>
    </w:p>
    <w:p>
      <w:pPr>
        <w:jc w:val="both"/>
        <w:ind w:firstLine="467"/>
        <w:spacing w:after="0" w:line="285" w:lineRule="auto"/>
        <w:rPr>
          <w:sz w:val="20"/>
          <w:szCs w:val="20"/>
          <w:color w:val="auto"/>
        </w:rPr>
      </w:pPr>
      <w:r>
        <w:rPr>
          <w:rFonts w:ascii="Arial" w:cs="Arial" w:eastAsia="Arial" w:hAnsi="Arial"/>
          <w:sz w:val="12"/>
          <w:szCs w:val="12"/>
          <w:color w:val="auto"/>
        </w:rPr>
        <w:t>Our articles of incorporation and bylaws provide that our Board of Directors shall consist of not less than three nor more than nine members as the Board of Directors or our shareholders shall determine from time to time. The Board of Directors has currently fixed the number of directors at four. The term of each of our directors expires at the 2008 Annual Meeting. We have nominated all four directors for election at the meeting to serve until the next Annual Meeting of Shareholders or until their respective successors are duly elected and qualified. In the event any nominee is unable to serve, the proxies will be voted for a substitute nominee, if any, to be designated by our Board of Directors. The Board of Directors has no reason to believe any nominee will be unable or will decline to serve as a director.</w:t>
      </w:r>
    </w:p>
    <w:p>
      <w:pPr>
        <w:spacing w:after="0" w:line="139"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The Board of Directors unanimously recommends a vote “for” election of the nominees named herein.</w:t>
      </w:r>
    </w:p>
    <w:p>
      <w:pPr>
        <w:spacing w:after="0" w:line="182"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Nominees for Director</w:t>
      </w:r>
    </w:p>
    <w:p>
      <w:pPr>
        <w:spacing w:after="0" w:line="186" w:lineRule="exact"/>
        <w:rPr>
          <w:sz w:val="20"/>
          <w:szCs w:val="20"/>
          <w:color w:val="auto"/>
        </w:rPr>
      </w:pPr>
    </w:p>
    <w:p>
      <w:pPr>
        <w:ind w:left="460"/>
        <w:spacing w:after="0"/>
        <w:rPr>
          <w:sz w:val="20"/>
          <w:szCs w:val="20"/>
          <w:color w:val="auto"/>
        </w:rPr>
      </w:pPr>
      <w:r>
        <w:rPr>
          <w:rFonts w:ascii="Arial" w:cs="Arial" w:eastAsia="Arial" w:hAnsi="Arial"/>
          <w:sz w:val="13"/>
          <w:szCs w:val="13"/>
          <w:color w:val="auto"/>
        </w:rPr>
        <w:t>The following individuals are directors of our company and are nominated for election as directors.</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3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780" w:type="dxa"/>
            <w:vAlign w:val="bottom"/>
            <w:tcBorders>
              <w:bottom w:val="single" w:sz="8" w:color="auto"/>
            </w:tcBorders>
          </w:tcPr>
          <w:p>
            <w:pPr>
              <w:ind w:left="1520"/>
              <w:spacing w:after="0"/>
              <w:rPr>
                <w:sz w:val="20"/>
                <w:szCs w:val="20"/>
                <w:color w:val="auto"/>
              </w:rPr>
            </w:pPr>
            <w:r>
              <w:rPr>
                <w:rFonts w:ascii="Arial" w:cs="Arial" w:eastAsia="Arial" w:hAnsi="Arial"/>
                <w:sz w:val="13"/>
                <w:szCs w:val="13"/>
                <w:b w:val="1"/>
                <w:bCs w:val="1"/>
                <w:color w:val="auto"/>
              </w:rPr>
              <w:t>Name</w:t>
            </w:r>
          </w:p>
        </w:tc>
        <w:tc>
          <w:tcPr>
            <w:tcW w:w="1380" w:type="dxa"/>
            <w:vAlign w:val="bottom"/>
            <w:tcBorders>
              <w:bottom w:val="single" w:sz="8" w:color="auto"/>
            </w:tcBorders>
          </w:tcPr>
          <w:p>
            <w:pPr>
              <w:jc w:val="center"/>
              <w:ind w:left="695"/>
              <w:spacing w:after="0"/>
              <w:rPr>
                <w:sz w:val="20"/>
                <w:szCs w:val="20"/>
                <w:color w:val="auto"/>
              </w:rPr>
            </w:pPr>
            <w:r>
              <w:rPr>
                <w:rFonts w:ascii="Arial" w:cs="Arial" w:eastAsia="Arial" w:hAnsi="Arial"/>
                <w:sz w:val="13"/>
                <w:szCs w:val="13"/>
                <w:b w:val="1"/>
                <w:bCs w:val="1"/>
                <w:color w:val="auto"/>
                <w:w w:val="89"/>
              </w:rPr>
              <w:t>Age</w:t>
            </w:r>
          </w:p>
        </w:tc>
        <w:tc>
          <w:tcPr>
            <w:tcW w:w="3300" w:type="dxa"/>
            <w:vAlign w:val="bottom"/>
            <w:tcBorders>
              <w:bottom w:val="single" w:sz="8" w:color="auto"/>
            </w:tcBorders>
          </w:tcPr>
          <w:p>
            <w:pPr>
              <w:ind w:left="1580"/>
              <w:spacing w:after="0"/>
              <w:rPr>
                <w:sz w:val="20"/>
                <w:szCs w:val="20"/>
                <w:color w:val="auto"/>
              </w:rPr>
            </w:pPr>
            <w:r>
              <w:rPr>
                <w:rFonts w:ascii="Arial" w:cs="Arial" w:eastAsia="Arial" w:hAnsi="Arial"/>
                <w:sz w:val="13"/>
                <w:szCs w:val="13"/>
                <w:b w:val="1"/>
                <w:bCs w:val="1"/>
                <w:color w:val="auto"/>
              </w:rPr>
              <w:t>Position</w:t>
            </w:r>
          </w:p>
        </w:tc>
        <w:tc>
          <w:tcPr>
            <w:tcW w:w="1720" w:type="dxa"/>
            <w:vAlign w:val="bottom"/>
            <w:tcBorders>
              <w:bottom w:val="single" w:sz="8" w:color="auto"/>
            </w:tcBorders>
          </w:tcPr>
          <w:p>
            <w:pPr>
              <w:jc w:val="center"/>
              <w:ind w:left="55"/>
              <w:spacing w:after="0"/>
              <w:rPr>
                <w:sz w:val="20"/>
                <w:szCs w:val="20"/>
                <w:color w:val="auto"/>
              </w:rPr>
            </w:pPr>
            <w:r>
              <w:rPr>
                <w:rFonts w:ascii="Arial" w:cs="Arial" w:eastAsia="Arial" w:hAnsi="Arial"/>
                <w:sz w:val="13"/>
                <w:szCs w:val="13"/>
                <w:b w:val="1"/>
                <w:bCs w:val="1"/>
                <w:color w:val="auto"/>
                <w:w w:val="90"/>
              </w:rPr>
              <w:t>Director Since</w:t>
            </w:r>
          </w:p>
        </w:tc>
      </w:tr>
      <w:tr>
        <w:trPr>
          <w:trHeight w:val="147"/>
        </w:trPr>
        <w:tc>
          <w:tcPr>
            <w:tcW w:w="3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780" w:type="dxa"/>
            <w:vAlign w:val="bottom"/>
          </w:tcPr>
          <w:p>
            <w:pPr>
              <w:spacing w:after="0" w:line="147" w:lineRule="exact"/>
              <w:rPr>
                <w:sz w:val="20"/>
                <w:szCs w:val="20"/>
                <w:color w:val="auto"/>
              </w:rPr>
            </w:pPr>
            <w:r>
              <w:rPr>
                <w:rFonts w:ascii="Arial" w:cs="Arial" w:eastAsia="Arial" w:hAnsi="Arial"/>
                <w:sz w:val="13"/>
                <w:szCs w:val="13"/>
                <w:color w:val="auto"/>
              </w:rPr>
              <w:t>Zeynep “Zee” Hakimoglu</w:t>
            </w:r>
          </w:p>
        </w:tc>
        <w:tc>
          <w:tcPr>
            <w:tcW w:w="1380" w:type="dxa"/>
            <w:vAlign w:val="bottom"/>
          </w:tcPr>
          <w:p>
            <w:pPr>
              <w:jc w:val="center"/>
              <w:ind w:left="695"/>
              <w:spacing w:after="0" w:line="147" w:lineRule="exact"/>
              <w:rPr>
                <w:sz w:val="20"/>
                <w:szCs w:val="20"/>
                <w:color w:val="auto"/>
              </w:rPr>
            </w:pPr>
            <w:r>
              <w:rPr>
                <w:rFonts w:ascii="Arial" w:cs="Arial" w:eastAsia="Arial" w:hAnsi="Arial"/>
                <w:sz w:val="13"/>
                <w:szCs w:val="13"/>
                <w:color w:val="auto"/>
                <w:w w:val="96"/>
              </w:rPr>
              <w:t>55</w:t>
            </w:r>
          </w:p>
        </w:tc>
        <w:tc>
          <w:tcPr>
            <w:tcW w:w="3300" w:type="dxa"/>
            <w:vAlign w:val="bottom"/>
          </w:tcPr>
          <w:p>
            <w:pPr>
              <w:ind w:left="200"/>
              <w:spacing w:after="0" w:line="147" w:lineRule="exact"/>
              <w:rPr>
                <w:sz w:val="20"/>
                <w:szCs w:val="20"/>
                <w:color w:val="auto"/>
              </w:rPr>
            </w:pPr>
            <w:r>
              <w:rPr>
                <w:rFonts w:ascii="Arial" w:cs="Arial" w:eastAsia="Arial" w:hAnsi="Arial"/>
                <w:sz w:val="13"/>
                <w:szCs w:val="13"/>
                <w:color w:val="auto"/>
              </w:rPr>
              <w:t>Chairman, Chief Executive Officer, and President</w:t>
            </w:r>
          </w:p>
        </w:tc>
        <w:tc>
          <w:tcPr>
            <w:tcW w:w="1720" w:type="dxa"/>
            <w:vAlign w:val="bottom"/>
          </w:tcPr>
          <w:p>
            <w:pPr>
              <w:jc w:val="center"/>
              <w:ind w:left="35"/>
              <w:spacing w:after="0" w:line="147" w:lineRule="exact"/>
              <w:rPr>
                <w:sz w:val="20"/>
                <w:szCs w:val="20"/>
                <w:color w:val="auto"/>
              </w:rPr>
            </w:pPr>
            <w:r>
              <w:rPr>
                <w:rFonts w:ascii="Arial" w:cs="Arial" w:eastAsia="Arial" w:hAnsi="Arial"/>
                <w:sz w:val="13"/>
                <w:szCs w:val="13"/>
                <w:color w:val="auto"/>
                <w:w w:val="89"/>
              </w:rPr>
              <w:t>2006</w:t>
            </w:r>
          </w:p>
        </w:tc>
      </w:tr>
      <w:tr>
        <w:trPr>
          <w:trHeight w:val="156"/>
        </w:trPr>
        <w:tc>
          <w:tcPr>
            <w:tcW w:w="300" w:type="dxa"/>
            <w:vAlign w:val="bottom"/>
          </w:tcPr>
          <w:p>
            <w:pPr>
              <w:spacing w:after="0"/>
              <w:rPr>
                <w:sz w:val="13"/>
                <w:szCs w:val="13"/>
                <w:color w:val="auto"/>
              </w:rPr>
            </w:pPr>
          </w:p>
        </w:tc>
        <w:tc>
          <w:tcPr>
            <w:tcW w:w="3620" w:type="dxa"/>
            <w:vAlign w:val="bottom"/>
            <w:gridSpan w:val="2"/>
          </w:tcPr>
          <w:p>
            <w:pPr>
              <w:ind w:left="840"/>
              <w:spacing w:after="0"/>
              <w:rPr>
                <w:sz w:val="20"/>
                <w:szCs w:val="20"/>
                <w:color w:val="auto"/>
              </w:rPr>
            </w:pPr>
            <w:r>
              <w:rPr>
                <w:rFonts w:ascii="Arial" w:cs="Arial" w:eastAsia="Arial" w:hAnsi="Arial"/>
                <w:sz w:val="13"/>
                <w:szCs w:val="13"/>
                <w:color w:val="auto"/>
              </w:rPr>
              <w:t>Brad R. Baldwin</w:t>
            </w:r>
          </w:p>
        </w:tc>
        <w:tc>
          <w:tcPr>
            <w:tcW w:w="1380" w:type="dxa"/>
            <w:vAlign w:val="bottom"/>
          </w:tcPr>
          <w:p>
            <w:pPr>
              <w:jc w:val="center"/>
              <w:ind w:left="695"/>
              <w:spacing w:after="0"/>
              <w:rPr>
                <w:sz w:val="20"/>
                <w:szCs w:val="20"/>
                <w:color w:val="auto"/>
              </w:rPr>
            </w:pPr>
            <w:r>
              <w:rPr>
                <w:rFonts w:ascii="Arial" w:cs="Arial" w:eastAsia="Arial" w:hAnsi="Arial"/>
                <w:sz w:val="13"/>
                <w:szCs w:val="13"/>
                <w:color w:val="auto"/>
                <w:w w:val="96"/>
              </w:rPr>
              <w:t>52</w:t>
            </w:r>
          </w:p>
        </w:tc>
        <w:tc>
          <w:tcPr>
            <w:tcW w:w="3300" w:type="dxa"/>
            <w:vAlign w:val="bottom"/>
          </w:tcPr>
          <w:p>
            <w:pPr>
              <w:ind w:left="200"/>
              <w:spacing w:after="0"/>
              <w:rPr>
                <w:sz w:val="20"/>
                <w:szCs w:val="20"/>
                <w:color w:val="auto"/>
              </w:rPr>
            </w:pPr>
            <w:r>
              <w:rPr>
                <w:rFonts w:ascii="Arial" w:cs="Arial" w:eastAsia="Arial" w:hAnsi="Arial"/>
                <w:sz w:val="13"/>
                <w:szCs w:val="13"/>
                <w:color w:val="auto"/>
              </w:rPr>
              <w:t>Director (1)(2)(3)</w:t>
            </w:r>
          </w:p>
        </w:tc>
        <w:tc>
          <w:tcPr>
            <w:tcW w:w="1720" w:type="dxa"/>
            <w:vAlign w:val="bottom"/>
          </w:tcPr>
          <w:p>
            <w:pPr>
              <w:jc w:val="center"/>
              <w:ind w:left="35"/>
              <w:spacing w:after="0"/>
              <w:rPr>
                <w:sz w:val="20"/>
                <w:szCs w:val="20"/>
                <w:color w:val="auto"/>
              </w:rPr>
            </w:pPr>
            <w:r>
              <w:rPr>
                <w:rFonts w:ascii="Arial" w:cs="Arial" w:eastAsia="Arial" w:hAnsi="Arial"/>
                <w:sz w:val="13"/>
                <w:szCs w:val="13"/>
                <w:color w:val="auto"/>
                <w:w w:val="89"/>
              </w:rPr>
              <w:t>1988</w:t>
            </w:r>
          </w:p>
        </w:tc>
      </w:tr>
      <w:tr>
        <w:trPr>
          <w:trHeight w:val="156"/>
        </w:trPr>
        <w:tc>
          <w:tcPr>
            <w:tcW w:w="300" w:type="dxa"/>
            <w:vAlign w:val="bottom"/>
          </w:tcPr>
          <w:p>
            <w:pPr>
              <w:spacing w:after="0"/>
              <w:rPr>
                <w:sz w:val="13"/>
                <w:szCs w:val="13"/>
                <w:color w:val="auto"/>
              </w:rPr>
            </w:pPr>
          </w:p>
        </w:tc>
        <w:tc>
          <w:tcPr>
            <w:tcW w:w="3620" w:type="dxa"/>
            <w:vAlign w:val="bottom"/>
            <w:gridSpan w:val="2"/>
          </w:tcPr>
          <w:p>
            <w:pPr>
              <w:ind w:left="840"/>
              <w:spacing w:after="0"/>
              <w:rPr>
                <w:sz w:val="20"/>
                <w:szCs w:val="20"/>
                <w:color w:val="auto"/>
              </w:rPr>
            </w:pPr>
            <w:r>
              <w:rPr>
                <w:rFonts w:ascii="Arial" w:cs="Arial" w:eastAsia="Arial" w:hAnsi="Arial"/>
                <w:sz w:val="13"/>
                <w:szCs w:val="13"/>
                <w:color w:val="auto"/>
              </w:rPr>
              <w:t>Larry R. Hendricks</w:t>
            </w:r>
          </w:p>
        </w:tc>
        <w:tc>
          <w:tcPr>
            <w:tcW w:w="1380" w:type="dxa"/>
            <w:vAlign w:val="bottom"/>
          </w:tcPr>
          <w:p>
            <w:pPr>
              <w:jc w:val="center"/>
              <w:ind w:left="695"/>
              <w:spacing w:after="0"/>
              <w:rPr>
                <w:sz w:val="20"/>
                <w:szCs w:val="20"/>
                <w:color w:val="auto"/>
              </w:rPr>
            </w:pPr>
            <w:r>
              <w:rPr>
                <w:rFonts w:ascii="Arial" w:cs="Arial" w:eastAsia="Arial" w:hAnsi="Arial"/>
                <w:sz w:val="13"/>
                <w:szCs w:val="13"/>
                <w:color w:val="auto"/>
                <w:w w:val="96"/>
              </w:rPr>
              <w:t>65</w:t>
            </w:r>
          </w:p>
        </w:tc>
        <w:tc>
          <w:tcPr>
            <w:tcW w:w="3300" w:type="dxa"/>
            <w:vAlign w:val="bottom"/>
          </w:tcPr>
          <w:p>
            <w:pPr>
              <w:ind w:left="200"/>
              <w:spacing w:after="0"/>
              <w:rPr>
                <w:sz w:val="20"/>
                <w:szCs w:val="20"/>
                <w:color w:val="auto"/>
              </w:rPr>
            </w:pPr>
            <w:r>
              <w:rPr>
                <w:rFonts w:ascii="Arial" w:cs="Arial" w:eastAsia="Arial" w:hAnsi="Arial"/>
                <w:sz w:val="13"/>
                <w:szCs w:val="13"/>
                <w:color w:val="auto"/>
              </w:rPr>
              <w:t>Director (1)(3)</w:t>
            </w:r>
          </w:p>
        </w:tc>
        <w:tc>
          <w:tcPr>
            <w:tcW w:w="1720" w:type="dxa"/>
            <w:vAlign w:val="bottom"/>
          </w:tcPr>
          <w:p>
            <w:pPr>
              <w:jc w:val="center"/>
              <w:ind w:left="35"/>
              <w:spacing w:after="0"/>
              <w:rPr>
                <w:sz w:val="20"/>
                <w:szCs w:val="20"/>
                <w:color w:val="auto"/>
              </w:rPr>
            </w:pPr>
            <w:r>
              <w:rPr>
                <w:rFonts w:ascii="Arial" w:cs="Arial" w:eastAsia="Arial" w:hAnsi="Arial"/>
                <w:sz w:val="13"/>
                <w:szCs w:val="13"/>
                <w:color w:val="auto"/>
                <w:w w:val="89"/>
              </w:rPr>
              <w:t>2003</w:t>
            </w:r>
          </w:p>
        </w:tc>
      </w:tr>
      <w:tr>
        <w:trPr>
          <w:trHeight w:val="156"/>
        </w:trPr>
        <w:tc>
          <w:tcPr>
            <w:tcW w:w="300" w:type="dxa"/>
            <w:vAlign w:val="bottom"/>
          </w:tcPr>
          <w:p>
            <w:pPr>
              <w:spacing w:after="0"/>
              <w:rPr>
                <w:sz w:val="13"/>
                <w:szCs w:val="13"/>
                <w:color w:val="auto"/>
              </w:rPr>
            </w:pPr>
          </w:p>
        </w:tc>
        <w:tc>
          <w:tcPr>
            <w:tcW w:w="3620" w:type="dxa"/>
            <w:vAlign w:val="bottom"/>
            <w:gridSpan w:val="2"/>
          </w:tcPr>
          <w:p>
            <w:pPr>
              <w:ind w:left="840"/>
              <w:spacing w:after="0"/>
              <w:rPr>
                <w:sz w:val="20"/>
                <w:szCs w:val="20"/>
                <w:color w:val="auto"/>
              </w:rPr>
            </w:pPr>
            <w:r>
              <w:rPr>
                <w:rFonts w:ascii="Arial" w:cs="Arial" w:eastAsia="Arial" w:hAnsi="Arial"/>
                <w:sz w:val="13"/>
                <w:szCs w:val="13"/>
                <w:color w:val="auto"/>
              </w:rPr>
              <w:t>Scott M. Huntsman</w:t>
            </w:r>
          </w:p>
        </w:tc>
        <w:tc>
          <w:tcPr>
            <w:tcW w:w="1380" w:type="dxa"/>
            <w:vAlign w:val="bottom"/>
          </w:tcPr>
          <w:p>
            <w:pPr>
              <w:jc w:val="center"/>
              <w:ind w:left="695"/>
              <w:spacing w:after="0"/>
              <w:rPr>
                <w:sz w:val="20"/>
                <w:szCs w:val="20"/>
                <w:color w:val="auto"/>
              </w:rPr>
            </w:pPr>
            <w:r>
              <w:rPr>
                <w:rFonts w:ascii="Arial" w:cs="Arial" w:eastAsia="Arial" w:hAnsi="Arial"/>
                <w:sz w:val="13"/>
                <w:szCs w:val="13"/>
                <w:color w:val="auto"/>
                <w:w w:val="96"/>
              </w:rPr>
              <w:t>43</w:t>
            </w:r>
          </w:p>
        </w:tc>
        <w:tc>
          <w:tcPr>
            <w:tcW w:w="3300" w:type="dxa"/>
            <w:vAlign w:val="bottom"/>
          </w:tcPr>
          <w:p>
            <w:pPr>
              <w:ind w:left="200"/>
              <w:spacing w:after="0"/>
              <w:rPr>
                <w:sz w:val="20"/>
                <w:szCs w:val="20"/>
                <w:color w:val="auto"/>
              </w:rPr>
            </w:pPr>
            <w:r>
              <w:rPr>
                <w:rFonts w:ascii="Arial" w:cs="Arial" w:eastAsia="Arial" w:hAnsi="Arial"/>
                <w:sz w:val="13"/>
                <w:szCs w:val="13"/>
                <w:color w:val="auto"/>
              </w:rPr>
              <w:t>Director (1)(2)(3)</w:t>
            </w:r>
          </w:p>
        </w:tc>
        <w:tc>
          <w:tcPr>
            <w:tcW w:w="1720" w:type="dxa"/>
            <w:vAlign w:val="bottom"/>
          </w:tcPr>
          <w:p>
            <w:pPr>
              <w:jc w:val="center"/>
              <w:ind w:left="35"/>
              <w:spacing w:after="0"/>
              <w:rPr>
                <w:sz w:val="20"/>
                <w:szCs w:val="20"/>
                <w:color w:val="auto"/>
              </w:rPr>
            </w:pPr>
            <w:r>
              <w:rPr>
                <w:rFonts w:ascii="Arial" w:cs="Arial" w:eastAsia="Arial" w:hAnsi="Arial"/>
                <w:sz w:val="13"/>
                <w:szCs w:val="13"/>
                <w:color w:val="auto"/>
                <w:w w:val="89"/>
              </w:rPr>
              <w:t>2003</w:t>
            </w:r>
          </w:p>
        </w:tc>
      </w:tr>
      <w:tr>
        <w:trPr>
          <w:trHeight w:val="164"/>
        </w:trPr>
        <w:tc>
          <w:tcPr>
            <w:tcW w:w="3920" w:type="dxa"/>
            <w:vAlign w:val="bottom"/>
            <w:gridSpan w:val="3"/>
          </w:tcPr>
          <w:p>
            <w:pPr>
              <w:spacing w:after="0"/>
              <w:rPr>
                <w:sz w:val="20"/>
                <w:szCs w:val="20"/>
                <w:color w:val="auto"/>
              </w:rPr>
            </w:pPr>
            <w:r>
              <w:rPr>
                <w:rFonts w:ascii="Arial" w:cs="Arial" w:eastAsia="Arial" w:hAnsi="Arial"/>
                <w:sz w:val="13"/>
                <w:szCs w:val="13"/>
                <w:color w:val="auto"/>
              </w:rPr>
              <w:t>_______________________</w:t>
            </w:r>
          </w:p>
        </w:tc>
        <w:tc>
          <w:tcPr>
            <w:tcW w:w="1380" w:type="dxa"/>
            <w:vAlign w:val="bottom"/>
          </w:tcPr>
          <w:p>
            <w:pPr>
              <w:spacing w:after="0"/>
              <w:rPr>
                <w:sz w:val="14"/>
                <w:szCs w:val="14"/>
                <w:color w:val="auto"/>
              </w:rPr>
            </w:pPr>
          </w:p>
        </w:tc>
        <w:tc>
          <w:tcPr>
            <w:tcW w:w="3300" w:type="dxa"/>
            <w:vAlign w:val="bottom"/>
          </w:tcPr>
          <w:p>
            <w:pPr>
              <w:spacing w:after="0"/>
              <w:rPr>
                <w:sz w:val="14"/>
                <w:szCs w:val="14"/>
                <w:color w:val="auto"/>
              </w:rPr>
            </w:pPr>
          </w:p>
        </w:tc>
        <w:tc>
          <w:tcPr>
            <w:tcW w:w="1720" w:type="dxa"/>
            <w:vAlign w:val="bottom"/>
          </w:tcPr>
          <w:p>
            <w:pPr>
              <w:spacing w:after="0"/>
              <w:rPr>
                <w:sz w:val="14"/>
                <w:szCs w:val="14"/>
                <w:color w:val="auto"/>
              </w:rPr>
            </w:pPr>
          </w:p>
        </w:tc>
      </w:tr>
      <w:tr>
        <w:trPr>
          <w:trHeight w:val="323"/>
        </w:trPr>
        <w:tc>
          <w:tcPr>
            <w:tcW w:w="300" w:type="dxa"/>
            <w:vAlign w:val="bottom"/>
          </w:tcPr>
          <w:p>
            <w:pPr>
              <w:spacing w:after="0"/>
              <w:rPr>
                <w:sz w:val="20"/>
                <w:szCs w:val="20"/>
                <w:color w:val="auto"/>
              </w:rPr>
            </w:pPr>
            <w:r>
              <w:rPr>
                <w:rFonts w:ascii="Arial" w:cs="Arial" w:eastAsia="Arial" w:hAnsi="Arial"/>
                <w:sz w:val="13"/>
                <w:szCs w:val="13"/>
                <w:color w:val="auto"/>
              </w:rPr>
              <w:t>(1)</w:t>
            </w:r>
          </w:p>
        </w:tc>
        <w:tc>
          <w:tcPr>
            <w:tcW w:w="3620" w:type="dxa"/>
            <w:vAlign w:val="bottom"/>
            <w:gridSpan w:val="2"/>
          </w:tcPr>
          <w:p>
            <w:pPr>
              <w:ind w:left="160"/>
              <w:spacing w:after="0"/>
              <w:rPr>
                <w:sz w:val="20"/>
                <w:szCs w:val="20"/>
                <w:color w:val="auto"/>
              </w:rPr>
            </w:pPr>
            <w:r>
              <w:rPr>
                <w:rFonts w:ascii="Arial" w:cs="Arial" w:eastAsia="Arial" w:hAnsi="Arial"/>
                <w:sz w:val="13"/>
                <w:szCs w:val="13"/>
                <w:color w:val="auto"/>
              </w:rPr>
              <w:t>Member of the Audit Committee</w:t>
            </w:r>
          </w:p>
        </w:tc>
        <w:tc>
          <w:tcPr>
            <w:tcW w:w="1380" w:type="dxa"/>
            <w:vAlign w:val="bottom"/>
          </w:tcPr>
          <w:p>
            <w:pPr>
              <w:spacing w:after="0"/>
              <w:rPr>
                <w:sz w:val="24"/>
                <w:szCs w:val="24"/>
                <w:color w:val="auto"/>
              </w:rPr>
            </w:pPr>
          </w:p>
        </w:tc>
        <w:tc>
          <w:tcPr>
            <w:tcW w:w="3300" w:type="dxa"/>
            <w:vAlign w:val="bottom"/>
          </w:tcPr>
          <w:p>
            <w:pPr>
              <w:spacing w:after="0"/>
              <w:rPr>
                <w:sz w:val="24"/>
                <w:szCs w:val="24"/>
                <w:color w:val="auto"/>
              </w:rPr>
            </w:pPr>
          </w:p>
        </w:tc>
        <w:tc>
          <w:tcPr>
            <w:tcW w:w="1720" w:type="dxa"/>
            <w:vAlign w:val="bottom"/>
          </w:tcPr>
          <w:p>
            <w:pPr>
              <w:spacing w:after="0"/>
              <w:rPr>
                <w:sz w:val="24"/>
                <w:szCs w:val="24"/>
                <w:color w:val="auto"/>
              </w:rPr>
            </w:pPr>
          </w:p>
        </w:tc>
      </w:tr>
      <w:tr>
        <w:trPr>
          <w:trHeight w:val="156"/>
        </w:trPr>
        <w:tc>
          <w:tcPr>
            <w:tcW w:w="300" w:type="dxa"/>
            <w:vAlign w:val="bottom"/>
          </w:tcPr>
          <w:p>
            <w:pPr>
              <w:spacing w:after="0"/>
              <w:rPr>
                <w:sz w:val="20"/>
                <w:szCs w:val="20"/>
                <w:color w:val="auto"/>
              </w:rPr>
            </w:pPr>
            <w:r>
              <w:rPr>
                <w:rFonts w:ascii="Arial" w:cs="Arial" w:eastAsia="Arial" w:hAnsi="Arial"/>
                <w:sz w:val="13"/>
                <w:szCs w:val="13"/>
                <w:color w:val="auto"/>
              </w:rPr>
              <w:t>(2)</w:t>
            </w:r>
          </w:p>
        </w:tc>
        <w:tc>
          <w:tcPr>
            <w:tcW w:w="3620" w:type="dxa"/>
            <w:vAlign w:val="bottom"/>
            <w:gridSpan w:val="2"/>
          </w:tcPr>
          <w:p>
            <w:pPr>
              <w:ind w:left="160"/>
              <w:spacing w:after="0"/>
              <w:rPr>
                <w:sz w:val="20"/>
                <w:szCs w:val="20"/>
                <w:color w:val="auto"/>
              </w:rPr>
            </w:pPr>
            <w:r>
              <w:rPr>
                <w:rFonts w:ascii="Arial" w:cs="Arial" w:eastAsia="Arial" w:hAnsi="Arial"/>
                <w:sz w:val="13"/>
                <w:szCs w:val="13"/>
                <w:color w:val="auto"/>
              </w:rPr>
              <w:t>Member of the Compensation Committee</w:t>
            </w:r>
          </w:p>
        </w:tc>
        <w:tc>
          <w:tcPr>
            <w:tcW w:w="1380" w:type="dxa"/>
            <w:vAlign w:val="bottom"/>
          </w:tcPr>
          <w:p>
            <w:pPr>
              <w:spacing w:after="0"/>
              <w:rPr>
                <w:sz w:val="13"/>
                <w:szCs w:val="13"/>
                <w:color w:val="auto"/>
              </w:rPr>
            </w:pPr>
          </w:p>
        </w:tc>
        <w:tc>
          <w:tcPr>
            <w:tcW w:w="3300" w:type="dxa"/>
            <w:vAlign w:val="bottom"/>
          </w:tcPr>
          <w:p>
            <w:pPr>
              <w:spacing w:after="0"/>
              <w:rPr>
                <w:sz w:val="13"/>
                <w:szCs w:val="13"/>
                <w:color w:val="auto"/>
              </w:rPr>
            </w:pPr>
          </w:p>
        </w:tc>
        <w:tc>
          <w:tcPr>
            <w:tcW w:w="1720" w:type="dxa"/>
            <w:vAlign w:val="bottom"/>
          </w:tcPr>
          <w:p>
            <w:pPr>
              <w:spacing w:after="0"/>
              <w:rPr>
                <w:sz w:val="13"/>
                <w:szCs w:val="13"/>
                <w:color w:val="auto"/>
              </w:rPr>
            </w:pPr>
          </w:p>
        </w:tc>
      </w:tr>
      <w:tr>
        <w:trPr>
          <w:trHeight w:val="164"/>
        </w:trPr>
        <w:tc>
          <w:tcPr>
            <w:tcW w:w="300" w:type="dxa"/>
            <w:vAlign w:val="bottom"/>
          </w:tcPr>
          <w:p>
            <w:pPr>
              <w:spacing w:after="0"/>
              <w:rPr>
                <w:sz w:val="20"/>
                <w:szCs w:val="20"/>
                <w:color w:val="auto"/>
              </w:rPr>
            </w:pPr>
            <w:r>
              <w:rPr>
                <w:rFonts w:ascii="Arial" w:cs="Arial" w:eastAsia="Arial" w:hAnsi="Arial"/>
                <w:sz w:val="13"/>
                <w:szCs w:val="13"/>
                <w:color w:val="auto"/>
              </w:rPr>
              <w:t>(3)</w:t>
            </w:r>
          </w:p>
        </w:tc>
        <w:tc>
          <w:tcPr>
            <w:tcW w:w="3620" w:type="dxa"/>
            <w:vAlign w:val="bottom"/>
            <w:gridSpan w:val="2"/>
          </w:tcPr>
          <w:p>
            <w:pPr>
              <w:ind w:left="160"/>
              <w:spacing w:after="0"/>
              <w:rPr>
                <w:sz w:val="20"/>
                <w:szCs w:val="20"/>
                <w:color w:val="auto"/>
              </w:rPr>
            </w:pPr>
            <w:r>
              <w:rPr>
                <w:rFonts w:ascii="Arial" w:cs="Arial" w:eastAsia="Arial" w:hAnsi="Arial"/>
                <w:sz w:val="13"/>
                <w:szCs w:val="13"/>
                <w:color w:val="auto"/>
              </w:rPr>
              <w:t>Member of the Nominating Committee</w:t>
            </w:r>
          </w:p>
        </w:tc>
        <w:tc>
          <w:tcPr>
            <w:tcW w:w="1380" w:type="dxa"/>
            <w:vAlign w:val="bottom"/>
          </w:tcPr>
          <w:p>
            <w:pPr>
              <w:spacing w:after="0"/>
              <w:rPr>
                <w:sz w:val="14"/>
                <w:szCs w:val="14"/>
                <w:color w:val="auto"/>
              </w:rPr>
            </w:pPr>
          </w:p>
        </w:tc>
        <w:tc>
          <w:tcPr>
            <w:tcW w:w="3300" w:type="dxa"/>
            <w:vAlign w:val="bottom"/>
          </w:tcPr>
          <w:p>
            <w:pPr>
              <w:spacing w:after="0"/>
              <w:rPr>
                <w:sz w:val="14"/>
                <w:szCs w:val="14"/>
                <w:color w:val="auto"/>
              </w:rPr>
            </w:pPr>
          </w:p>
        </w:tc>
        <w:tc>
          <w:tcPr>
            <w:tcW w:w="1720" w:type="dxa"/>
            <w:vAlign w:val="bottom"/>
          </w:tcPr>
          <w:p>
            <w:pPr>
              <w:spacing w:after="0"/>
              <w:rPr>
                <w:sz w:val="14"/>
                <w:szCs w:val="14"/>
                <w:color w:val="auto"/>
              </w:rPr>
            </w:pPr>
          </w:p>
        </w:tc>
      </w:tr>
    </w:tbl>
    <w:p>
      <w:pPr>
        <w:spacing w:after="0" w:line="163" w:lineRule="exact"/>
        <w:rPr>
          <w:sz w:val="20"/>
          <w:szCs w:val="20"/>
          <w:color w:val="auto"/>
        </w:rPr>
      </w:pPr>
    </w:p>
    <w:p>
      <w:pPr>
        <w:jc w:val="both"/>
        <w:ind w:firstLine="467"/>
        <w:spacing w:after="0" w:line="278" w:lineRule="auto"/>
        <w:rPr>
          <w:sz w:val="20"/>
          <w:szCs w:val="20"/>
          <w:color w:val="auto"/>
        </w:rPr>
      </w:pPr>
      <w:r>
        <w:rPr>
          <w:rFonts w:ascii="Arial" w:cs="Arial" w:eastAsia="Arial" w:hAnsi="Arial"/>
          <w:sz w:val="12"/>
          <w:szCs w:val="12"/>
          <w:b w:val="1"/>
          <w:bCs w:val="1"/>
          <w:color w:val="auto"/>
        </w:rPr>
        <w:t xml:space="preserve">Zee Hakimoglu </w:t>
      </w:r>
      <w:r>
        <w:rPr>
          <w:rFonts w:ascii="Arial" w:cs="Arial" w:eastAsia="Arial" w:hAnsi="Arial"/>
          <w:sz w:val="12"/>
          <w:szCs w:val="12"/>
          <w:color w:val="auto"/>
        </w:rPr>
        <w:t>has served as a director of our company since April 2006. Ms. Hakimoglu joined our company in December 2003 with more than 15 years of executive and senior-level, high-tech management</w:t>
      </w:r>
      <w:r>
        <w:rPr>
          <w:rFonts w:ascii="Arial" w:cs="Arial" w:eastAsia="Arial" w:hAnsi="Arial"/>
          <w:sz w:val="12"/>
          <w:szCs w:val="12"/>
          <w:b w:val="1"/>
          <w:bCs w:val="1"/>
          <w:color w:val="auto"/>
        </w:rPr>
        <w:t xml:space="preserve"> </w:t>
      </w:r>
      <w:r>
        <w:rPr>
          <w:rFonts w:ascii="Arial" w:cs="Arial" w:eastAsia="Arial" w:hAnsi="Arial"/>
          <w:sz w:val="12"/>
          <w:szCs w:val="12"/>
          <w:color w:val="auto"/>
        </w:rPr>
        <w:t>experience and was appointed as President and Chief Executive Officer in July 2004 and Chairman of the Board in July 2007. She served in a variety of executive business development, product marketing, and engineering roles including Vice President of Product Line Management for ClearOne from December 2003 to July 2004; Vice President of Product Line Management for Oplink Communications, a publicly traded developer of fiber optic subsystems and components from December 2001 to December 2002; President of OZ Optics USA, a manufacturer of fiber optic test equipment and components from August 2000 to November 2001; and various management positions including Vice President of Wireless Engineering and wireless business unit Vice President for Aydin Corp., a telecommunications equipment company, formerly traded on the New York Stock Exchange from May 1982 until it was acquired in September 1996. She also was Vice President of Business Development for Kaifa Technology from October 1998 to August 2000 and was instrumental in its acquisition by E-Tek Dynamics, then again acquired by JDS Uniphase. Through these acquisitions, she held the role of Deputy General Manager of the Kaifa business unit. Ms. Hakimoglu earned a Bachelor of Science Degree in Physics from California State College, Sonoma, and a Master’s Degree in Physics from Drexel University.</w:t>
      </w:r>
    </w:p>
    <w:p>
      <w:pPr>
        <w:spacing w:after="0" w:line="143" w:lineRule="exact"/>
        <w:rPr>
          <w:sz w:val="20"/>
          <w:szCs w:val="20"/>
          <w:color w:val="auto"/>
        </w:rPr>
      </w:pPr>
    </w:p>
    <w:p>
      <w:pPr>
        <w:jc w:val="both"/>
        <w:ind w:firstLine="467"/>
        <w:spacing w:after="0" w:line="259" w:lineRule="auto"/>
        <w:rPr>
          <w:sz w:val="20"/>
          <w:szCs w:val="20"/>
          <w:color w:val="auto"/>
        </w:rPr>
      </w:pPr>
      <w:r>
        <w:rPr>
          <w:rFonts w:ascii="Arial" w:cs="Arial" w:eastAsia="Arial" w:hAnsi="Arial"/>
          <w:sz w:val="13"/>
          <w:szCs w:val="13"/>
          <w:b w:val="1"/>
          <w:bCs w:val="1"/>
          <w:color w:val="auto"/>
        </w:rPr>
        <w:t xml:space="preserve">Brad R. Baldwin </w:t>
      </w:r>
      <w:r>
        <w:rPr>
          <w:rFonts w:ascii="Arial" w:cs="Arial" w:eastAsia="Arial" w:hAnsi="Arial"/>
          <w:sz w:val="13"/>
          <w:szCs w:val="13"/>
          <w:color w:val="auto"/>
        </w:rPr>
        <w:t>has served as a director of our company since October 1988. Mr. Baldwin is an attorney licensed to practice in Utah. Since April 2001, he has been engaged in the commercial real estate</w:t>
      </w:r>
      <w:r>
        <w:rPr>
          <w:rFonts w:ascii="Arial" w:cs="Arial" w:eastAsia="Arial" w:hAnsi="Arial"/>
          <w:sz w:val="13"/>
          <w:szCs w:val="13"/>
          <w:b w:val="1"/>
          <w:bCs w:val="1"/>
          <w:color w:val="auto"/>
        </w:rPr>
        <w:t xml:space="preserve"> </w:t>
      </w:r>
      <w:r>
        <w:rPr>
          <w:rFonts w:ascii="Arial" w:cs="Arial" w:eastAsia="Arial" w:hAnsi="Arial"/>
          <w:sz w:val="13"/>
          <w:szCs w:val="13"/>
          <w:color w:val="auto"/>
        </w:rPr>
        <w:t>business with Commerce CRG in Salt Lake City, Utah. From February 2000 to March 2001, Mr. Baldwin served as an executive with Idea Exchange Inc. From October 1994 to January 2000, he served as President and Chief Executive Officer of Bank One, Utah, a commercial bank headquartered in Salt Lake City, Utah. Mr. Baldwin holds a Degree in Finance from the University of Utah and a Juris Doctorate Degree from the University of Washington.</w:t>
      </w: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55880</wp:posOffset>
            </wp:positionV>
            <wp:extent cx="7291070" cy="1905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91070" cy="19050"/>
                    </a:xfrm>
                    <a:prstGeom prst="rect">
                      <a:avLst/>
                    </a:prstGeom>
                    <a:noFill/>
                  </pic:spPr>
                </pic:pic>
              </a:graphicData>
            </a:graphic>
          </wp:anchor>
        </w:drawing>
      </w:r>
    </w:p>
    <w:p>
      <w:pPr>
        <w:sectPr>
          <w:pgSz w:w="11900" w:h="16838" w:orient="portrait"/>
          <w:cols w:equalWidth="0" w:num="1">
            <w:col w:w="11460"/>
          </w:cols>
          <w:pgMar w:left="220" w:top="409" w:right="219" w:bottom="1440" w:gutter="0" w:footer="0" w:header="0"/>
        </w:sectPr>
      </w:pPr>
    </w:p>
    <w:bookmarkStart w:id="4" w:name="page5"/>
    <w:bookmarkEnd w:id="4"/>
    <w:p>
      <w:pPr>
        <w:jc w:val="both"/>
        <w:ind w:firstLine="467"/>
        <w:spacing w:after="0" w:line="259" w:lineRule="auto"/>
        <w:rPr>
          <w:sz w:val="20"/>
          <w:szCs w:val="20"/>
          <w:color w:val="auto"/>
        </w:rPr>
      </w:pPr>
      <w:r>
        <w:rPr>
          <w:rFonts w:ascii="Arial" w:cs="Arial" w:eastAsia="Arial" w:hAnsi="Arial"/>
          <w:sz w:val="13"/>
          <w:szCs w:val="13"/>
          <w:b w:val="1"/>
          <w:bCs w:val="1"/>
          <w:color w:val="auto"/>
        </w:rPr>
        <w:t xml:space="preserve">Larry R. Hendricks </w:t>
      </w:r>
      <w:r>
        <w:rPr>
          <w:rFonts w:ascii="Arial" w:cs="Arial" w:eastAsia="Arial" w:hAnsi="Arial"/>
          <w:sz w:val="13"/>
          <w:szCs w:val="13"/>
          <w:color w:val="auto"/>
        </w:rPr>
        <w:t>has served as a director of our company since June 2003. Mr. Hendricks is a Certified Public Accountant who retired in December 2002 after serving as Vice President of Finance and</w:t>
      </w:r>
      <w:r>
        <w:rPr>
          <w:rFonts w:ascii="Arial" w:cs="Arial" w:eastAsia="Arial" w:hAnsi="Arial"/>
          <w:sz w:val="13"/>
          <w:szCs w:val="13"/>
          <w:b w:val="1"/>
          <w:bCs w:val="1"/>
          <w:color w:val="auto"/>
        </w:rPr>
        <w:t xml:space="preserve"> </w:t>
      </w:r>
      <w:r>
        <w:rPr>
          <w:rFonts w:ascii="Arial" w:cs="Arial" w:eastAsia="Arial" w:hAnsi="Arial"/>
          <w:sz w:val="13"/>
          <w:szCs w:val="13"/>
          <w:color w:val="auto"/>
        </w:rPr>
        <w:t>General Manager of Daily Foods, Inc., a national meat processing company from. During his 30-year career in accounting, he served as a self-employed CPA from and worked for the international accounting firm Peat Marwick &amp; Mitchell from. Mr. Hendricks has served on the boards of eight other organizations, including Tunex International, Habitat for Humanity, Daily Foods, and Skin Care International. He earned a Bachelor’s Degree in Accounting from Utah State University and a Master of Business Administration Degree from the University of Utah.</w:t>
      </w:r>
    </w:p>
    <w:p>
      <w:pPr>
        <w:spacing w:after="0" w:line="153" w:lineRule="exact"/>
        <w:rPr>
          <w:sz w:val="20"/>
          <w:szCs w:val="20"/>
          <w:color w:val="auto"/>
        </w:rPr>
      </w:pPr>
    </w:p>
    <w:p>
      <w:pPr>
        <w:jc w:val="both"/>
        <w:ind w:firstLine="467"/>
        <w:spacing w:after="0" w:line="257" w:lineRule="auto"/>
        <w:rPr>
          <w:sz w:val="20"/>
          <w:szCs w:val="20"/>
          <w:color w:val="auto"/>
        </w:rPr>
      </w:pPr>
      <w:r>
        <w:rPr>
          <w:rFonts w:ascii="Arial" w:cs="Arial" w:eastAsia="Arial" w:hAnsi="Arial"/>
          <w:sz w:val="13"/>
          <w:szCs w:val="13"/>
          <w:b w:val="1"/>
          <w:bCs w:val="1"/>
          <w:color w:val="auto"/>
        </w:rPr>
        <w:t xml:space="preserve">Scott M. Huntsman </w:t>
      </w:r>
      <w:r>
        <w:rPr>
          <w:rFonts w:ascii="Arial" w:cs="Arial" w:eastAsia="Arial" w:hAnsi="Arial"/>
          <w:sz w:val="13"/>
          <w:szCs w:val="13"/>
          <w:color w:val="auto"/>
        </w:rPr>
        <w:t>has served as a director of our company since June 2003. Mr. Huntsman has served as President of GlobalSim, a technology and simulation company, since February 2003 and Chief</w:t>
      </w:r>
      <w:r>
        <w:rPr>
          <w:rFonts w:ascii="Arial" w:cs="Arial" w:eastAsia="Arial" w:hAnsi="Arial"/>
          <w:sz w:val="13"/>
          <w:szCs w:val="13"/>
          <w:b w:val="1"/>
          <w:bCs w:val="1"/>
          <w:color w:val="auto"/>
        </w:rPr>
        <w:t xml:space="preserve"> </w:t>
      </w:r>
      <w:r>
        <w:rPr>
          <w:rFonts w:ascii="Arial" w:cs="Arial" w:eastAsia="Arial" w:hAnsi="Arial"/>
          <w:sz w:val="13"/>
          <w:szCs w:val="13"/>
          <w:color w:val="auto"/>
        </w:rPr>
        <w:t>Financial Officer from April 2002 to February 2003. Prior to GlobalSim, he spent 11 years on Wall Street as an investment banker, where he focused on mergers, acquisitions, and corporate finance transactions. From August 1996 to 2000, Mr. Huntsman served at Donaldson, Lufkin and Jenrette Securities Corporation until their merger with Credit Suisse First Boston where he served until October 2001. Mr. Huntsman earned a Bachelor’s Degree from Columbia University and a Master of Business Administration Degree from The Wharton School at the University of Pennsylvania. He also studied at the London School of Economics as a Kohn Fellowship recipient.</w:t>
      </w:r>
    </w:p>
    <w:p>
      <w:pPr>
        <w:spacing w:after="0" w:line="158" w:lineRule="exact"/>
        <w:rPr>
          <w:sz w:val="20"/>
          <w:szCs w:val="20"/>
          <w:color w:val="auto"/>
        </w:rPr>
      </w:pPr>
    </w:p>
    <w:p>
      <w:pPr>
        <w:jc w:val="both"/>
        <w:ind w:firstLine="467"/>
        <w:spacing w:after="0" w:line="261" w:lineRule="auto"/>
        <w:rPr>
          <w:sz w:val="20"/>
          <w:szCs w:val="20"/>
          <w:color w:val="auto"/>
        </w:rPr>
      </w:pPr>
      <w:r>
        <w:rPr>
          <w:rFonts w:ascii="Arial" w:cs="Arial" w:eastAsia="Arial" w:hAnsi="Arial"/>
          <w:sz w:val="13"/>
          <w:szCs w:val="13"/>
          <w:color w:val="auto"/>
        </w:rPr>
        <w:t>Security holders who would like to send communications to any director or the entire Board may do so by submitting such communications to ClearOne Communications, Inc., 5225 Wiley Post Way, Suite 500, Salt Lake City, Utah 84116, Attention: Corporate Secretary. The communications will then be forwarded to the appropriate director or the entire Board. The Board suggests, but does not require, that such submissions include the name and contact information of the security holder making the submission and a description of the matter that is the subject of the communication.</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55880</wp:posOffset>
            </wp:positionV>
            <wp:extent cx="7291070" cy="1905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91070" cy="19050"/>
                    </a:xfrm>
                    <a:prstGeom prst="rect">
                      <a:avLst/>
                    </a:prstGeom>
                    <a:noFill/>
                  </pic:spPr>
                </pic:pic>
              </a:graphicData>
            </a:graphic>
          </wp:anchor>
        </w:drawing>
      </w:r>
    </w:p>
    <w:p>
      <w:pPr>
        <w:sectPr>
          <w:pgSz w:w="11900" w:h="16838" w:orient="portrait"/>
          <w:cols w:equalWidth="0" w:num="1">
            <w:col w:w="11460"/>
          </w:cols>
          <w:pgMar w:left="220" w:top="409" w:right="219" w:bottom="1440" w:gutter="0" w:footer="0" w:header="0"/>
        </w:sectPr>
      </w:pPr>
    </w:p>
    <w:bookmarkStart w:id="5" w:name="page6"/>
    <w:bookmarkEnd w:id="5"/>
    <w:p>
      <w:pPr>
        <w:jc w:val="center"/>
        <w:spacing w:after="0"/>
        <w:rPr>
          <w:sz w:val="20"/>
          <w:szCs w:val="20"/>
          <w:color w:val="auto"/>
        </w:rPr>
      </w:pPr>
      <w:r>
        <w:rPr>
          <w:rFonts w:ascii="Arial" w:cs="Arial" w:eastAsia="Arial" w:hAnsi="Arial"/>
          <w:sz w:val="13"/>
          <w:szCs w:val="13"/>
          <w:b w:val="1"/>
          <w:bCs w:val="1"/>
          <w:color w:val="auto"/>
        </w:rPr>
        <w:t>CORPORATE GOVERANCE</w:t>
      </w:r>
    </w:p>
    <w:p>
      <w:pPr>
        <w:spacing w:after="0" w:line="182"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Information Relating to Corporate Governance and the Board of Directors</w:t>
      </w:r>
    </w:p>
    <w:p>
      <w:pPr>
        <w:spacing w:after="0" w:line="186" w:lineRule="exact"/>
        <w:rPr>
          <w:sz w:val="20"/>
          <w:szCs w:val="20"/>
          <w:color w:val="auto"/>
        </w:rPr>
      </w:pPr>
    </w:p>
    <w:p>
      <w:pPr>
        <w:jc w:val="both"/>
        <w:ind w:right="20" w:firstLine="467"/>
        <w:spacing w:after="0" w:line="272" w:lineRule="auto"/>
        <w:rPr>
          <w:sz w:val="20"/>
          <w:szCs w:val="20"/>
          <w:color w:val="auto"/>
        </w:rPr>
      </w:pPr>
      <w:r>
        <w:rPr>
          <w:rFonts w:ascii="Arial" w:cs="Arial" w:eastAsia="Arial" w:hAnsi="Arial"/>
          <w:sz w:val="13"/>
          <w:szCs w:val="13"/>
          <w:color w:val="auto"/>
        </w:rPr>
        <w:t>Our Board of Directors has determined, after considering all the relevant facts and circumstances, that Messrs. Baldwin, Hendricks, and Huntsman are independent directors, as “independence” is defined by the listing standards of Nasdaq, because they have no relationship with us that would interfere with their exercise of independent judgment.</w:t>
      </w:r>
    </w:p>
    <w:p>
      <w:pPr>
        <w:spacing w:after="0" w:line="148" w:lineRule="exact"/>
        <w:rPr>
          <w:sz w:val="20"/>
          <w:szCs w:val="20"/>
          <w:color w:val="auto"/>
        </w:rPr>
      </w:pPr>
    </w:p>
    <w:p>
      <w:pPr>
        <w:ind w:left="460"/>
        <w:spacing w:after="0"/>
        <w:rPr>
          <w:sz w:val="20"/>
          <w:szCs w:val="20"/>
          <w:color w:val="auto"/>
        </w:rPr>
      </w:pPr>
      <w:r>
        <w:rPr>
          <w:rFonts w:ascii="Arial" w:cs="Arial" w:eastAsia="Arial" w:hAnsi="Arial"/>
          <w:sz w:val="13"/>
          <w:szCs w:val="13"/>
          <w:color w:val="auto"/>
        </w:rPr>
        <w:t>Our Board of Directors has an Audit Committee, a Compensation Committee, and a Nominating Committee, each consisting entirely of independent directors.</w:t>
      </w:r>
    </w:p>
    <w:p>
      <w:pPr>
        <w:spacing w:after="0" w:line="182" w:lineRule="exact"/>
        <w:rPr>
          <w:sz w:val="20"/>
          <w:szCs w:val="20"/>
          <w:color w:val="auto"/>
        </w:rPr>
      </w:pPr>
    </w:p>
    <w:p>
      <w:pPr>
        <w:jc w:val="both"/>
        <w:ind w:right="20" w:firstLine="467"/>
        <w:spacing w:after="0" w:line="293" w:lineRule="auto"/>
        <w:rPr>
          <w:sz w:val="20"/>
          <w:szCs w:val="20"/>
          <w:color w:val="auto"/>
        </w:rPr>
      </w:pPr>
      <w:r>
        <w:rPr>
          <w:rFonts w:ascii="Arial" w:cs="Arial" w:eastAsia="Arial" w:hAnsi="Arial"/>
          <w:sz w:val="12"/>
          <w:szCs w:val="12"/>
          <w:color w:val="auto"/>
        </w:rPr>
        <w:t xml:space="preserve">Our Board of Directors has adopted charters for the Audit and Nominating Committees describing the authority and responsibilities delegated to each committee by the Board. We post on our website at </w:t>
      </w:r>
      <w:r>
        <w:rPr>
          <w:rFonts w:ascii="Arial" w:cs="Arial" w:eastAsia="Arial" w:hAnsi="Arial"/>
          <w:sz w:val="12"/>
          <w:szCs w:val="12"/>
          <w:u w:val="single" w:color="auto"/>
          <w:color w:val="auto"/>
        </w:rPr>
        <w:t>www.clearone.com</w:t>
      </w:r>
      <w:r>
        <w:rPr>
          <w:rFonts w:ascii="Arial" w:cs="Arial" w:eastAsia="Arial" w:hAnsi="Arial"/>
          <w:sz w:val="12"/>
          <w:szCs w:val="12"/>
          <w:color w:val="auto"/>
        </w:rPr>
        <w:t>, the charters of our Audit and Nominating Committees; our Code of Ethics, and any amendments or waivers thereto; and any other corporate governance materials contemplated by SEC or Nasdaq regulations. These documents are also available in print to any stockholder requesting a copy in writing from our corporate secretary at our corporate offices set forth in this proxy statement.</w:t>
      </w:r>
    </w:p>
    <w:p>
      <w:pPr>
        <w:spacing w:after="0" w:line="133" w:lineRule="exact"/>
        <w:rPr>
          <w:sz w:val="20"/>
          <w:szCs w:val="20"/>
          <w:color w:val="auto"/>
        </w:rPr>
      </w:pPr>
    </w:p>
    <w:p>
      <w:pPr>
        <w:jc w:val="both"/>
        <w:ind w:firstLine="467"/>
        <w:spacing w:after="0" w:line="257" w:lineRule="auto"/>
        <w:rPr>
          <w:sz w:val="20"/>
          <w:szCs w:val="20"/>
          <w:color w:val="auto"/>
        </w:rPr>
      </w:pPr>
      <w:r>
        <w:rPr>
          <w:rFonts w:ascii="Arial" w:cs="Arial" w:eastAsia="Arial" w:hAnsi="Arial"/>
          <w:sz w:val="13"/>
          <w:szCs w:val="13"/>
          <w:b w:val="1"/>
          <w:bCs w:val="1"/>
          <w:color w:val="auto"/>
        </w:rPr>
        <w:t xml:space="preserve">Audit Committee. </w:t>
      </w:r>
      <w:r>
        <w:rPr>
          <w:rFonts w:ascii="Arial" w:cs="Arial" w:eastAsia="Arial" w:hAnsi="Arial"/>
          <w:sz w:val="13"/>
          <w:szCs w:val="13"/>
          <w:color w:val="auto"/>
        </w:rPr>
        <w:t>The Audit Committee meets to review and discuss our accounting practices and procedures with management and independent public accountants and to review our quarterly and annual</w:t>
      </w:r>
      <w:r>
        <w:rPr>
          <w:rFonts w:ascii="Arial" w:cs="Arial" w:eastAsia="Arial" w:hAnsi="Arial"/>
          <w:sz w:val="13"/>
          <w:szCs w:val="13"/>
          <w:b w:val="1"/>
          <w:bCs w:val="1"/>
          <w:color w:val="auto"/>
        </w:rPr>
        <w:t xml:space="preserve"> </w:t>
      </w:r>
      <w:r>
        <w:rPr>
          <w:rFonts w:ascii="Arial" w:cs="Arial" w:eastAsia="Arial" w:hAnsi="Arial"/>
          <w:sz w:val="13"/>
          <w:szCs w:val="13"/>
          <w:color w:val="auto"/>
        </w:rPr>
        <w:t>financial statements. The Audit Committee assists the Board of Directors in fulfilling its responsibility for oversight of the quality and integrity of our accounting, auditing, and reporting practices. The Audit Committee’s primary duties include reviewing the scope and adequacy of our internal accounting and financial controls; reviewing the independence of our independent registered public accounting firm; approving the scope of their audit activities; approving the fees of our independent registered public accounting firm; approving any non-audit related services; reviewing the audit results; reviewing the objectivity and effectiveness of our internal audit function; and reviewing our financial reporting activities and the accounting standards and principles followed.</w:t>
      </w:r>
    </w:p>
    <w:p>
      <w:pPr>
        <w:spacing w:after="0" w:line="158" w:lineRule="exact"/>
        <w:rPr>
          <w:sz w:val="20"/>
          <w:szCs w:val="20"/>
          <w:color w:val="auto"/>
        </w:rPr>
      </w:pPr>
    </w:p>
    <w:p>
      <w:pPr>
        <w:jc w:val="both"/>
        <w:ind w:right="20" w:firstLine="467"/>
        <w:spacing w:after="0" w:line="272" w:lineRule="auto"/>
        <w:rPr>
          <w:sz w:val="20"/>
          <w:szCs w:val="20"/>
          <w:color w:val="auto"/>
        </w:rPr>
      </w:pPr>
      <w:r>
        <w:rPr>
          <w:rFonts w:ascii="Arial" w:cs="Arial" w:eastAsia="Arial" w:hAnsi="Arial"/>
          <w:sz w:val="13"/>
          <w:szCs w:val="13"/>
          <w:color w:val="auto"/>
        </w:rPr>
        <w:t>The members of the Audit Committee are Scott M. Huntsman (Chairman), Brad R. Baldwin, and Larry R. Hendricks. The Board of Directors has determined that Scott M. Huntsman is an “audit committee financial expert” in accordance with applicable rules and regulations of the SEC.</w:t>
      </w:r>
    </w:p>
    <w:p>
      <w:pPr>
        <w:spacing w:after="0" w:line="144" w:lineRule="exact"/>
        <w:rPr>
          <w:sz w:val="20"/>
          <w:szCs w:val="20"/>
          <w:color w:val="auto"/>
        </w:rPr>
      </w:pPr>
    </w:p>
    <w:p>
      <w:pPr>
        <w:jc w:val="both"/>
        <w:ind w:right="20" w:firstLine="467"/>
        <w:spacing w:after="0" w:line="264" w:lineRule="auto"/>
        <w:rPr>
          <w:sz w:val="20"/>
          <w:szCs w:val="20"/>
          <w:color w:val="auto"/>
        </w:rPr>
      </w:pPr>
      <w:r>
        <w:rPr>
          <w:rFonts w:ascii="Arial" w:cs="Arial" w:eastAsia="Arial" w:hAnsi="Arial"/>
          <w:sz w:val="13"/>
          <w:szCs w:val="13"/>
          <w:b w:val="1"/>
          <w:bCs w:val="1"/>
          <w:color w:val="auto"/>
        </w:rPr>
        <w:t xml:space="preserve">Compensation Committee. </w:t>
      </w:r>
      <w:r>
        <w:rPr>
          <w:rFonts w:ascii="Arial" w:cs="Arial" w:eastAsia="Arial" w:hAnsi="Arial"/>
          <w:sz w:val="13"/>
          <w:szCs w:val="13"/>
          <w:color w:val="auto"/>
        </w:rPr>
        <w:t>The Compensation Committee is responsible for overseeing, reviewing, and approving our executive compensation and benefit programs. The members of the Compensation</w:t>
      </w:r>
      <w:r>
        <w:rPr>
          <w:rFonts w:ascii="Arial" w:cs="Arial" w:eastAsia="Arial" w:hAnsi="Arial"/>
          <w:sz w:val="13"/>
          <w:szCs w:val="13"/>
          <w:b w:val="1"/>
          <w:bCs w:val="1"/>
          <w:color w:val="auto"/>
        </w:rPr>
        <w:t xml:space="preserve"> </w:t>
      </w:r>
      <w:r>
        <w:rPr>
          <w:rFonts w:ascii="Arial" w:cs="Arial" w:eastAsia="Arial" w:hAnsi="Arial"/>
          <w:sz w:val="13"/>
          <w:szCs w:val="13"/>
          <w:color w:val="auto"/>
        </w:rPr>
        <w:t>Committee are Brad R. Baldwin (Chairman) and Scott M. Huntsman. Additional information regarding the functions, procedures, and authority of the Compensation Committee is provided in the Compensation Discussion and Analysis contained herein. The Compensation Committee has not adopted a written charter.</w:t>
      </w:r>
    </w:p>
    <w:p>
      <w:pPr>
        <w:spacing w:after="0" w:line="149" w:lineRule="exact"/>
        <w:rPr>
          <w:sz w:val="20"/>
          <w:szCs w:val="20"/>
          <w:color w:val="auto"/>
        </w:rPr>
      </w:pPr>
    </w:p>
    <w:p>
      <w:pPr>
        <w:jc w:val="both"/>
        <w:ind w:right="20" w:firstLine="467"/>
        <w:spacing w:after="0" w:line="264" w:lineRule="auto"/>
        <w:rPr>
          <w:sz w:val="20"/>
          <w:szCs w:val="20"/>
          <w:color w:val="auto"/>
        </w:rPr>
      </w:pPr>
      <w:r>
        <w:rPr>
          <w:rFonts w:ascii="Arial" w:cs="Arial" w:eastAsia="Arial" w:hAnsi="Arial"/>
          <w:sz w:val="13"/>
          <w:szCs w:val="13"/>
          <w:b w:val="1"/>
          <w:bCs w:val="1"/>
          <w:color w:val="auto"/>
        </w:rPr>
        <w:t xml:space="preserve">Nominating Committee. </w:t>
      </w:r>
      <w:r>
        <w:rPr>
          <w:rFonts w:ascii="Arial" w:cs="Arial" w:eastAsia="Arial" w:hAnsi="Arial"/>
          <w:sz w:val="13"/>
          <w:szCs w:val="13"/>
          <w:color w:val="auto"/>
        </w:rPr>
        <w:t>The Nominating Committee is responsible for overseeing the nomination of our directors. The Nominating Committee selects, evaluates, and recommends to the full Board of Directors</w:t>
      </w:r>
      <w:r>
        <w:rPr>
          <w:rFonts w:ascii="Arial" w:cs="Arial" w:eastAsia="Arial" w:hAnsi="Arial"/>
          <w:sz w:val="13"/>
          <w:szCs w:val="13"/>
          <w:b w:val="1"/>
          <w:bCs w:val="1"/>
          <w:color w:val="auto"/>
        </w:rPr>
        <w:t xml:space="preserve"> </w:t>
      </w:r>
      <w:r>
        <w:rPr>
          <w:rFonts w:ascii="Arial" w:cs="Arial" w:eastAsia="Arial" w:hAnsi="Arial"/>
          <w:sz w:val="13"/>
          <w:szCs w:val="13"/>
          <w:color w:val="auto"/>
        </w:rPr>
        <w:t>qualified candidates for election to the Board of Directors. The members of the Nominating Committee are Larry R. Hendricks (Chairman), Brad R. Baldwin, and Scott M. Huntsman. The Nominating Committee met once in 2008.</w:t>
      </w:r>
    </w:p>
    <w:p>
      <w:pPr>
        <w:spacing w:after="0" w:line="153" w:lineRule="exact"/>
        <w:rPr>
          <w:sz w:val="20"/>
          <w:szCs w:val="20"/>
          <w:color w:val="auto"/>
        </w:rPr>
      </w:pPr>
    </w:p>
    <w:p>
      <w:pPr>
        <w:jc w:val="both"/>
        <w:ind w:right="20" w:firstLine="467"/>
        <w:spacing w:after="0" w:line="282" w:lineRule="auto"/>
        <w:rPr>
          <w:sz w:val="20"/>
          <w:szCs w:val="20"/>
          <w:color w:val="auto"/>
        </w:rPr>
      </w:pPr>
      <w:r>
        <w:rPr>
          <w:rFonts w:ascii="Arial" w:cs="Arial" w:eastAsia="Arial" w:hAnsi="Arial"/>
          <w:sz w:val="12"/>
          <w:szCs w:val="12"/>
          <w:color w:val="auto"/>
        </w:rPr>
        <w:t>The Board of Directors will consider recommendations for director nominees by shareholders if the names of those nominees and relevant biographical information are submitted in writing to our company’s Secretary in the manner described for shareholder nominations below under the heading “Shareholder Proposals.” The Nominating Committee identifies and evaluates nominees for our Board of Directors, including nominees recommended by shareholders, based on numerous factors it considers appropriate, some of which may include strength of character, mature judgment, career specialization, relevant technical skills, diversity, and the extent to which the nominee would fill a present need on our Board of Directors. All director nominations, whether submitted by a shareholder, the Nominating Committee, or the Board of Directors, will be evaluated in the same manner. The current nominees for director were recommended by the Nominating Committee and nominated by the Board of Directors, including the independent members thereof.</w:t>
      </w:r>
    </w:p>
    <w:p>
      <w:pPr>
        <w:spacing w:after="0" w:line="140"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Board and Committee Meetings</w:t>
      </w:r>
    </w:p>
    <w:p>
      <w:pPr>
        <w:spacing w:after="0" w:line="186" w:lineRule="exact"/>
        <w:rPr>
          <w:sz w:val="20"/>
          <w:szCs w:val="20"/>
          <w:color w:val="auto"/>
        </w:rPr>
      </w:pPr>
    </w:p>
    <w:p>
      <w:pPr>
        <w:jc w:val="both"/>
        <w:ind w:firstLine="467"/>
        <w:spacing w:after="0" w:line="257" w:lineRule="auto"/>
        <w:rPr>
          <w:sz w:val="20"/>
          <w:szCs w:val="20"/>
          <w:color w:val="auto"/>
        </w:rPr>
      </w:pPr>
      <w:r>
        <w:rPr>
          <w:rFonts w:ascii="Arial" w:cs="Arial" w:eastAsia="Arial" w:hAnsi="Arial"/>
          <w:sz w:val="13"/>
          <w:szCs w:val="13"/>
          <w:color w:val="auto"/>
        </w:rPr>
        <w:t>Our board of directors held a total of 23 meetings during the fiscal year ended June 30, 2008. No director attended fewer than 75% of the aggregate of (i) the total number of meetings of the board of directors; and (ii) the total number of meetings held by all committees of the board of directors on which such director was a member. We encourage each of our directors to attend each annual meeting of stockholders. To that end, and to the extent reasonably practicable, we regularly schedule a meeting of the Board of Directors on the same day as our annual meeting of stockholders. Three members of our Board of Directors attended the 2007 annual meeting of stockholders.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55880</wp:posOffset>
            </wp:positionV>
            <wp:extent cx="7291070" cy="1905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91070" cy="19050"/>
                    </a:xfrm>
                    <a:prstGeom prst="rect">
                      <a:avLst/>
                    </a:prstGeom>
                    <a:noFill/>
                  </pic:spPr>
                </pic:pic>
              </a:graphicData>
            </a:graphic>
          </wp:anchor>
        </w:drawing>
      </w:r>
    </w:p>
    <w:p>
      <w:pPr>
        <w:sectPr>
          <w:pgSz w:w="11900" w:h="16838" w:orient="portrait"/>
          <w:cols w:equalWidth="0" w:num="1">
            <w:col w:w="11480"/>
          </w:cols>
          <w:pgMar w:left="220" w:top="409" w:right="199" w:bottom="1440" w:gutter="0" w:footer="0" w:header="0"/>
        </w:sectPr>
      </w:pPr>
    </w:p>
    <w:bookmarkStart w:id="6" w:name="page7"/>
    <w:bookmarkEnd w:id="6"/>
    <w:p>
      <w:pPr>
        <w:ind w:left="460"/>
        <w:spacing w:after="0"/>
        <w:rPr>
          <w:sz w:val="20"/>
          <w:szCs w:val="20"/>
          <w:color w:val="auto"/>
        </w:rPr>
      </w:pPr>
      <w:r>
        <w:rPr>
          <w:rFonts w:ascii="Arial" w:cs="Arial" w:eastAsia="Arial" w:hAnsi="Arial"/>
          <w:sz w:val="13"/>
          <w:szCs w:val="13"/>
          <w:color w:val="auto"/>
        </w:rPr>
        <w:t>During the fiscal year ended June 30, 2008, the Audit Committee held six meetings; the Compensation Committee held four meetings; and the Nominating Committee held one meeting.</w:t>
      </w:r>
    </w:p>
    <w:p>
      <w:pPr>
        <w:spacing w:after="0" w:line="178"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Code of Ethics</w:t>
      </w:r>
    </w:p>
    <w:p>
      <w:pPr>
        <w:spacing w:after="0" w:line="186" w:lineRule="exact"/>
        <w:rPr>
          <w:sz w:val="20"/>
          <w:szCs w:val="20"/>
          <w:color w:val="auto"/>
        </w:rPr>
      </w:pPr>
    </w:p>
    <w:p>
      <w:pPr>
        <w:ind w:left="460"/>
        <w:spacing w:after="0"/>
        <w:rPr>
          <w:sz w:val="20"/>
          <w:szCs w:val="20"/>
          <w:color w:val="auto"/>
        </w:rPr>
      </w:pPr>
      <w:r>
        <w:rPr>
          <w:rFonts w:ascii="Arial" w:cs="Arial" w:eastAsia="Arial" w:hAnsi="Arial"/>
          <w:sz w:val="12"/>
          <w:szCs w:val="12"/>
          <w:color w:val="auto"/>
        </w:rPr>
        <w:t xml:space="preserve">The Board of Directors adopted a code of ethics that applies to our Board of Directors, executive officers, and employees. The Company’s Code of Ethics is posted on our website at </w:t>
      </w:r>
      <w:r>
        <w:rPr>
          <w:rFonts w:ascii="Arial" w:cs="Arial" w:eastAsia="Arial" w:hAnsi="Arial"/>
          <w:sz w:val="12"/>
          <w:szCs w:val="12"/>
          <w:u w:val="single" w:color="auto"/>
          <w:color w:val="auto"/>
        </w:rPr>
        <w:t>www.clearone.com</w:t>
      </w:r>
      <w:r>
        <w:rPr>
          <w:rFonts w:ascii="Arial" w:cs="Arial" w:eastAsia="Arial" w:hAnsi="Arial"/>
          <w:sz w:val="12"/>
          <w:szCs w:val="12"/>
          <w:color w:val="auto"/>
        </w:rPr>
        <w:t>.</w:t>
      </w:r>
    </w:p>
    <w:p>
      <w:pPr>
        <w:spacing w:after="0" w:line="189"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Section 16(a) Beneficial Ownership Reporting Compliance</w:t>
      </w:r>
    </w:p>
    <w:p>
      <w:pPr>
        <w:spacing w:after="0" w:line="186" w:lineRule="exact"/>
        <w:rPr>
          <w:sz w:val="20"/>
          <w:szCs w:val="20"/>
          <w:color w:val="auto"/>
        </w:rPr>
      </w:pPr>
    </w:p>
    <w:p>
      <w:pPr>
        <w:jc w:val="both"/>
        <w:ind w:firstLine="467"/>
        <w:spacing w:after="0" w:line="319" w:lineRule="auto"/>
        <w:rPr>
          <w:sz w:val="20"/>
          <w:szCs w:val="20"/>
          <w:color w:val="auto"/>
        </w:rPr>
      </w:pPr>
      <w:r>
        <w:rPr>
          <w:rFonts w:ascii="Arial" w:cs="Arial" w:eastAsia="Arial" w:hAnsi="Arial"/>
          <w:sz w:val="11"/>
          <w:szCs w:val="11"/>
          <w:color w:val="auto"/>
        </w:rPr>
        <w:t>Section 16(a) of the Exchange Act, as amended, requires our directors and executive officers, and persons who own more than 10% of a registered class of our equity securities to file with the SEC initial reports of ownership on Form 3 and reports of changes of ownership of our equity securities on Forms 4 and 5. Officers, directors, and greater than 10% shareholders are required to furnish us with copies of all Section 16(a) reports they file. Based solely on a review of the reports and amendments to reports furnished to us during the fiscal year ended June 30, 2008, and written representations that no other reports were required, we believe that each person who, at any time during such fiscal year was a director, officer, or beneficial owner of more than 10% of our common stock, complied with all Section 16(a) filing requirements during such fiscal year.</w:t>
      </w: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55880</wp:posOffset>
            </wp:positionV>
            <wp:extent cx="7291070" cy="1905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91070" cy="19050"/>
                    </a:xfrm>
                    <a:prstGeom prst="rect">
                      <a:avLst/>
                    </a:prstGeom>
                    <a:noFill/>
                  </pic:spPr>
                </pic:pic>
              </a:graphicData>
            </a:graphic>
          </wp:anchor>
        </w:drawing>
      </w:r>
    </w:p>
    <w:p>
      <w:pPr>
        <w:sectPr>
          <w:pgSz w:w="11900" w:h="16838" w:orient="portrait"/>
          <w:cols w:equalWidth="0" w:num="1">
            <w:col w:w="11460"/>
          </w:cols>
          <w:pgMar w:left="220" w:top="413" w:right="219" w:bottom="1440" w:gutter="0" w:footer="0" w:header="0"/>
        </w:sectPr>
      </w:pPr>
    </w:p>
    <w:bookmarkStart w:id="7" w:name="page8"/>
    <w:bookmarkEnd w:id="7"/>
    <w:tbl>
      <w:tblPr>
        <w:tblLayout w:type="fixed"/>
        <w:tblInd w:w="0" w:type="dxa"/>
        <w:tblCellMar>
          <w:top w:w="0" w:type="dxa"/>
          <w:left w:w="0" w:type="dxa"/>
          <w:bottom w:w="0" w:type="dxa"/>
          <w:right w:w="0" w:type="dxa"/>
        </w:tblCellMar>
      </w:tblPr>
      <w:tr>
        <w:trPr>
          <w:trHeight w:val="168"/>
        </w:trPr>
        <w:tc>
          <w:tcPr>
            <w:tcW w:w="2540" w:type="dxa"/>
            <w:vAlign w:val="bottom"/>
          </w:tcPr>
          <w:p>
            <w:pPr>
              <w:spacing w:after="0"/>
              <w:rPr>
                <w:sz w:val="14"/>
                <w:szCs w:val="14"/>
                <w:color w:val="auto"/>
              </w:rPr>
            </w:pPr>
          </w:p>
        </w:tc>
        <w:tc>
          <w:tcPr>
            <w:tcW w:w="2340" w:type="dxa"/>
            <w:vAlign w:val="bottom"/>
          </w:tcPr>
          <w:p>
            <w:pPr>
              <w:spacing w:after="0"/>
              <w:rPr>
                <w:sz w:val="14"/>
                <w:szCs w:val="14"/>
                <w:color w:val="auto"/>
              </w:rPr>
            </w:pPr>
          </w:p>
        </w:tc>
        <w:tc>
          <w:tcPr>
            <w:tcW w:w="6600" w:type="dxa"/>
            <w:vAlign w:val="bottom"/>
          </w:tcPr>
          <w:p>
            <w:pPr>
              <w:ind w:left="120"/>
              <w:spacing w:after="0"/>
              <w:rPr>
                <w:sz w:val="20"/>
                <w:szCs w:val="20"/>
                <w:color w:val="auto"/>
              </w:rPr>
            </w:pPr>
            <w:r>
              <w:rPr>
                <w:rFonts w:ascii="Arial" w:cs="Arial" w:eastAsia="Arial" w:hAnsi="Arial"/>
                <w:sz w:val="13"/>
                <w:szCs w:val="13"/>
                <w:b w:val="1"/>
                <w:bCs w:val="1"/>
                <w:color w:val="auto"/>
              </w:rPr>
              <w:t>EXECUTIVE OFFICERS</w:t>
            </w:r>
          </w:p>
        </w:tc>
      </w:tr>
      <w:tr>
        <w:trPr>
          <w:trHeight w:val="331"/>
        </w:trPr>
        <w:tc>
          <w:tcPr>
            <w:tcW w:w="4880" w:type="dxa"/>
            <w:vAlign w:val="bottom"/>
            <w:gridSpan w:val="2"/>
          </w:tcPr>
          <w:p>
            <w:pPr>
              <w:ind w:left="460"/>
              <w:spacing w:after="0"/>
              <w:rPr>
                <w:sz w:val="20"/>
                <w:szCs w:val="20"/>
                <w:color w:val="auto"/>
              </w:rPr>
            </w:pPr>
            <w:r>
              <w:rPr>
                <w:rFonts w:ascii="Arial" w:cs="Arial" w:eastAsia="Arial" w:hAnsi="Arial"/>
                <w:sz w:val="13"/>
                <w:szCs w:val="13"/>
                <w:color w:val="auto"/>
                <w:w w:val="94"/>
              </w:rPr>
              <w:t>The following table sets forth certain information regarding our executive officers.</w:t>
            </w:r>
          </w:p>
        </w:tc>
        <w:tc>
          <w:tcPr>
            <w:tcW w:w="6600" w:type="dxa"/>
            <w:vAlign w:val="bottom"/>
          </w:tcPr>
          <w:p>
            <w:pPr>
              <w:spacing w:after="0"/>
              <w:rPr>
                <w:sz w:val="24"/>
                <w:szCs w:val="24"/>
                <w:color w:val="auto"/>
              </w:rPr>
            </w:pPr>
          </w:p>
        </w:tc>
      </w:tr>
      <w:tr>
        <w:trPr>
          <w:trHeight w:val="332"/>
        </w:trPr>
        <w:tc>
          <w:tcPr>
            <w:tcW w:w="2540" w:type="dxa"/>
            <w:vAlign w:val="bottom"/>
            <w:tcBorders>
              <w:bottom w:val="single" w:sz="8" w:color="auto"/>
            </w:tcBorders>
          </w:tcPr>
          <w:p>
            <w:pPr>
              <w:spacing w:after="0"/>
              <w:rPr>
                <w:sz w:val="20"/>
                <w:szCs w:val="20"/>
                <w:color w:val="auto"/>
              </w:rPr>
            </w:pPr>
            <w:r>
              <w:rPr>
                <w:rFonts w:ascii="Arial" w:cs="Arial" w:eastAsia="Arial" w:hAnsi="Arial"/>
                <w:sz w:val="13"/>
                <w:szCs w:val="13"/>
                <w:b w:val="1"/>
                <w:bCs w:val="1"/>
                <w:color w:val="auto"/>
              </w:rPr>
              <w:t>Name</w:t>
            </w:r>
          </w:p>
        </w:tc>
        <w:tc>
          <w:tcPr>
            <w:tcW w:w="2340" w:type="dxa"/>
            <w:vAlign w:val="bottom"/>
            <w:tcBorders>
              <w:bottom w:val="single" w:sz="8" w:color="auto"/>
            </w:tcBorders>
          </w:tcPr>
          <w:p>
            <w:pPr>
              <w:jc w:val="center"/>
              <w:ind w:left="855"/>
              <w:spacing w:after="0"/>
              <w:rPr>
                <w:sz w:val="20"/>
                <w:szCs w:val="20"/>
                <w:color w:val="auto"/>
              </w:rPr>
            </w:pPr>
            <w:r>
              <w:rPr>
                <w:rFonts w:ascii="Arial" w:cs="Arial" w:eastAsia="Arial" w:hAnsi="Arial"/>
                <w:sz w:val="13"/>
                <w:szCs w:val="13"/>
                <w:b w:val="1"/>
                <w:bCs w:val="1"/>
                <w:color w:val="auto"/>
                <w:w w:val="89"/>
              </w:rPr>
              <w:t>Age</w:t>
            </w:r>
          </w:p>
        </w:tc>
        <w:tc>
          <w:tcPr>
            <w:tcW w:w="6600" w:type="dxa"/>
            <w:vAlign w:val="bottom"/>
            <w:tcBorders>
              <w:bottom w:val="single" w:sz="8" w:color="auto"/>
            </w:tcBorders>
          </w:tcPr>
          <w:p>
            <w:pPr>
              <w:ind w:left="3260"/>
              <w:spacing w:after="0"/>
              <w:rPr>
                <w:sz w:val="20"/>
                <w:szCs w:val="20"/>
                <w:color w:val="auto"/>
              </w:rPr>
            </w:pPr>
            <w:r>
              <w:rPr>
                <w:rFonts w:ascii="Arial" w:cs="Arial" w:eastAsia="Arial" w:hAnsi="Arial"/>
                <w:sz w:val="13"/>
                <w:szCs w:val="13"/>
                <w:b w:val="1"/>
                <w:bCs w:val="1"/>
                <w:color w:val="auto"/>
              </w:rPr>
              <w:t>Position</w:t>
            </w:r>
          </w:p>
        </w:tc>
      </w:tr>
      <w:tr>
        <w:trPr>
          <w:trHeight w:val="147"/>
        </w:trPr>
        <w:tc>
          <w:tcPr>
            <w:tcW w:w="2540" w:type="dxa"/>
            <w:vAlign w:val="bottom"/>
          </w:tcPr>
          <w:p>
            <w:pPr>
              <w:spacing w:after="0" w:line="147" w:lineRule="exact"/>
              <w:rPr>
                <w:sz w:val="20"/>
                <w:szCs w:val="20"/>
                <w:color w:val="auto"/>
              </w:rPr>
            </w:pPr>
            <w:r>
              <w:rPr>
                <w:rFonts w:ascii="Arial" w:cs="Arial" w:eastAsia="Arial" w:hAnsi="Arial"/>
                <w:sz w:val="13"/>
                <w:szCs w:val="13"/>
                <w:color w:val="auto"/>
              </w:rPr>
              <w:t>Zee Hakimoglu</w:t>
            </w:r>
          </w:p>
        </w:tc>
        <w:tc>
          <w:tcPr>
            <w:tcW w:w="2340" w:type="dxa"/>
            <w:vAlign w:val="bottom"/>
          </w:tcPr>
          <w:p>
            <w:pPr>
              <w:jc w:val="center"/>
              <w:ind w:left="875"/>
              <w:spacing w:after="0" w:line="147" w:lineRule="exact"/>
              <w:rPr>
                <w:sz w:val="20"/>
                <w:szCs w:val="20"/>
                <w:color w:val="auto"/>
              </w:rPr>
            </w:pPr>
            <w:r>
              <w:rPr>
                <w:rFonts w:ascii="Arial" w:cs="Arial" w:eastAsia="Arial" w:hAnsi="Arial"/>
                <w:sz w:val="13"/>
                <w:szCs w:val="13"/>
                <w:color w:val="auto"/>
                <w:w w:val="82"/>
              </w:rPr>
              <w:t>55</w:t>
            </w:r>
          </w:p>
        </w:tc>
        <w:tc>
          <w:tcPr>
            <w:tcW w:w="6600" w:type="dxa"/>
            <w:vAlign w:val="bottom"/>
          </w:tcPr>
          <w:p>
            <w:pPr>
              <w:ind w:left="360"/>
              <w:spacing w:after="0" w:line="147" w:lineRule="exact"/>
              <w:rPr>
                <w:sz w:val="20"/>
                <w:szCs w:val="20"/>
                <w:color w:val="auto"/>
              </w:rPr>
            </w:pPr>
            <w:r>
              <w:rPr>
                <w:rFonts w:ascii="Arial" w:cs="Arial" w:eastAsia="Arial" w:hAnsi="Arial"/>
                <w:sz w:val="13"/>
                <w:szCs w:val="13"/>
                <w:color w:val="auto"/>
              </w:rPr>
              <w:t>President, Chief Executive Officer, and Chairman of the Board of Directors</w:t>
            </w:r>
          </w:p>
        </w:tc>
      </w:tr>
      <w:tr>
        <w:trPr>
          <w:trHeight w:val="156"/>
        </w:trPr>
        <w:tc>
          <w:tcPr>
            <w:tcW w:w="2540" w:type="dxa"/>
            <w:vAlign w:val="bottom"/>
          </w:tcPr>
          <w:p>
            <w:pPr>
              <w:spacing w:after="0"/>
              <w:rPr>
                <w:sz w:val="20"/>
                <w:szCs w:val="20"/>
                <w:color w:val="auto"/>
              </w:rPr>
            </w:pPr>
            <w:r>
              <w:rPr>
                <w:rFonts w:ascii="Arial" w:cs="Arial" w:eastAsia="Arial" w:hAnsi="Arial"/>
                <w:sz w:val="13"/>
                <w:szCs w:val="13"/>
                <w:color w:val="auto"/>
              </w:rPr>
              <w:t>Greg A. LeClaire</w:t>
            </w:r>
          </w:p>
        </w:tc>
        <w:tc>
          <w:tcPr>
            <w:tcW w:w="2340" w:type="dxa"/>
            <w:vAlign w:val="bottom"/>
          </w:tcPr>
          <w:p>
            <w:pPr>
              <w:jc w:val="center"/>
              <w:ind w:left="875"/>
              <w:spacing w:after="0"/>
              <w:rPr>
                <w:sz w:val="20"/>
                <w:szCs w:val="20"/>
                <w:color w:val="auto"/>
              </w:rPr>
            </w:pPr>
            <w:r>
              <w:rPr>
                <w:rFonts w:ascii="Arial" w:cs="Arial" w:eastAsia="Arial" w:hAnsi="Arial"/>
                <w:sz w:val="13"/>
                <w:szCs w:val="13"/>
                <w:color w:val="auto"/>
                <w:w w:val="82"/>
              </w:rPr>
              <w:t>39</w:t>
            </w:r>
          </w:p>
        </w:tc>
        <w:tc>
          <w:tcPr>
            <w:tcW w:w="6600" w:type="dxa"/>
            <w:vAlign w:val="bottom"/>
          </w:tcPr>
          <w:p>
            <w:pPr>
              <w:ind w:left="360"/>
              <w:spacing w:after="0"/>
              <w:rPr>
                <w:sz w:val="20"/>
                <w:szCs w:val="20"/>
                <w:color w:val="auto"/>
              </w:rPr>
            </w:pPr>
            <w:r>
              <w:rPr>
                <w:rFonts w:ascii="Arial" w:cs="Arial" w:eastAsia="Arial" w:hAnsi="Arial"/>
                <w:sz w:val="13"/>
                <w:szCs w:val="13"/>
                <w:color w:val="auto"/>
              </w:rPr>
              <w:t>Chief Financial Officer and Corporate Secretary</w:t>
            </w:r>
          </w:p>
        </w:tc>
      </w:tr>
      <w:tr>
        <w:trPr>
          <w:trHeight w:val="156"/>
        </w:trPr>
        <w:tc>
          <w:tcPr>
            <w:tcW w:w="2540" w:type="dxa"/>
            <w:vAlign w:val="bottom"/>
          </w:tcPr>
          <w:p>
            <w:pPr>
              <w:spacing w:after="0"/>
              <w:rPr>
                <w:sz w:val="20"/>
                <w:szCs w:val="20"/>
                <w:color w:val="auto"/>
              </w:rPr>
            </w:pPr>
            <w:r>
              <w:rPr>
                <w:rFonts w:ascii="Arial" w:cs="Arial" w:eastAsia="Arial" w:hAnsi="Arial"/>
                <w:sz w:val="13"/>
                <w:szCs w:val="13"/>
                <w:color w:val="auto"/>
              </w:rPr>
              <w:t>Tracy A. Bathurst</w:t>
            </w:r>
          </w:p>
        </w:tc>
        <w:tc>
          <w:tcPr>
            <w:tcW w:w="2340" w:type="dxa"/>
            <w:vAlign w:val="bottom"/>
          </w:tcPr>
          <w:p>
            <w:pPr>
              <w:jc w:val="center"/>
              <w:ind w:left="875"/>
              <w:spacing w:after="0"/>
              <w:rPr>
                <w:sz w:val="20"/>
                <w:szCs w:val="20"/>
                <w:color w:val="auto"/>
              </w:rPr>
            </w:pPr>
            <w:r>
              <w:rPr>
                <w:rFonts w:ascii="Arial" w:cs="Arial" w:eastAsia="Arial" w:hAnsi="Arial"/>
                <w:sz w:val="13"/>
                <w:szCs w:val="13"/>
                <w:color w:val="auto"/>
                <w:w w:val="82"/>
              </w:rPr>
              <w:t>44</w:t>
            </w:r>
          </w:p>
        </w:tc>
        <w:tc>
          <w:tcPr>
            <w:tcW w:w="6600" w:type="dxa"/>
            <w:vAlign w:val="bottom"/>
          </w:tcPr>
          <w:p>
            <w:pPr>
              <w:ind w:left="360"/>
              <w:spacing w:after="0"/>
              <w:rPr>
                <w:sz w:val="20"/>
                <w:szCs w:val="20"/>
                <w:color w:val="auto"/>
              </w:rPr>
            </w:pPr>
            <w:r>
              <w:rPr>
                <w:rFonts w:ascii="Arial" w:cs="Arial" w:eastAsia="Arial" w:hAnsi="Arial"/>
                <w:sz w:val="13"/>
                <w:szCs w:val="13"/>
                <w:color w:val="auto"/>
              </w:rPr>
              <w:t>Chief Technology Officer</w:t>
            </w:r>
          </w:p>
        </w:tc>
      </w:tr>
      <w:tr>
        <w:trPr>
          <w:trHeight w:val="156"/>
        </w:trPr>
        <w:tc>
          <w:tcPr>
            <w:tcW w:w="2540" w:type="dxa"/>
            <w:vAlign w:val="bottom"/>
          </w:tcPr>
          <w:p>
            <w:pPr>
              <w:spacing w:after="0"/>
              <w:rPr>
                <w:sz w:val="20"/>
                <w:szCs w:val="20"/>
                <w:color w:val="auto"/>
              </w:rPr>
            </w:pPr>
            <w:r>
              <w:rPr>
                <w:rFonts w:ascii="Arial" w:cs="Arial" w:eastAsia="Arial" w:hAnsi="Arial"/>
                <w:sz w:val="13"/>
                <w:szCs w:val="13"/>
                <w:color w:val="auto"/>
              </w:rPr>
              <w:t>Mark A. Fletcher</w:t>
            </w:r>
          </w:p>
        </w:tc>
        <w:tc>
          <w:tcPr>
            <w:tcW w:w="2340" w:type="dxa"/>
            <w:vAlign w:val="bottom"/>
          </w:tcPr>
          <w:p>
            <w:pPr>
              <w:jc w:val="center"/>
              <w:ind w:left="875"/>
              <w:spacing w:after="0"/>
              <w:rPr>
                <w:sz w:val="20"/>
                <w:szCs w:val="20"/>
                <w:color w:val="auto"/>
              </w:rPr>
            </w:pPr>
            <w:r>
              <w:rPr>
                <w:rFonts w:ascii="Arial" w:cs="Arial" w:eastAsia="Arial" w:hAnsi="Arial"/>
                <w:sz w:val="13"/>
                <w:szCs w:val="13"/>
                <w:color w:val="auto"/>
                <w:w w:val="82"/>
              </w:rPr>
              <w:t>55</w:t>
            </w:r>
          </w:p>
        </w:tc>
        <w:tc>
          <w:tcPr>
            <w:tcW w:w="6600" w:type="dxa"/>
            <w:vAlign w:val="bottom"/>
          </w:tcPr>
          <w:p>
            <w:pPr>
              <w:ind w:left="360"/>
              <w:spacing w:after="0"/>
              <w:rPr>
                <w:sz w:val="20"/>
                <w:szCs w:val="20"/>
                <w:color w:val="auto"/>
              </w:rPr>
            </w:pPr>
            <w:r>
              <w:rPr>
                <w:rFonts w:ascii="Arial" w:cs="Arial" w:eastAsia="Arial" w:hAnsi="Arial"/>
                <w:sz w:val="13"/>
                <w:szCs w:val="13"/>
                <w:color w:val="auto"/>
              </w:rPr>
              <w:t>Vice President of Worldwide Sales</w:t>
            </w:r>
          </w:p>
        </w:tc>
      </w:tr>
      <w:tr>
        <w:trPr>
          <w:trHeight w:val="164"/>
        </w:trPr>
        <w:tc>
          <w:tcPr>
            <w:tcW w:w="2540" w:type="dxa"/>
            <w:vAlign w:val="bottom"/>
          </w:tcPr>
          <w:p>
            <w:pPr>
              <w:spacing w:after="0"/>
              <w:rPr>
                <w:sz w:val="20"/>
                <w:szCs w:val="20"/>
                <w:color w:val="auto"/>
              </w:rPr>
            </w:pPr>
            <w:r>
              <w:rPr>
                <w:rFonts w:ascii="Arial" w:cs="Arial" w:eastAsia="Arial" w:hAnsi="Arial"/>
                <w:sz w:val="13"/>
                <w:szCs w:val="13"/>
                <w:color w:val="auto"/>
              </w:rPr>
              <w:t>Marthes Solamuthu</w:t>
            </w:r>
          </w:p>
        </w:tc>
        <w:tc>
          <w:tcPr>
            <w:tcW w:w="2340" w:type="dxa"/>
            <w:vAlign w:val="bottom"/>
          </w:tcPr>
          <w:p>
            <w:pPr>
              <w:jc w:val="center"/>
              <w:ind w:left="875"/>
              <w:spacing w:after="0"/>
              <w:rPr>
                <w:sz w:val="20"/>
                <w:szCs w:val="20"/>
                <w:color w:val="auto"/>
              </w:rPr>
            </w:pPr>
            <w:r>
              <w:rPr>
                <w:rFonts w:ascii="Arial" w:cs="Arial" w:eastAsia="Arial" w:hAnsi="Arial"/>
                <w:sz w:val="13"/>
                <w:szCs w:val="13"/>
                <w:color w:val="auto"/>
                <w:w w:val="82"/>
              </w:rPr>
              <w:t>35</w:t>
            </w:r>
          </w:p>
        </w:tc>
        <w:tc>
          <w:tcPr>
            <w:tcW w:w="6600" w:type="dxa"/>
            <w:vAlign w:val="bottom"/>
          </w:tcPr>
          <w:p>
            <w:pPr>
              <w:ind w:left="360"/>
              <w:spacing w:after="0"/>
              <w:rPr>
                <w:sz w:val="20"/>
                <w:szCs w:val="20"/>
                <w:color w:val="auto"/>
              </w:rPr>
            </w:pPr>
            <w:r>
              <w:rPr>
                <w:rFonts w:ascii="Arial" w:cs="Arial" w:eastAsia="Arial" w:hAnsi="Arial"/>
                <w:sz w:val="13"/>
                <w:szCs w:val="13"/>
                <w:color w:val="auto"/>
              </w:rPr>
              <w:t>Vice President of Operations</w:t>
            </w:r>
          </w:p>
        </w:tc>
      </w:tr>
    </w:tbl>
    <w:p>
      <w:pPr>
        <w:spacing w:after="0" w:line="167" w:lineRule="exact"/>
        <w:rPr>
          <w:sz w:val="20"/>
          <w:szCs w:val="20"/>
          <w:color w:val="auto"/>
        </w:rPr>
      </w:pPr>
    </w:p>
    <w:p>
      <w:pPr>
        <w:ind w:left="460"/>
        <w:spacing w:after="0"/>
        <w:rPr>
          <w:sz w:val="20"/>
          <w:szCs w:val="20"/>
          <w:color w:val="auto"/>
        </w:rPr>
      </w:pPr>
      <w:r>
        <w:rPr>
          <w:rFonts w:ascii="Arial" w:cs="Arial" w:eastAsia="Arial" w:hAnsi="Arial"/>
          <w:sz w:val="13"/>
          <w:szCs w:val="13"/>
          <w:color w:val="auto"/>
        </w:rPr>
        <w:t>For the biography of Ms. Hakimoglu, see “Nominees for Director.”</w:t>
      </w:r>
    </w:p>
    <w:p>
      <w:pPr>
        <w:spacing w:after="0" w:line="178" w:lineRule="exact"/>
        <w:rPr>
          <w:sz w:val="20"/>
          <w:szCs w:val="20"/>
          <w:color w:val="auto"/>
        </w:rPr>
      </w:pPr>
    </w:p>
    <w:p>
      <w:pPr>
        <w:jc w:val="both"/>
        <w:ind w:right="20" w:firstLine="467"/>
        <w:spacing w:after="0" w:line="257" w:lineRule="auto"/>
        <w:rPr>
          <w:sz w:val="20"/>
          <w:szCs w:val="20"/>
          <w:color w:val="auto"/>
        </w:rPr>
      </w:pPr>
      <w:r>
        <w:rPr>
          <w:rFonts w:ascii="Arial" w:cs="Arial" w:eastAsia="Arial" w:hAnsi="Arial"/>
          <w:sz w:val="13"/>
          <w:szCs w:val="13"/>
          <w:b w:val="1"/>
          <w:bCs w:val="1"/>
          <w:color w:val="auto"/>
        </w:rPr>
        <w:t xml:space="preserve">Greg A. LeClaire </w:t>
      </w:r>
      <w:r>
        <w:rPr>
          <w:rFonts w:ascii="Arial" w:cs="Arial" w:eastAsia="Arial" w:hAnsi="Arial"/>
          <w:sz w:val="13"/>
          <w:szCs w:val="13"/>
          <w:color w:val="auto"/>
        </w:rPr>
        <w:t>joined us in September 2006 with more than 15 years of finance and accounting experience, eight of which were served in an executive, senior-level capacity. Mr. LeClaire initially served as</w:t>
      </w:r>
      <w:r>
        <w:rPr>
          <w:rFonts w:ascii="Arial" w:cs="Arial" w:eastAsia="Arial" w:hAnsi="Arial"/>
          <w:sz w:val="13"/>
          <w:szCs w:val="13"/>
          <w:b w:val="1"/>
          <w:bCs w:val="1"/>
          <w:color w:val="auto"/>
        </w:rPr>
        <w:t xml:space="preserve"> </w:t>
      </w:r>
      <w:r>
        <w:rPr>
          <w:rFonts w:ascii="Arial" w:cs="Arial" w:eastAsia="Arial" w:hAnsi="Arial"/>
          <w:sz w:val="13"/>
          <w:szCs w:val="13"/>
          <w:color w:val="auto"/>
        </w:rPr>
        <w:t>our Vice President of Finance and was promoted to Chief Financial Officer in January 2008. He served as Vice President of Finance and Administration with Livedeal.com, an early stage online classifieds website, from April 2006 to August 2006. Prior to that, Mr. LeClaire had a 12-year career in a variety of senior finance and accounting positions with Utah Medical Products, a publicly traded specialty medical device company, including serving as Vice President and Chief Financial Officer from January 2001 to April 2006. He earned a Bachelor of Science degree in Accounting from the University of Utah and a Master of Science degree in Management from Stanford University.</w:t>
      </w:r>
    </w:p>
    <w:p>
      <w:pPr>
        <w:spacing w:after="0" w:line="154" w:lineRule="exact"/>
        <w:rPr>
          <w:sz w:val="20"/>
          <w:szCs w:val="20"/>
          <w:color w:val="auto"/>
        </w:rPr>
      </w:pPr>
    </w:p>
    <w:p>
      <w:pPr>
        <w:jc w:val="both"/>
        <w:ind w:firstLine="467"/>
        <w:spacing w:after="0" w:line="264" w:lineRule="auto"/>
        <w:rPr>
          <w:sz w:val="20"/>
          <w:szCs w:val="20"/>
          <w:color w:val="auto"/>
        </w:rPr>
      </w:pPr>
      <w:r>
        <w:rPr>
          <w:rFonts w:ascii="Arial" w:cs="Arial" w:eastAsia="Arial" w:hAnsi="Arial"/>
          <w:sz w:val="13"/>
          <w:szCs w:val="13"/>
          <w:b w:val="1"/>
          <w:bCs w:val="1"/>
          <w:color w:val="auto"/>
        </w:rPr>
        <w:t xml:space="preserve">Tracy A. Bathurst </w:t>
      </w:r>
      <w:r>
        <w:rPr>
          <w:rFonts w:ascii="Arial" w:cs="Arial" w:eastAsia="Arial" w:hAnsi="Arial"/>
          <w:sz w:val="13"/>
          <w:szCs w:val="13"/>
          <w:color w:val="auto"/>
        </w:rPr>
        <w:t>joined us in September 1988 and held several positions with us until he was named Chief Technology Officer in August 2007. He most recently served as our Vice President of Product Line</w:t>
      </w:r>
      <w:r>
        <w:rPr>
          <w:rFonts w:ascii="Arial" w:cs="Arial" w:eastAsia="Arial" w:hAnsi="Arial"/>
          <w:sz w:val="13"/>
          <w:szCs w:val="13"/>
          <w:b w:val="1"/>
          <w:bCs w:val="1"/>
          <w:color w:val="auto"/>
        </w:rPr>
        <w:t xml:space="preserve"> </w:t>
      </w:r>
      <w:r>
        <w:rPr>
          <w:rFonts w:ascii="Arial" w:cs="Arial" w:eastAsia="Arial" w:hAnsi="Arial"/>
          <w:sz w:val="13"/>
          <w:szCs w:val="13"/>
          <w:color w:val="auto"/>
        </w:rPr>
        <w:t>Management and has nearly 20 years experience in defining and developing communications-related products and technology. Mr. Bathurst has led the design and development of our high performance audio and telecommunications equipment. He earned a Bachelor of Science degree in Industrial Technology from Southern Utah University.</w:t>
      </w:r>
    </w:p>
    <w:p>
      <w:pPr>
        <w:spacing w:after="0" w:line="149" w:lineRule="exact"/>
        <w:rPr>
          <w:sz w:val="20"/>
          <w:szCs w:val="20"/>
          <w:color w:val="auto"/>
        </w:rPr>
      </w:pPr>
    </w:p>
    <w:p>
      <w:pPr>
        <w:jc w:val="both"/>
        <w:ind w:right="20" w:firstLine="467"/>
        <w:spacing w:after="0" w:line="255" w:lineRule="auto"/>
        <w:rPr>
          <w:sz w:val="20"/>
          <w:szCs w:val="20"/>
          <w:color w:val="auto"/>
        </w:rPr>
      </w:pPr>
      <w:r>
        <w:rPr>
          <w:rFonts w:ascii="Arial" w:cs="Arial" w:eastAsia="Arial" w:hAnsi="Arial"/>
          <w:sz w:val="13"/>
          <w:szCs w:val="13"/>
          <w:b w:val="1"/>
          <w:bCs w:val="1"/>
          <w:color w:val="auto"/>
        </w:rPr>
        <w:t xml:space="preserve">Mark A. Fletcher </w:t>
      </w:r>
      <w:r>
        <w:rPr>
          <w:rFonts w:ascii="Arial" w:cs="Arial" w:eastAsia="Arial" w:hAnsi="Arial"/>
          <w:sz w:val="13"/>
          <w:szCs w:val="13"/>
          <w:color w:val="auto"/>
        </w:rPr>
        <w:t>has served as our Vice-President of Worldwide Sales since July 2008 and has more than 20 years of experience in the audio-visual and communications industries. From 2007 to 2008 he served</w:t>
      </w:r>
      <w:r>
        <w:rPr>
          <w:rFonts w:ascii="Arial" w:cs="Arial" w:eastAsia="Arial" w:hAnsi="Arial"/>
          <w:sz w:val="13"/>
          <w:szCs w:val="13"/>
          <w:b w:val="1"/>
          <w:bCs w:val="1"/>
          <w:color w:val="auto"/>
        </w:rPr>
        <w:t xml:space="preserve"> </w:t>
      </w:r>
      <w:r>
        <w:rPr>
          <w:rFonts w:ascii="Arial" w:cs="Arial" w:eastAsia="Arial" w:hAnsi="Arial"/>
          <w:sz w:val="13"/>
          <w:szCs w:val="13"/>
          <w:color w:val="auto"/>
        </w:rPr>
        <w:t>as Vice President of U.S. Sales for HaiVision Systems Inc. Mr. Fletcher served as Vice President/General Manager and member of the Board of Directors for Automatic Systems, a manufacturer of access control products from 2006 to 2007. At Samsys Technology, a manufacturer of radio frequency identification products, Mr. Fletcher served as Vice President of Global Sales from 2005 to 2006. From 2003 to 2005 Mr. Fletcher served as President of Blue Water Communications, a provider and integrator of technologies for first responders. Mr. Fletcher has extensive experience developing strategic partnerships, leading direct and indirect sales teams, and opening new markets. He earned a Bachelor of Arts degree from the University of North Carolina in Chapel Hill, holds certifications in audio and networking technologies, and is a member of many industry organizations.</w:t>
      </w:r>
    </w:p>
    <w:p>
      <w:pPr>
        <w:spacing w:after="0" w:line="157" w:lineRule="exact"/>
        <w:rPr>
          <w:sz w:val="20"/>
          <w:szCs w:val="20"/>
          <w:color w:val="auto"/>
        </w:rPr>
      </w:pPr>
    </w:p>
    <w:p>
      <w:pPr>
        <w:jc w:val="both"/>
        <w:ind w:right="20" w:firstLine="467"/>
        <w:spacing w:after="0" w:line="259" w:lineRule="auto"/>
        <w:rPr>
          <w:sz w:val="20"/>
          <w:szCs w:val="20"/>
          <w:color w:val="auto"/>
        </w:rPr>
      </w:pPr>
      <w:r>
        <w:rPr>
          <w:rFonts w:ascii="Arial" w:cs="Arial" w:eastAsia="Arial" w:hAnsi="Arial"/>
          <w:sz w:val="13"/>
          <w:szCs w:val="13"/>
          <w:b w:val="1"/>
          <w:bCs w:val="1"/>
          <w:color w:val="auto"/>
        </w:rPr>
        <w:t xml:space="preserve">Marthes Solamuthu </w:t>
      </w:r>
      <w:r>
        <w:rPr>
          <w:rFonts w:ascii="Arial" w:cs="Arial" w:eastAsia="Arial" w:hAnsi="Arial"/>
          <w:sz w:val="13"/>
          <w:szCs w:val="13"/>
          <w:color w:val="auto"/>
        </w:rPr>
        <w:t>has served as our Vice-President of Operations since August 2006. From January 2001 to August 2006, Mr. Solamuthu served as Senior Operations Manager for Venture Corporation, one of</w:t>
      </w:r>
      <w:r>
        <w:rPr>
          <w:rFonts w:ascii="Arial" w:cs="Arial" w:eastAsia="Arial" w:hAnsi="Arial"/>
          <w:sz w:val="13"/>
          <w:szCs w:val="13"/>
          <w:b w:val="1"/>
          <w:bCs w:val="1"/>
          <w:color w:val="auto"/>
        </w:rPr>
        <w:t xml:space="preserve"> </w:t>
      </w:r>
      <w:r>
        <w:rPr>
          <w:rFonts w:ascii="Arial" w:cs="Arial" w:eastAsia="Arial" w:hAnsi="Arial"/>
          <w:sz w:val="13"/>
          <w:szCs w:val="13"/>
          <w:color w:val="auto"/>
        </w:rPr>
        <w:t>the world’s largest contract manufacturing companies, where he oversaw two manufacturing plants and had full responsibility for large-scale production, materials purchasing, planning, engineering, quality, program management and sales. He earlier held a variety of senior manufacturing positions with Ericsson Mobile, Motorola and Western Digital. He earned a bachelor’s degree in mechanical engineering from Technology University, in Malaysia.</w:t>
      </w: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55880</wp:posOffset>
            </wp:positionV>
            <wp:extent cx="7291070" cy="1905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91070" cy="19050"/>
                    </a:xfrm>
                    <a:prstGeom prst="rect">
                      <a:avLst/>
                    </a:prstGeom>
                    <a:noFill/>
                  </pic:spPr>
                </pic:pic>
              </a:graphicData>
            </a:graphic>
          </wp:anchor>
        </w:drawing>
      </w:r>
    </w:p>
    <w:p>
      <w:pPr>
        <w:sectPr>
          <w:pgSz w:w="11900" w:h="16838" w:orient="portrait"/>
          <w:cols w:equalWidth="0" w:num="1">
            <w:col w:w="11480"/>
          </w:cols>
          <w:pgMar w:left="220" w:top="409" w:right="199" w:bottom="1440" w:gutter="0" w:footer="0" w:header="0"/>
        </w:sectPr>
      </w:pPr>
    </w:p>
    <w:bookmarkStart w:id="8" w:name="page9"/>
    <w:bookmarkEnd w:id="8"/>
    <w:p>
      <w:pPr>
        <w:jc w:val="center"/>
        <w:spacing w:after="0"/>
        <w:rPr>
          <w:sz w:val="20"/>
          <w:szCs w:val="20"/>
          <w:color w:val="auto"/>
        </w:rPr>
      </w:pPr>
      <w:r>
        <w:rPr>
          <w:rFonts w:ascii="Arial" w:cs="Arial" w:eastAsia="Arial" w:hAnsi="Arial"/>
          <w:sz w:val="13"/>
          <w:szCs w:val="13"/>
          <w:b w:val="1"/>
          <w:bCs w:val="1"/>
          <w:color w:val="auto"/>
        </w:rPr>
        <w:t>COMPENSATION DISCUSSION AND ANALYSIS</w:t>
      </w:r>
    </w:p>
    <w:p>
      <w:pPr>
        <w:spacing w:after="0" w:line="186" w:lineRule="exact"/>
        <w:rPr>
          <w:sz w:val="20"/>
          <w:szCs w:val="20"/>
          <w:color w:val="auto"/>
        </w:rPr>
      </w:pPr>
    </w:p>
    <w:p>
      <w:pPr>
        <w:ind w:firstLine="467"/>
        <w:spacing w:after="0" w:line="272" w:lineRule="auto"/>
        <w:rPr>
          <w:sz w:val="20"/>
          <w:szCs w:val="20"/>
          <w:color w:val="auto"/>
        </w:rPr>
      </w:pPr>
      <w:r>
        <w:rPr>
          <w:rFonts w:ascii="Arial" w:cs="Arial" w:eastAsia="Arial" w:hAnsi="Arial"/>
          <w:sz w:val="13"/>
          <w:szCs w:val="13"/>
          <w:color w:val="auto"/>
        </w:rPr>
        <w:t>The following discussion and analysis provides information regarding our executive compensation objectives and principles, procedures, practices and decisions, and is provided to help give perspective to the numbers and narratives that follow in the tables in this section.</w:t>
      </w:r>
    </w:p>
    <w:p>
      <w:pPr>
        <w:spacing w:after="0" w:line="148" w:lineRule="exact"/>
        <w:rPr>
          <w:sz w:val="20"/>
          <w:szCs w:val="20"/>
          <w:color w:val="auto"/>
        </w:rPr>
      </w:pPr>
    </w:p>
    <w:p>
      <w:pPr>
        <w:ind w:left="460"/>
        <w:spacing w:after="0"/>
        <w:rPr>
          <w:sz w:val="20"/>
          <w:szCs w:val="20"/>
          <w:color w:val="auto"/>
        </w:rPr>
      </w:pPr>
      <w:r>
        <w:rPr>
          <w:rFonts w:ascii="Arial" w:cs="Arial" w:eastAsia="Arial" w:hAnsi="Arial"/>
          <w:sz w:val="13"/>
          <w:szCs w:val="13"/>
          <w:color w:val="auto"/>
        </w:rPr>
        <w:t>Our compensation objectives for executive officers are as follows:</w:t>
      </w:r>
    </w:p>
    <w:p>
      <w:pPr>
        <w:spacing w:after="0" w:line="182" w:lineRule="exact"/>
        <w:rPr>
          <w:sz w:val="20"/>
          <w:szCs w:val="20"/>
          <w:color w:val="auto"/>
        </w:rPr>
      </w:pPr>
    </w:p>
    <w:p>
      <w:pPr>
        <w:ind w:left="700" w:hanging="98"/>
        <w:spacing w:after="0"/>
        <w:tabs>
          <w:tab w:leader="none" w:pos="700" w:val="left"/>
        </w:tabs>
        <w:numPr>
          <w:ilvl w:val="0"/>
          <w:numId w:val="6"/>
        </w:numPr>
        <w:rPr>
          <w:rFonts w:ascii="Arial" w:cs="Arial" w:eastAsia="Arial" w:hAnsi="Arial"/>
          <w:sz w:val="13"/>
          <w:szCs w:val="13"/>
          <w:color w:val="auto"/>
        </w:rPr>
      </w:pPr>
      <w:r>
        <w:rPr>
          <w:rFonts w:ascii="Arial" w:cs="Arial" w:eastAsia="Arial" w:hAnsi="Arial"/>
          <w:sz w:val="13"/>
          <w:szCs w:val="13"/>
          <w:color w:val="auto"/>
        </w:rPr>
        <w:t>to attract and retain highly qualified individuals capable of making significant contributions to the long-term success of our company;</w:t>
      </w:r>
    </w:p>
    <w:p>
      <w:pPr>
        <w:spacing w:after="0" w:line="181" w:lineRule="exact"/>
        <w:rPr>
          <w:rFonts w:ascii="Arial" w:cs="Arial" w:eastAsia="Arial" w:hAnsi="Arial"/>
          <w:sz w:val="13"/>
          <w:szCs w:val="13"/>
          <w:color w:val="auto"/>
        </w:rPr>
      </w:pPr>
    </w:p>
    <w:p>
      <w:pPr>
        <w:ind w:left="700" w:hanging="98"/>
        <w:spacing w:after="0"/>
        <w:tabs>
          <w:tab w:leader="none" w:pos="700" w:val="left"/>
        </w:tabs>
        <w:numPr>
          <w:ilvl w:val="0"/>
          <w:numId w:val="6"/>
        </w:numPr>
        <w:rPr>
          <w:rFonts w:ascii="Arial" w:cs="Arial" w:eastAsia="Arial" w:hAnsi="Arial"/>
          <w:sz w:val="13"/>
          <w:szCs w:val="13"/>
          <w:color w:val="auto"/>
        </w:rPr>
      </w:pPr>
      <w:r>
        <w:rPr>
          <w:rFonts w:ascii="Arial" w:cs="Arial" w:eastAsia="Arial" w:hAnsi="Arial"/>
          <w:sz w:val="13"/>
          <w:szCs w:val="13"/>
          <w:color w:val="auto"/>
        </w:rPr>
        <w:t>to use incentive compensation to reinforce strategic performance objectives;</w:t>
      </w:r>
    </w:p>
    <w:p>
      <w:pPr>
        <w:spacing w:after="0" w:line="181" w:lineRule="exact"/>
        <w:rPr>
          <w:rFonts w:ascii="Arial" w:cs="Arial" w:eastAsia="Arial" w:hAnsi="Arial"/>
          <w:sz w:val="13"/>
          <w:szCs w:val="13"/>
          <w:color w:val="auto"/>
        </w:rPr>
      </w:pPr>
    </w:p>
    <w:p>
      <w:pPr>
        <w:ind w:left="700" w:hanging="98"/>
        <w:spacing w:after="0"/>
        <w:tabs>
          <w:tab w:leader="none" w:pos="700" w:val="left"/>
        </w:tabs>
        <w:numPr>
          <w:ilvl w:val="0"/>
          <w:numId w:val="6"/>
        </w:numPr>
        <w:rPr>
          <w:rFonts w:ascii="Arial" w:cs="Arial" w:eastAsia="Arial" w:hAnsi="Arial"/>
          <w:sz w:val="13"/>
          <w:szCs w:val="13"/>
          <w:color w:val="auto"/>
        </w:rPr>
      </w:pPr>
      <w:r>
        <w:rPr>
          <w:rFonts w:ascii="Arial" w:cs="Arial" w:eastAsia="Arial" w:hAnsi="Arial"/>
          <w:sz w:val="13"/>
          <w:szCs w:val="13"/>
          <w:color w:val="auto"/>
        </w:rPr>
        <w:t>to align the interest of our executives with the interests of our shareholders such that risks and rewards of strategic decisions are shared; and</w:t>
      </w:r>
    </w:p>
    <w:p>
      <w:pPr>
        <w:spacing w:after="0" w:line="181" w:lineRule="exact"/>
        <w:rPr>
          <w:rFonts w:ascii="Arial" w:cs="Arial" w:eastAsia="Arial" w:hAnsi="Arial"/>
          <w:sz w:val="13"/>
          <w:szCs w:val="13"/>
          <w:color w:val="auto"/>
        </w:rPr>
      </w:pPr>
    </w:p>
    <w:p>
      <w:pPr>
        <w:ind w:left="700" w:hanging="98"/>
        <w:spacing w:after="0"/>
        <w:tabs>
          <w:tab w:leader="none" w:pos="700" w:val="left"/>
        </w:tabs>
        <w:numPr>
          <w:ilvl w:val="0"/>
          <w:numId w:val="6"/>
        </w:numPr>
        <w:rPr>
          <w:rFonts w:ascii="Arial" w:cs="Arial" w:eastAsia="Arial" w:hAnsi="Arial"/>
          <w:sz w:val="13"/>
          <w:szCs w:val="13"/>
          <w:color w:val="auto"/>
        </w:rPr>
      </w:pPr>
      <w:r>
        <w:rPr>
          <w:rFonts w:ascii="Arial" w:cs="Arial" w:eastAsia="Arial" w:hAnsi="Arial"/>
          <w:sz w:val="13"/>
          <w:szCs w:val="13"/>
          <w:color w:val="auto"/>
        </w:rPr>
        <w:t>to reflect the value of each officer’s position in the marketplace and within our company.</w:t>
      </w:r>
    </w:p>
    <w:p>
      <w:pPr>
        <w:spacing w:after="0" w:line="178" w:lineRule="exact"/>
        <w:rPr>
          <w:sz w:val="20"/>
          <w:szCs w:val="20"/>
          <w:color w:val="auto"/>
        </w:rPr>
      </w:pPr>
    </w:p>
    <w:p>
      <w:pPr>
        <w:jc w:val="both"/>
        <w:ind w:firstLine="467"/>
        <w:spacing w:after="0" w:line="254" w:lineRule="auto"/>
        <w:rPr>
          <w:sz w:val="20"/>
          <w:szCs w:val="20"/>
          <w:color w:val="auto"/>
        </w:rPr>
      </w:pPr>
      <w:r>
        <w:rPr>
          <w:rFonts w:ascii="Arial" w:cs="Arial" w:eastAsia="Arial" w:hAnsi="Arial"/>
          <w:sz w:val="13"/>
          <w:szCs w:val="13"/>
          <w:b w:val="1"/>
          <w:bCs w:val="1"/>
          <w:color w:val="auto"/>
        </w:rPr>
        <w:t xml:space="preserve">Policies and Practices Related to ClearOne’s Compensation Program. </w:t>
      </w:r>
      <w:r>
        <w:rPr>
          <w:rFonts w:ascii="Arial" w:cs="Arial" w:eastAsia="Arial" w:hAnsi="Arial"/>
          <w:sz w:val="13"/>
          <w:szCs w:val="13"/>
          <w:color w:val="auto"/>
        </w:rPr>
        <w:t>ClearOne strives to create an overall compensation package for each executive officer that satisfies the aforementioned objectives,</w:t>
      </w:r>
      <w:r>
        <w:rPr>
          <w:rFonts w:ascii="Arial" w:cs="Arial" w:eastAsia="Arial" w:hAnsi="Arial"/>
          <w:sz w:val="13"/>
          <w:szCs w:val="13"/>
          <w:b w:val="1"/>
          <w:bCs w:val="1"/>
          <w:color w:val="auto"/>
        </w:rPr>
        <w:t xml:space="preserve"> </w:t>
      </w:r>
      <w:r>
        <w:rPr>
          <w:rFonts w:ascii="Arial" w:cs="Arial" w:eastAsia="Arial" w:hAnsi="Arial"/>
          <w:sz w:val="13"/>
          <w:szCs w:val="13"/>
          <w:color w:val="auto"/>
        </w:rPr>
        <w:t>recognizing that certain elements of compensation are better suited to reflect different compensation objectives. For example, as base salaries are the only element of compensation that are fixed in amount in advance of the year in which the compensation will be earned, the Compensation Committee believes that it is most appropriate to determine base salaries with a focus on the market practices for similarly situated officers at comparable companies as adjusted to reflect the individual officer’s performance during the preceding year. In contrast, cash bonuses and long-term incentives are better able to reflect ClearOne’s performance as measured by financial metrics and are well-suited to motivate officers to achieve specific performance goals that the Compensation Committee has determined are in the best interest of the company. Equity grants are also well-suited to drive long-term performance and align management’s interests with those of shareholders. The Compensation Committee believes that as an officer’s responsibility increases, so does his or her ability to influence the performance of the company and accordingly, the proportion of his or her compensation that consists of his or her salary and cash bonus should decrease while the proportion of equity incentives to total compensation should increase.</w:t>
      </w:r>
    </w:p>
    <w:p>
      <w:pPr>
        <w:spacing w:after="0" w:line="156" w:lineRule="exact"/>
        <w:rPr>
          <w:sz w:val="20"/>
          <w:szCs w:val="20"/>
          <w:color w:val="auto"/>
        </w:rPr>
      </w:pPr>
    </w:p>
    <w:p>
      <w:pPr>
        <w:jc w:val="both"/>
        <w:ind w:firstLine="467"/>
        <w:spacing w:after="0" w:line="264" w:lineRule="auto"/>
        <w:rPr>
          <w:sz w:val="20"/>
          <w:szCs w:val="20"/>
          <w:color w:val="auto"/>
        </w:rPr>
      </w:pPr>
      <w:r>
        <w:rPr>
          <w:rFonts w:ascii="Arial" w:cs="Arial" w:eastAsia="Arial" w:hAnsi="Arial"/>
          <w:sz w:val="13"/>
          <w:szCs w:val="13"/>
          <w:b w:val="1"/>
          <w:bCs w:val="1"/>
          <w:color w:val="auto"/>
        </w:rPr>
        <w:t xml:space="preserve">Comparable Companies. </w:t>
      </w:r>
      <w:r>
        <w:rPr>
          <w:rFonts w:ascii="Arial" w:cs="Arial" w:eastAsia="Arial" w:hAnsi="Arial"/>
          <w:sz w:val="13"/>
          <w:szCs w:val="13"/>
          <w:color w:val="auto"/>
        </w:rPr>
        <w:t>In making compensation decisions, including assessing the competitiveness of the total compensation structure for each named executive officer, the Compensation Committee</w:t>
      </w:r>
      <w:r>
        <w:rPr>
          <w:rFonts w:ascii="Arial" w:cs="Arial" w:eastAsia="Arial" w:hAnsi="Arial"/>
          <w:sz w:val="13"/>
          <w:szCs w:val="13"/>
          <w:b w:val="1"/>
          <w:bCs w:val="1"/>
          <w:color w:val="auto"/>
        </w:rPr>
        <w:t xml:space="preserve"> </w:t>
      </w:r>
      <w:r>
        <w:rPr>
          <w:rFonts w:ascii="Arial" w:cs="Arial" w:eastAsia="Arial" w:hAnsi="Arial"/>
          <w:sz w:val="13"/>
          <w:szCs w:val="13"/>
          <w:color w:val="auto"/>
        </w:rPr>
        <w:t>considers compensation survey data from companies that the Compensation Committee has selected as comparable companies, namely comparable in terms of size and location. The Compensation Committee periodically reviews the companies that are included as comparable companies and makes revisions to the group as appropriate.</w:t>
      </w:r>
    </w:p>
    <w:p>
      <w:pPr>
        <w:spacing w:after="0" w:line="149" w:lineRule="exact"/>
        <w:rPr>
          <w:sz w:val="20"/>
          <w:szCs w:val="20"/>
          <w:color w:val="auto"/>
        </w:rPr>
      </w:pPr>
    </w:p>
    <w:p>
      <w:pPr>
        <w:jc w:val="both"/>
        <w:ind w:firstLine="467"/>
        <w:spacing w:after="0" w:line="264" w:lineRule="auto"/>
        <w:rPr>
          <w:sz w:val="20"/>
          <w:szCs w:val="20"/>
          <w:color w:val="auto"/>
        </w:rPr>
      </w:pPr>
      <w:r>
        <w:rPr>
          <w:rFonts w:ascii="Arial" w:cs="Arial" w:eastAsia="Arial" w:hAnsi="Arial"/>
          <w:sz w:val="13"/>
          <w:szCs w:val="13"/>
          <w:b w:val="1"/>
          <w:bCs w:val="1"/>
          <w:color w:val="auto"/>
        </w:rPr>
        <w:t xml:space="preserve">Equity Grant Practices. </w:t>
      </w:r>
      <w:r>
        <w:rPr>
          <w:rFonts w:ascii="Arial" w:cs="Arial" w:eastAsia="Arial" w:hAnsi="Arial"/>
          <w:sz w:val="13"/>
          <w:szCs w:val="13"/>
          <w:color w:val="auto"/>
        </w:rPr>
        <w:t>The Compensation Committee recognizes the importance of equity ownership in the alignment of shareholder and management interests. The exercise price of each stock option</w:t>
      </w:r>
      <w:r>
        <w:rPr>
          <w:rFonts w:ascii="Arial" w:cs="Arial" w:eastAsia="Arial" w:hAnsi="Arial"/>
          <w:sz w:val="13"/>
          <w:szCs w:val="13"/>
          <w:b w:val="1"/>
          <w:bCs w:val="1"/>
          <w:color w:val="auto"/>
        </w:rPr>
        <w:t xml:space="preserve"> </w:t>
      </w:r>
      <w:r>
        <w:rPr>
          <w:rFonts w:ascii="Arial" w:cs="Arial" w:eastAsia="Arial" w:hAnsi="Arial"/>
          <w:sz w:val="13"/>
          <w:szCs w:val="13"/>
          <w:color w:val="auto"/>
        </w:rPr>
        <w:t>awarded to our executive officers under our incentive compensation programs is equal to the closing price of our common stock on the date of grant, which is the date when the Compensation Committee acts to approve equity awards for senior executives. Performance-based equity awards are also granted to our named executive officers at this time.</w:t>
      </w:r>
    </w:p>
    <w:p>
      <w:pPr>
        <w:spacing w:after="0" w:line="149"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Elements of Executive Compensation</w:t>
      </w:r>
    </w:p>
    <w:p>
      <w:pPr>
        <w:spacing w:after="0" w:line="186" w:lineRule="exact"/>
        <w:rPr>
          <w:sz w:val="20"/>
          <w:szCs w:val="20"/>
          <w:color w:val="auto"/>
        </w:rPr>
      </w:pPr>
    </w:p>
    <w:p>
      <w:pPr>
        <w:ind w:left="460"/>
        <w:spacing w:after="0"/>
        <w:rPr>
          <w:sz w:val="20"/>
          <w:szCs w:val="20"/>
          <w:color w:val="auto"/>
        </w:rPr>
      </w:pPr>
      <w:r>
        <w:rPr>
          <w:rFonts w:ascii="Arial" w:cs="Arial" w:eastAsia="Arial" w:hAnsi="Arial"/>
          <w:sz w:val="13"/>
          <w:szCs w:val="13"/>
          <w:color w:val="auto"/>
        </w:rPr>
        <w:t>The following components of our executive compensation program and the policies that govern their implementation are as follows:</w:t>
      </w:r>
    </w:p>
    <w:p>
      <w:pPr>
        <w:spacing w:after="0" w:line="182" w:lineRule="exact"/>
        <w:rPr>
          <w:sz w:val="20"/>
          <w:szCs w:val="20"/>
          <w:color w:val="auto"/>
        </w:rPr>
      </w:pPr>
    </w:p>
    <w:p>
      <w:pPr>
        <w:ind w:left="700" w:hanging="98"/>
        <w:spacing w:after="0"/>
        <w:tabs>
          <w:tab w:leader="none" w:pos="700" w:val="left"/>
        </w:tabs>
        <w:numPr>
          <w:ilvl w:val="0"/>
          <w:numId w:val="7"/>
        </w:numPr>
        <w:rPr>
          <w:rFonts w:ascii="Arial" w:cs="Arial" w:eastAsia="Arial" w:hAnsi="Arial"/>
          <w:sz w:val="13"/>
          <w:szCs w:val="13"/>
          <w:color w:val="auto"/>
        </w:rPr>
      </w:pPr>
      <w:r>
        <w:rPr>
          <w:rFonts w:ascii="Arial" w:cs="Arial" w:eastAsia="Arial" w:hAnsi="Arial"/>
          <w:sz w:val="13"/>
          <w:szCs w:val="13"/>
          <w:color w:val="auto"/>
        </w:rPr>
        <w:t>Base Compensation</w:t>
      </w:r>
    </w:p>
    <w:p>
      <w:pPr>
        <w:spacing w:after="0" w:line="14" w:lineRule="exact"/>
        <w:rPr>
          <w:rFonts w:ascii="Arial" w:cs="Arial" w:eastAsia="Arial" w:hAnsi="Arial"/>
          <w:sz w:val="13"/>
          <w:szCs w:val="13"/>
          <w:color w:val="auto"/>
        </w:rPr>
      </w:pPr>
    </w:p>
    <w:p>
      <w:pPr>
        <w:ind w:left="700" w:hanging="98"/>
        <w:spacing w:after="0"/>
        <w:tabs>
          <w:tab w:leader="none" w:pos="700" w:val="left"/>
        </w:tabs>
        <w:numPr>
          <w:ilvl w:val="0"/>
          <w:numId w:val="7"/>
        </w:numPr>
        <w:rPr>
          <w:rFonts w:ascii="Arial" w:cs="Arial" w:eastAsia="Arial" w:hAnsi="Arial"/>
          <w:sz w:val="13"/>
          <w:szCs w:val="13"/>
          <w:color w:val="auto"/>
        </w:rPr>
      </w:pPr>
      <w:r>
        <w:rPr>
          <w:rFonts w:ascii="Arial" w:cs="Arial" w:eastAsia="Arial" w:hAnsi="Arial"/>
          <w:sz w:val="13"/>
          <w:szCs w:val="13"/>
          <w:color w:val="auto"/>
        </w:rPr>
        <w:t>Quarterly Bonus Plan</w:t>
      </w:r>
    </w:p>
    <w:p>
      <w:pPr>
        <w:spacing w:after="0" w:line="6" w:lineRule="exact"/>
        <w:rPr>
          <w:rFonts w:ascii="Arial" w:cs="Arial" w:eastAsia="Arial" w:hAnsi="Arial"/>
          <w:sz w:val="13"/>
          <w:szCs w:val="13"/>
          <w:color w:val="auto"/>
        </w:rPr>
      </w:pPr>
    </w:p>
    <w:p>
      <w:pPr>
        <w:ind w:left="700" w:hanging="98"/>
        <w:spacing w:after="0"/>
        <w:tabs>
          <w:tab w:leader="none" w:pos="700" w:val="left"/>
        </w:tabs>
        <w:numPr>
          <w:ilvl w:val="0"/>
          <w:numId w:val="7"/>
        </w:numPr>
        <w:rPr>
          <w:rFonts w:ascii="Arial" w:cs="Arial" w:eastAsia="Arial" w:hAnsi="Arial"/>
          <w:sz w:val="13"/>
          <w:szCs w:val="13"/>
          <w:color w:val="auto"/>
        </w:rPr>
      </w:pPr>
      <w:r>
        <w:rPr>
          <w:rFonts w:ascii="Arial" w:cs="Arial" w:eastAsia="Arial" w:hAnsi="Arial"/>
          <w:sz w:val="13"/>
          <w:szCs w:val="13"/>
          <w:color w:val="auto"/>
        </w:rPr>
        <w:t>Long-Term Incentive Compensation/Equity Awards</w:t>
      </w:r>
    </w:p>
    <w:p>
      <w:pPr>
        <w:spacing w:after="0" w:line="6" w:lineRule="exact"/>
        <w:rPr>
          <w:rFonts w:ascii="Arial" w:cs="Arial" w:eastAsia="Arial" w:hAnsi="Arial"/>
          <w:sz w:val="13"/>
          <w:szCs w:val="13"/>
          <w:color w:val="auto"/>
        </w:rPr>
      </w:pPr>
    </w:p>
    <w:p>
      <w:pPr>
        <w:ind w:left="700" w:hanging="98"/>
        <w:spacing w:after="0"/>
        <w:tabs>
          <w:tab w:leader="none" w:pos="700" w:val="left"/>
        </w:tabs>
        <w:numPr>
          <w:ilvl w:val="0"/>
          <w:numId w:val="7"/>
        </w:numPr>
        <w:rPr>
          <w:rFonts w:ascii="Arial" w:cs="Arial" w:eastAsia="Arial" w:hAnsi="Arial"/>
          <w:sz w:val="13"/>
          <w:szCs w:val="13"/>
          <w:color w:val="auto"/>
        </w:rPr>
      </w:pPr>
      <w:r>
        <w:rPr>
          <w:rFonts w:ascii="Arial" w:cs="Arial" w:eastAsia="Arial" w:hAnsi="Arial"/>
          <w:sz w:val="13"/>
          <w:szCs w:val="13"/>
          <w:color w:val="auto"/>
        </w:rPr>
        <w:t>Retirement Benefits</w:t>
      </w:r>
    </w:p>
    <w:p>
      <w:pPr>
        <w:spacing w:after="0" w:line="6" w:lineRule="exact"/>
        <w:rPr>
          <w:rFonts w:ascii="Arial" w:cs="Arial" w:eastAsia="Arial" w:hAnsi="Arial"/>
          <w:sz w:val="13"/>
          <w:szCs w:val="13"/>
          <w:color w:val="auto"/>
        </w:rPr>
      </w:pPr>
    </w:p>
    <w:p>
      <w:pPr>
        <w:ind w:left="700" w:hanging="98"/>
        <w:spacing w:after="0"/>
        <w:tabs>
          <w:tab w:leader="none" w:pos="700" w:val="left"/>
        </w:tabs>
        <w:numPr>
          <w:ilvl w:val="0"/>
          <w:numId w:val="7"/>
        </w:numPr>
        <w:rPr>
          <w:rFonts w:ascii="Arial" w:cs="Arial" w:eastAsia="Arial" w:hAnsi="Arial"/>
          <w:sz w:val="13"/>
          <w:szCs w:val="13"/>
          <w:color w:val="auto"/>
        </w:rPr>
      </w:pPr>
      <w:r>
        <w:rPr>
          <w:rFonts w:ascii="Arial" w:cs="Arial" w:eastAsia="Arial" w:hAnsi="Arial"/>
          <w:sz w:val="13"/>
          <w:szCs w:val="13"/>
          <w:color w:val="auto"/>
        </w:rPr>
        <w:t>Employee Stock Purchase Plan</w:t>
      </w:r>
    </w:p>
    <w:p>
      <w:pPr>
        <w:spacing w:after="0" w:line="6" w:lineRule="exact"/>
        <w:rPr>
          <w:rFonts w:ascii="Arial" w:cs="Arial" w:eastAsia="Arial" w:hAnsi="Arial"/>
          <w:sz w:val="13"/>
          <w:szCs w:val="13"/>
          <w:color w:val="auto"/>
        </w:rPr>
      </w:pPr>
    </w:p>
    <w:p>
      <w:pPr>
        <w:ind w:left="700" w:hanging="98"/>
        <w:spacing w:after="0"/>
        <w:tabs>
          <w:tab w:leader="none" w:pos="700" w:val="left"/>
        </w:tabs>
        <w:numPr>
          <w:ilvl w:val="0"/>
          <w:numId w:val="7"/>
        </w:numPr>
        <w:rPr>
          <w:rFonts w:ascii="Arial" w:cs="Arial" w:eastAsia="Arial" w:hAnsi="Arial"/>
          <w:sz w:val="13"/>
          <w:szCs w:val="13"/>
          <w:color w:val="auto"/>
        </w:rPr>
      </w:pPr>
      <w:r>
        <w:rPr>
          <w:rFonts w:ascii="Arial" w:cs="Arial" w:eastAsia="Arial" w:hAnsi="Arial"/>
          <w:sz w:val="13"/>
          <w:szCs w:val="13"/>
          <w:color w:val="auto"/>
        </w:rPr>
        <w:t>Other Personal Benefits</w:t>
      </w:r>
    </w:p>
    <w:p>
      <w:pPr>
        <w:spacing w:after="0" w:line="174" w:lineRule="exact"/>
        <w:rPr>
          <w:sz w:val="20"/>
          <w:szCs w:val="20"/>
          <w:color w:val="auto"/>
        </w:rPr>
      </w:pPr>
    </w:p>
    <w:p>
      <w:pPr>
        <w:jc w:val="both"/>
        <w:ind w:firstLine="467"/>
        <w:spacing w:after="0" w:line="261" w:lineRule="auto"/>
        <w:rPr>
          <w:sz w:val="20"/>
          <w:szCs w:val="20"/>
          <w:color w:val="auto"/>
        </w:rPr>
      </w:pPr>
      <w:r>
        <w:rPr>
          <w:rFonts w:ascii="Arial" w:cs="Arial" w:eastAsia="Arial" w:hAnsi="Arial"/>
          <w:sz w:val="13"/>
          <w:szCs w:val="13"/>
          <w:i w:val="1"/>
          <w:iCs w:val="1"/>
          <w:color w:val="auto"/>
        </w:rPr>
        <w:t xml:space="preserve">Base Compensation. </w:t>
      </w:r>
      <w:r>
        <w:rPr>
          <w:rFonts w:ascii="Arial" w:cs="Arial" w:eastAsia="Arial" w:hAnsi="Arial"/>
          <w:sz w:val="13"/>
          <w:szCs w:val="13"/>
          <w:color w:val="auto"/>
        </w:rPr>
        <w:t>We provide executive officers with a level of base salary that recognizes appropriately each individual officer’s scope of responsibility, role in the organization, experience, and contributions</w:t>
      </w:r>
      <w:r>
        <w:rPr>
          <w:rFonts w:ascii="Arial" w:cs="Arial" w:eastAsia="Arial" w:hAnsi="Arial"/>
          <w:sz w:val="13"/>
          <w:szCs w:val="13"/>
          <w:i w:val="1"/>
          <w:iCs w:val="1"/>
          <w:color w:val="auto"/>
        </w:rPr>
        <w:t xml:space="preserve"> </w:t>
      </w:r>
      <w:r>
        <w:rPr>
          <w:rFonts w:ascii="Arial" w:cs="Arial" w:eastAsia="Arial" w:hAnsi="Arial"/>
          <w:sz w:val="13"/>
          <w:szCs w:val="13"/>
          <w:color w:val="auto"/>
        </w:rPr>
        <w:t>to the success of our company. The Compensation Committee believes that executive officer base compensation needs to be competitive with market rates and makes salary decisions in coordination with the Chief Executive Officer. Certain executive officers received salary increases for fiscal 2008 from fiscal 2007 base pay rates.</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55880</wp:posOffset>
            </wp:positionV>
            <wp:extent cx="7291070" cy="1905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91070" cy="19050"/>
                    </a:xfrm>
                    <a:prstGeom prst="rect">
                      <a:avLst/>
                    </a:prstGeom>
                    <a:noFill/>
                  </pic:spPr>
                </pic:pic>
              </a:graphicData>
            </a:graphic>
          </wp:anchor>
        </w:drawing>
      </w:r>
    </w:p>
    <w:p>
      <w:pPr>
        <w:sectPr>
          <w:pgSz w:w="11900" w:h="16838" w:orient="portrait"/>
          <w:cols w:equalWidth="0" w:num="1">
            <w:col w:w="11460"/>
          </w:cols>
          <w:pgMar w:left="220" w:top="409" w:right="219" w:bottom="1440" w:gutter="0" w:footer="0" w:header="0"/>
        </w:sectPr>
      </w:pPr>
    </w:p>
    <w:bookmarkStart w:id="9" w:name="page10"/>
    <w:bookmarkEnd w:id="9"/>
    <w:p>
      <w:pPr>
        <w:jc w:val="both"/>
        <w:ind w:right="20" w:firstLine="467"/>
        <w:spacing w:after="0" w:line="257" w:lineRule="auto"/>
        <w:rPr>
          <w:sz w:val="20"/>
          <w:szCs w:val="20"/>
          <w:color w:val="auto"/>
        </w:rPr>
      </w:pPr>
      <w:r>
        <w:rPr>
          <w:rFonts w:ascii="Arial" w:cs="Arial" w:eastAsia="Arial" w:hAnsi="Arial"/>
          <w:sz w:val="13"/>
          <w:szCs w:val="13"/>
          <w:i w:val="1"/>
          <w:iCs w:val="1"/>
          <w:color w:val="auto"/>
        </w:rPr>
        <w:t xml:space="preserve">Quarterly Bonus Plan. </w:t>
      </w:r>
      <w:r>
        <w:rPr>
          <w:rFonts w:ascii="Arial" w:cs="Arial" w:eastAsia="Arial" w:hAnsi="Arial"/>
          <w:sz w:val="13"/>
          <w:szCs w:val="13"/>
          <w:color w:val="auto"/>
        </w:rPr>
        <w:t>The fiscal year 2008 annual bonus plan was developed to reward executives based on meeting or exceeding certain internal financial objectives that were created by the Chief Executive</w:t>
      </w:r>
      <w:r>
        <w:rPr>
          <w:rFonts w:ascii="Arial" w:cs="Arial" w:eastAsia="Arial" w:hAnsi="Arial"/>
          <w:sz w:val="13"/>
          <w:szCs w:val="13"/>
          <w:i w:val="1"/>
          <w:iCs w:val="1"/>
          <w:color w:val="auto"/>
        </w:rPr>
        <w:t xml:space="preserve"> </w:t>
      </w:r>
      <w:r>
        <w:rPr>
          <w:rFonts w:ascii="Arial" w:cs="Arial" w:eastAsia="Arial" w:hAnsi="Arial"/>
          <w:sz w:val="13"/>
          <w:szCs w:val="13"/>
          <w:color w:val="auto"/>
        </w:rPr>
        <w:t>Officer and our Board of Directors. The financial objectives were established at the beginning of the fiscal year and were based on our revenue, gross margin, operating income, and a certain discretionary amount. Objectives were established for each fiscal quarter. If a quarterly objective was met, a bonus was paid for that quarter. If a quarterly objective was not met, then no related bonus was paid. Executives were not allowed to make up a missed quarterly bonus based on subsequent performance.</w:t>
      </w:r>
    </w:p>
    <w:p>
      <w:pPr>
        <w:spacing w:after="0" w:line="158" w:lineRule="exact"/>
        <w:rPr>
          <w:sz w:val="20"/>
          <w:szCs w:val="20"/>
          <w:color w:val="auto"/>
        </w:rPr>
      </w:pPr>
    </w:p>
    <w:p>
      <w:pPr>
        <w:jc w:val="both"/>
        <w:ind w:right="20" w:firstLine="467"/>
        <w:spacing w:after="0" w:line="257" w:lineRule="auto"/>
        <w:rPr>
          <w:sz w:val="20"/>
          <w:szCs w:val="20"/>
          <w:color w:val="auto"/>
        </w:rPr>
      </w:pPr>
      <w:r>
        <w:rPr>
          <w:rFonts w:ascii="Arial" w:cs="Arial" w:eastAsia="Arial" w:hAnsi="Arial"/>
          <w:sz w:val="13"/>
          <w:szCs w:val="13"/>
          <w:i w:val="1"/>
          <w:iCs w:val="1"/>
          <w:color w:val="auto"/>
        </w:rPr>
        <w:t xml:space="preserve">Long-Term Incentive Compensation. </w:t>
      </w:r>
      <w:r>
        <w:rPr>
          <w:rFonts w:ascii="Arial" w:cs="Arial" w:eastAsia="Arial" w:hAnsi="Arial"/>
          <w:sz w:val="13"/>
          <w:szCs w:val="13"/>
          <w:color w:val="auto"/>
        </w:rPr>
        <w:t>The Compensation Committee uses employee stock options for long-term executive compensation as a means of achieving the compensation goals previously described.</w:t>
      </w:r>
      <w:r>
        <w:rPr>
          <w:rFonts w:ascii="Arial" w:cs="Arial" w:eastAsia="Arial" w:hAnsi="Arial"/>
          <w:sz w:val="13"/>
          <w:szCs w:val="13"/>
          <w:i w:val="1"/>
          <w:iCs w:val="1"/>
          <w:color w:val="auto"/>
        </w:rPr>
        <w:t xml:space="preserve"> </w:t>
      </w:r>
      <w:r>
        <w:rPr>
          <w:rFonts w:ascii="Arial" w:cs="Arial" w:eastAsia="Arial" w:hAnsi="Arial"/>
          <w:sz w:val="13"/>
          <w:szCs w:val="13"/>
          <w:color w:val="auto"/>
        </w:rPr>
        <w:t>Options are granted under our 2007 Equity Incentive Plan. The Compensation Committee, in consultation with the Chief Executive Officer, determines the number of options granted to each executive with the exception of options granted to the Chief Executive Officer which are determined solely by the Compensation Committee. Factors bearing on the number of options granted to an executive include his or her position, individual performance, and contribution to our overall performance.</w:t>
      </w:r>
    </w:p>
    <w:p>
      <w:pPr>
        <w:spacing w:after="0" w:line="158" w:lineRule="exact"/>
        <w:rPr>
          <w:sz w:val="20"/>
          <w:szCs w:val="20"/>
          <w:color w:val="auto"/>
        </w:rPr>
      </w:pPr>
    </w:p>
    <w:p>
      <w:pPr>
        <w:jc w:val="both"/>
        <w:ind w:right="20" w:firstLine="467"/>
        <w:spacing w:after="0" w:line="261" w:lineRule="auto"/>
        <w:rPr>
          <w:sz w:val="20"/>
          <w:szCs w:val="20"/>
          <w:color w:val="auto"/>
        </w:rPr>
      </w:pPr>
      <w:r>
        <w:rPr>
          <w:rFonts w:ascii="Arial" w:cs="Arial" w:eastAsia="Arial" w:hAnsi="Arial"/>
          <w:sz w:val="13"/>
          <w:szCs w:val="13"/>
          <w:color w:val="auto"/>
        </w:rPr>
        <w:t>Option grants under the 2007 Plan permit a recipient to purchase shares of our common stock at a fixed price (the closing price on the date the option is granted). Options granted to executive officers typically are based on three-year vesting schedules, with one-third vesting on the first anniversary and the remaining options vesting ratably over the remainder of the vesting term. Vested options may be exercised for 90 days following termination of the option holder’s employment with our company.</w:t>
      </w:r>
    </w:p>
    <w:p>
      <w:pPr>
        <w:spacing w:after="0" w:line="155" w:lineRule="exact"/>
        <w:rPr>
          <w:sz w:val="20"/>
          <w:szCs w:val="20"/>
          <w:color w:val="auto"/>
        </w:rPr>
      </w:pPr>
    </w:p>
    <w:p>
      <w:pPr>
        <w:jc w:val="both"/>
        <w:ind w:right="20" w:firstLine="467"/>
        <w:spacing w:after="0" w:line="272" w:lineRule="auto"/>
        <w:rPr>
          <w:sz w:val="20"/>
          <w:szCs w:val="20"/>
          <w:color w:val="auto"/>
        </w:rPr>
      </w:pPr>
      <w:r>
        <w:rPr>
          <w:rFonts w:ascii="Arial" w:cs="Arial" w:eastAsia="Arial" w:hAnsi="Arial"/>
          <w:sz w:val="13"/>
          <w:szCs w:val="13"/>
          <w:i w:val="1"/>
          <w:iCs w:val="1"/>
          <w:color w:val="auto"/>
        </w:rPr>
        <w:t xml:space="preserve">Retirement Benefits. </w:t>
      </w:r>
      <w:r>
        <w:rPr>
          <w:rFonts w:ascii="Arial" w:cs="Arial" w:eastAsia="Arial" w:hAnsi="Arial"/>
          <w:sz w:val="13"/>
          <w:szCs w:val="13"/>
          <w:color w:val="auto"/>
        </w:rPr>
        <w:t>Our policy is to provide an attractive benefit package to all employees. Named executive officers of our company are generally eligible to participate, on the terms and conditions applicable</w:t>
      </w:r>
      <w:r>
        <w:rPr>
          <w:rFonts w:ascii="Arial" w:cs="Arial" w:eastAsia="Arial" w:hAnsi="Arial"/>
          <w:sz w:val="13"/>
          <w:szCs w:val="13"/>
          <w:i w:val="1"/>
          <w:iCs w:val="1"/>
          <w:color w:val="auto"/>
        </w:rPr>
        <w:t xml:space="preserve"> </w:t>
      </w:r>
      <w:r>
        <w:rPr>
          <w:rFonts w:ascii="Arial" w:cs="Arial" w:eastAsia="Arial" w:hAnsi="Arial"/>
          <w:sz w:val="13"/>
          <w:szCs w:val="13"/>
          <w:color w:val="auto"/>
        </w:rPr>
        <w:t>to all of our eligible employees, in the ClearOne Communications, Inc. 401(k) Profit Sharing Plan, a broad-based, tax-qualified contributory savings and profit sharing plan.</w:t>
      </w:r>
    </w:p>
    <w:p>
      <w:pPr>
        <w:spacing w:after="0" w:line="148" w:lineRule="exact"/>
        <w:rPr>
          <w:sz w:val="20"/>
          <w:szCs w:val="20"/>
          <w:color w:val="auto"/>
        </w:rPr>
      </w:pPr>
    </w:p>
    <w:p>
      <w:pPr>
        <w:jc w:val="both"/>
        <w:ind w:right="20" w:firstLine="467"/>
        <w:spacing w:after="0" w:line="272" w:lineRule="auto"/>
        <w:rPr>
          <w:sz w:val="20"/>
          <w:szCs w:val="20"/>
          <w:color w:val="auto"/>
        </w:rPr>
      </w:pPr>
      <w:r>
        <w:rPr>
          <w:rFonts w:ascii="Arial" w:cs="Arial" w:eastAsia="Arial" w:hAnsi="Arial"/>
          <w:sz w:val="13"/>
          <w:szCs w:val="13"/>
          <w:i w:val="1"/>
          <w:iCs w:val="1"/>
          <w:color w:val="auto"/>
        </w:rPr>
        <w:t xml:space="preserve">Employee Stock Purchase Plan. </w:t>
      </w:r>
      <w:r>
        <w:rPr>
          <w:rFonts w:ascii="Arial" w:cs="Arial" w:eastAsia="Arial" w:hAnsi="Arial"/>
          <w:sz w:val="13"/>
          <w:szCs w:val="13"/>
          <w:color w:val="auto"/>
        </w:rPr>
        <w:t>Our 1997 Employee Stock Purchase Plan encourages employee ownership in our company and provides all employees, including named executive officers, an opportunity to</w:t>
      </w:r>
      <w:r>
        <w:rPr>
          <w:rFonts w:ascii="Arial" w:cs="Arial" w:eastAsia="Arial" w:hAnsi="Arial"/>
          <w:sz w:val="13"/>
          <w:szCs w:val="13"/>
          <w:i w:val="1"/>
          <w:iCs w:val="1"/>
          <w:color w:val="auto"/>
        </w:rPr>
        <w:t xml:space="preserve"> </w:t>
      </w:r>
      <w:r>
        <w:rPr>
          <w:rFonts w:ascii="Arial" w:cs="Arial" w:eastAsia="Arial" w:hAnsi="Arial"/>
          <w:sz w:val="13"/>
          <w:szCs w:val="13"/>
          <w:color w:val="auto"/>
        </w:rPr>
        <w:t>purchase common stock through payroll deductions. Plan participants are able to purchase ten shares of our common stock for the price of nine shares.</w:t>
      </w:r>
    </w:p>
    <w:p>
      <w:pPr>
        <w:spacing w:after="0" w:line="148" w:lineRule="exact"/>
        <w:rPr>
          <w:sz w:val="20"/>
          <w:szCs w:val="20"/>
          <w:color w:val="auto"/>
        </w:rPr>
      </w:pPr>
    </w:p>
    <w:p>
      <w:pPr>
        <w:jc w:val="both"/>
        <w:ind w:right="20" w:firstLine="467"/>
        <w:spacing w:after="0" w:line="261" w:lineRule="auto"/>
        <w:rPr>
          <w:sz w:val="20"/>
          <w:szCs w:val="20"/>
          <w:color w:val="auto"/>
        </w:rPr>
      </w:pPr>
      <w:r>
        <w:rPr>
          <w:rFonts w:ascii="Arial" w:cs="Arial" w:eastAsia="Arial" w:hAnsi="Arial"/>
          <w:sz w:val="13"/>
          <w:szCs w:val="13"/>
          <w:i w:val="1"/>
          <w:iCs w:val="1"/>
          <w:color w:val="auto"/>
        </w:rPr>
        <w:t xml:space="preserve">Other Personal Benefits. </w:t>
      </w:r>
      <w:r>
        <w:rPr>
          <w:rFonts w:ascii="Arial" w:cs="Arial" w:eastAsia="Arial" w:hAnsi="Arial"/>
          <w:sz w:val="13"/>
          <w:szCs w:val="13"/>
          <w:color w:val="auto"/>
        </w:rPr>
        <w:t>We also provide other traditional welfare benefits and limited perquisites to the named executive officers in order to achieve a competitive pay package as detailed in the Summary</w:t>
      </w:r>
      <w:r>
        <w:rPr>
          <w:rFonts w:ascii="Arial" w:cs="Arial" w:eastAsia="Arial" w:hAnsi="Arial"/>
          <w:sz w:val="13"/>
          <w:szCs w:val="13"/>
          <w:i w:val="1"/>
          <w:iCs w:val="1"/>
          <w:color w:val="auto"/>
        </w:rPr>
        <w:t xml:space="preserve"> </w:t>
      </w:r>
      <w:r>
        <w:rPr>
          <w:rFonts w:ascii="Arial" w:cs="Arial" w:eastAsia="Arial" w:hAnsi="Arial"/>
          <w:sz w:val="13"/>
          <w:szCs w:val="13"/>
          <w:color w:val="auto"/>
        </w:rPr>
        <w:t>Compensation Table below. The Compensation Committee believes that those benefits are reasonable, competitive, and consistent with our overall executive compensation objectives. Those benefits consist primarily of company-paid premiums for health, life, and disability insurance.</w:t>
      </w:r>
    </w:p>
    <w:p>
      <w:pPr>
        <w:spacing w:after="0" w:line="155" w:lineRule="exact"/>
        <w:rPr>
          <w:sz w:val="20"/>
          <w:szCs w:val="20"/>
          <w:color w:val="auto"/>
        </w:rPr>
      </w:pPr>
    </w:p>
    <w:p>
      <w:pPr>
        <w:jc w:val="both"/>
        <w:ind w:firstLine="467"/>
        <w:spacing w:after="0" w:line="272" w:lineRule="auto"/>
        <w:rPr>
          <w:sz w:val="20"/>
          <w:szCs w:val="20"/>
          <w:color w:val="auto"/>
        </w:rPr>
      </w:pPr>
      <w:r>
        <w:rPr>
          <w:rFonts w:ascii="Arial" w:cs="Arial" w:eastAsia="Arial" w:hAnsi="Arial"/>
          <w:sz w:val="13"/>
          <w:szCs w:val="13"/>
          <w:color w:val="auto"/>
        </w:rPr>
        <w:t>We have not entered into employment agreements with any of our named executive officers. All officers of our company are employed at will and can be terminated without cause. All employees of our company have signed confidentiality agreements to keep certain information confidential.</w:t>
      </w: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55880</wp:posOffset>
            </wp:positionV>
            <wp:extent cx="7291070" cy="1905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91070" cy="19050"/>
                    </a:xfrm>
                    <a:prstGeom prst="rect">
                      <a:avLst/>
                    </a:prstGeom>
                    <a:noFill/>
                  </pic:spPr>
                </pic:pic>
              </a:graphicData>
            </a:graphic>
          </wp:anchor>
        </w:drawing>
      </w:r>
    </w:p>
    <w:p>
      <w:pPr>
        <w:sectPr>
          <w:pgSz w:w="11900" w:h="16838" w:orient="portrait"/>
          <w:cols w:equalWidth="0" w:num="1">
            <w:col w:w="11480"/>
          </w:cols>
          <w:pgMar w:left="220" w:top="413" w:right="199" w:bottom="1440" w:gutter="0" w:footer="0" w:header="0"/>
        </w:sectPr>
      </w:pPr>
    </w:p>
    <w:bookmarkStart w:id="10" w:name="page11"/>
    <w:bookmarkEnd w:id="10"/>
    <w:p>
      <w:pPr>
        <w:jc w:val="center"/>
        <w:spacing w:after="0"/>
        <w:rPr>
          <w:sz w:val="20"/>
          <w:szCs w:val="20"/>
          <w:color w:val="auto"/>
        </w:rPr>
      </w:pPr>
      <w:r>
        <w:rPr>
          <w:rFonts w:ascii="Arial" w:cs="Arial" w:eastAsia="Arial" w:hAnsi="Arial"/>
          <w:sz w:val="13"/>
          <w:szCs w:val="13"/>
          <w:b w:val="1"/>
          <w:bCs w:val="1"/>
          <w:color w:val="auto"/>
        </w:rPr>
        <w:t>COMPENSATION COMMITTEE REPORT</w:t>
      </w:r>
    </w:p>
    <w:p>
      <w:pPr>
        <w:spacing w:after="0" w:line="186" w:lineRule="exact"/>
        <w:rPr>
          <w:sz w:val="20"/>
          <w:szCs w:val="20"/>
          <w:color w:val="auto"/>
        </w:rPr>
      </w:pPr>
    </w:p>
    <w:p>
      <w:pPr>
        <w:jc w:val="both"/>
        <w:ind w:firstLine="467"/>
        <w:spacing w:after="0" w:line="261" w:lineRule="auto"/>
        <w:rPr>
          <w:sz w:val="20"/>
          <w:szCs w:val="20"/>
          <w:color w:val="auto"/>
        </w:rPr>
      </w:pPr>
      <w:r>
        <w:rPr>
          <w:rFonts w:ascii="Arial" w:cs="Arial" w:eastAsia="Arial" w:hAnsi="Arial"/>
          <w:sz w:val="13"/>
          <w:szCs w:val="13"/>
          <w:color w:val="auto"/>
        </w:rPr>
        <w:t>The Compensation Committee has reviewed the foregoing Compensation Discussion and Analysis required by Item 402(b) of Regulation S-K and discussed the Compensation Discussion and Analysis with ClearOne management. Based on such review and discussions with management, the Compensation Committee recommended to our Board of Directors that the foregoing Compensation Discussion and Analysis be included in this proxy statement.</w:t>
      </w:r>
    </w:p>
    <w:p>
      <w:pPr>
        <w:spacing w:after="0" w:line="155" w:lineRule="exact"/>
        <w:rPr>
          <w:sz w:val="20"/>
          <w:szCs w:val="20"/>
          <w:color w:val="auto"/>
        </w:rPr>
      </w:pPr>
    </w:p>
    <w:p>
      <w:pPr>
        <w:spacing w:after="0"/>
        <w:rPr>
          <w:sz w:val="20"/>
          <w:szCs w:val="20"/>
          <w:color w:val="auto"/>
        </w:rPr>
      </w:pPr>
      <w:r>
        <w:rPr>
          <w:rFonts w:ascii="Arial" w:cs="Arial" w:eastAsia="Arial" w:hAnsi="Arial"/>
          <w:sz w:val="13"/>
          <w:szCs w:val="13"/>
          <w:color w:val="auto"/>
        </w:rPr>
        <w:t>Respectfully submitted by the members of the Compensation Committee.</w:t>
      </w:r>
    </w:p>
    <w:p>
      <w:pPr>
        <w:spacing w:after="0" w:line="182" w:lineRule="exact"/>
        <w:rPr>
          <w:sz w:val="20"/>
          <w:szCs w:val="20"/>
          <w:color w:val="auto"/>
        </w:rPr>
      </w:pPr>
    </w:p>
    <w:p>
      <w:pPr>
        <w:ind w:left="460"/>
        <w:spacing w:after="0"/>
        <w:rPr>
          <w:sz w:val="20"/>
          <w:szCs w:val="20"/>
          <w:color w:val="auto"/>
        </w:rPr>
      </w:pPr>
      <w:r>
        <w:rPr>
          <w:rFonts w:ascii="Arial" w:cs="Arial" w:eastAsia="Arial" w:hAnsi="Arial"/>
          <w:sz w:val="13"/>
          <w:szCs w:val="13"/>
          <w:color w:val="auto"/>
        </w:rPr>
        <w:t>Brad R. Baldwin (Chair)</w:t>
      </w:r>
    </w:p>
    <w:p>
      <w:pPr>
        <w:spacing w:after="0" w:line="14" w:lineRule="exact"/>
        <w:rPr>
          <w:sz w:val="20"/>
          <w:szCs w:val="20"/>
          <w:color w:val="auto"/>
        </w:rPr>
      </w:pPr>
    </w:p>
    <w:p>
      <w:pPr>
        <w:ind w:left="460"/>
        <w:spacing w:after="0"/>
        <w:rPr>
          <w:sz w:val="20"/>
          <w:szCs w:val="20"/>
          <w:color w:val="auto"/>
        </w:rPr>
      </w:pPr>
      <w:r>
        <w:rPr>
          <w:rFonts w:ascii="Arial" w:cs="Arial" w:eastAsia="Arial" w:hAnsi="Arial"/>
          <w:sz w:val="13"/>
          <w:szCs w:val="13"/>
          <w:color w:val="auto"/>
        </w:rPr>
        <w:t>Scott M. Huntsman</w:t>
      </w: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COMPENSATION COMMITTEE INTERLOCKS AND INSIDER PARTICIPATION</w:t>
      </w:r>
    </w:p>
    <w:p>
      <w:pPr>
        <w:spacing w:after="0" w:line="186" w:lineRule="exact"/>
        <w:rPr>
          <w:sz w:val="20"/>
          <w:szCs w:val="20"/>
          <w:color w:val="auto"/>
        </w:rPr>
      </w:pPr>
    </w:p>
    <w:p>
      <w:pPr>
        <w:jc w:val="both"/>
        <w:ind w:firstLine="467"/>
        <w:spacing w:after="0" w:line="272" w:lineRule="auto"/>
        <w:rPr>
          <w:sz w:val="20"/>
          <w:szCs w:val="20"/>
          <w:color w:val="auto"/>
        </w:rPr>
      </w:pPr>
      <w:r>
        <w:rPr>
          <w:rFonts w:ascii="Arial" w:cs="Arial" w:eastAsia="Arial" w:hAnsi="Arial"/>
          <w:sz w:val="13"/>
          <w:szCs w:val="13"/>
          <w:color w:val="auto"/>
        </w:rPr>
        <w:t>During the fiscal year ended June 30, 2008, our Compensation Committee consisted of Messrs. Baldwin and Huntsman, both non-employee directors (as defined in Rule 16b-3 under the Exchange Act). None of these committee members had any contractual or other relationships with our company during such fiscal year.</w:t>
      </w: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55880</wp:posOffset>
            </wp:positionV>
            <wp:extent cx="7291070" cy="1905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91070" cy="19050"/>
                    </a:xfrm>
                    <a:prstGeom prst="rect">
                      <a:avLst/>
                    </a:prstGeom>
                    <a:noFill/>
                  </pic:spPr>
                </pic:pic>
              </a:graphicData>
            </a:graphic>
          </wp:anchor>
        </w:drawing>
      </w:r>
    </w:p>
    <w:p>
      <w:pPr>
        <w:sectPr>
          <w:pgSz w:w="11900" w:h="16838" w:orient="portrait"/>
          <w:cols w:equalWidth="0" w:num="1">
            <w:col w:w="11460"/>
          </w:cols>
          <w:pgMar w:left="220" w:top="409" w:right="219" w:bottom="1440" w:gutter="0" w:footer="0" w:header="0"/>
        </w:sectPr>
      </w:pPr>
    </w:p>
    <w:bookmarkStart w:id="11" w:name="page12"/>
    <w:bookmarkEnd w:id="11"/>
    <w:p>
      <w:pPr>
        <w:jc w:val="center"/>
        <w:ind w:right="18"/>
        <w:spacing w:after="0"/>
        <w:rPr>
          <w:sz w:val="20"/>
          <w:szCs w:val="20"/>
          <w:color w:val="auto"/>
        </w:rPr>
      </w:pPr>
      <w:r>
        <w:rPr>
          <w:rFonts w:ascii="Arial" w:cs="Arial" w:eastAsia="Arial" w:hAnsi="Arial"/>
          <w:sz w:val="13"/>
          <w:szCs w:val="13"/>
          <w:b w:val="1"/>
          <w:bCs w:val="1"/>
          <w:color w:val="auto"/>
        </w:rPr>
        <w:t>EXECUTIVE COMPENSATION</w:t>
      </w:r>
    </w:p>
    <w:p>
      <w:pPr>
        <w:spacing w:after="0" w:line="357" w:lineRule="exact"/>
        <w:rPr>
          <w:sz w:val="20"/>
          <w:szCs w:val="20"/>
          <w:color w:val="auto"/>
        </w:rPr>
      </w:pPr>
    </w:p>
    <w:p>
      <w:pPr>
        <w:ind w:left="2"/>
        <w:spacing w:after="0"/>
        <w:rPr>
          <w:sz w:val="20"/>
          <w:szCs w:val="20"/>
          <w:color w:val="auto"/>
        </w:rPr>
      </w:pPr>
      <w:r>
        <w:rPr>
          <w:rFonts w:ascii="Arial" w:cs="Arial" w:eastAsia="Arial" w:hAnsi="Arial"/>
          <w:sz w:val="13"/>
          <w:szCs w:val="13"/>
          <w:b w:val="1"/>
          <w:bCs w:val="1"/>
          <w:color w:val="auto"/>
        </w:rPr>
        <w:t>Summary Compensation</w:t>
      </w:r>
    </w:p>
    <w:p>
      <w:pPr>
        <w:spacing w:after="0" w:line="186" w:lineRule="exact"/>
        <w:rPr>
          <w:sz w:val="20"/>
          <w:szCs w:val="20"/>
          <w:color w:val="auto"/>
        </w:rPr>
      </w:pPr>
    </w:p>
    <w:p>
      <w:pPr>
        <w:ind w:left="462"/>
        <w:spacing w:after="0"/>
        <w:rPr>
          <w:sz w:val="20"/>
          <w:szCs w:val="20"/>
          <w:color w:val="auto"/>
        </w:rPr>
      </w:pPr>
      <w:r>
        <w:rPr>
          <w:rFonts w:ascii="Arial" w:cs="Arial" w:eastAsia="Arial" w:hAnsi="Arial"/>
          <w:sz w:val="13"/>
          <w:szCs w:val="13"/>
          <w:color w:val="auto"/>
        </w:rPr>
        <w:t>The following tables set forth for the periods indicated the compensation paid or earned by each named executive officer for the fiscal years ending June 30, 2008 and 2007.</w:t>
      </w:r>
    </w:p>
    <w:p>
      <w:pPr>
        <w:spacing w:after="0" w:line="178" w:lineRule="exact"/>
        <w:rPr>
          <w:sz w:val="20"/>
          <w:szCs w:val="20"/>
          <w:color w:val="auto"/>
        </w:rPr>
      </w:pPr>
    </w:p>
    <w:tbl>
      <w:tblPr>
        <w:tblLayout w:type="fixed"/>
        <w:tblInd w:w="2" w:type="dxa"/>
        <w:tblCellMar>
          <w:top w:w="0" w:type="dxa"/>
          <w:left w:w="0" w:type="dxa"/>
          <w:bottom w:w="0" w:type="dxa"/>
          <w:right w:w="0" w:type="dxa"/>
        </w:tblCellMar>
      </w:tblPr>
      <w:tr>
        <w:trPr>
          <w:trHeight w:val="168"/>
        </w:trPr>
        <w:tc>
          <w:tcPr>
            <w:tcW w:w="30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2980" w:type="dxa"/>
            <w:vAlign w:val="bottom"/>
            <w:gridSpan w:val="3"/>
          </w:tcPr>
          <w:p>
            <w:pPr>
              <w:jc w:val="right"/>
              <w:ind w:right="275"/>
              <w:spacing w:after="0"/>
              <w:rPr>
                <w:sz w:val="20"/>
                <w:szCs w:val="20"/>
                <w:color w:val="auto"/>
              </w:rPr>
            </w:pPr>
            <w:r>
              <w:rPr>
                <w:rFonts w:ascii="Arial" w:cs="Arial" w:eastAsia="Arial" w:hAnsi="Arial"/>
                <w:sz w:val="13"/>
                <w:szCs w:val="13"/>
                <w:b w:val="1"/>
                <w:bCs w:val="1"/>
                <w:color w:val="auto"/>
              </w:rPr>
              <w:t>SUMMARY COMPENSATION TABLE</w:t>
            </w:r>
          </w:p>
        </w:tc>
        <w:tc>
          <w:tcPr>
            <w:tcW w:w="190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19"/>
        </w:trPr>
        <w:tc>
          <w:tcPr>
            <w:tcW w:w="30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40" w:type="dxa"/>
            <w:vAlign w:val="bottom"/>
          </w:tcPr>
          <w:p>
            <w:pPr>
              <w:jc w:val="right"/>
              <w:ind w:right="35"/>
              <w:spacing w:after="0"/>
              <w:rPr>
                <w:sz w:val="20"/>
                <w:szCs w:val="20"/>
                <w:color w:val="auto"/>
              </w:rPr>
            </w:pPr>
            <w:r>
              <w:rPr>
                <w:rFonts w:ascii="Arial" w:cs="Arial" w:eastAsia="Arial" w:hAnsi="Arial"/>
                <w:sz w:val="13"/>
                <w:szCs w:val="13"/>
                <w:b w:val="1"/>
                <w:bCs w:val="1"/>
                <w:color w:val="auto"/>
                <w:w w:val="99"/>
              </w:rPr>
              <w:t>Option Awards ($)</w:t>
            </w:r>
          </w:p>
        </w:tc>
        <w:tc>
          <w:tcPr>
            <w:tcW w:w="3300" w:type="dxa"/>
            <w:vAlign w:val="bottom"/>
            <w:gridSpan w:val="2"/>
          </w:tcPr>
          <w:p>
            <w:pPr>
              <w:jc w:val="right"/>
              <w:ind w:right="135"/>
              <w:spacing w:after="0"/>
              <w:rPr>
                <w:sz w:val="20"/>
                <w:szCs w:val="20"/>
                <w:color w:val="auto"/>
              </w:rPr>
            </w:pPr>
            <w:r>
              <w:rPr>
                <w:rFonts w:ascii="Arial" w:cs="Arial" w:eastAsia="Arial" w:hAnsi="Arial"/>
                <w:sz w:val="13"/>
                <w:szCs w:val="13"/>
                <w:b w:val="1"/>
                <w:bCs w:val="1"/>
                <w:color w:val="auto"/>
                <w:w w:val="92"/>
              </w:rPr>
              <w:t>Non-Equity Incentive Plan All Other Compensation ($)</w:t>
            </w: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8"/>
        </w:trPr>
        <w:tc>
          <w:tcPr>
            <w:tcW w:w="3060" w:type="dxa"/>
            <w:vAlign w:val="bottom"/>
            <w:tcBorders>
              <w:bottom w:val="single" w:sz="8" w:color="auto"/>
            </w:tcBorders>
          </w:tcPr>
          <w:p>
            <w:pPr>
              <w:ind w:left="860"/>
              <w:spacing w:after="0"/>
              <w:rPr>
                <w:sz w:val="20"/>
                <w:szCs w:val="20"/>
                <w:color w:val="auto"/>
              </w:rPr>
            </w:pPr>
            <w:r>
              <w:rPr>
                <w:rFonts w:ascii="Arial" w:cs="Arial" w:eastAsia="Arial" w:hAnsi="Arial"/>
                <w:sz w:val="13"/>
                <w:szCs w:val="13"/>
                <w:b w:val="1"/>
                <w:bCs w:val="1"/>
                <w:color w:val="auto"/>
              </w:rPr>
              <w:t>Name and Principal Position</w:t>
            </w:r>
          </w:p>
        </w:tc>
        <w:tc>
          <w:tcPr>
            <w:tcW w:w="1160" w:type="dxa"/>
            <w:vAlign w:val="bottom"/>
            <w:tcBorders>
              <w:bottom w:val="single" w:sz="8" w:color="auto"/>
            </w:tcBorders>
          </w:tcPr>
          <w:p>
            <w:pPr>
              <w:jc w:val="center"/>
              <w:ind w:left="115"/>
              <w:spacing w:after="0"/>
              <w:rPr>
                <w:sz w:val="20"/>
                <w:szCs w:val="20"/>
                <w:color w:val="auto"/>
              </w:rPr>
            </w:pPr>
            <w:r>
              <w:rPr>
                <w:rFonts w:ascii="Arial" w:cs="Arial" w:eastAsia="Arial" w:hAnsi="Arial"/>
                <w:sz w:val="13"/>
                <w:szCs w:val="13"/>
                <w:b w:val="1"/>
                <w:bCs w:val="1"/>
                <w:color w:val="auto"/>
                <w:w w:val="90"/>
              </w:rPr>
              <w:t>Fiscal Year</w:t>
            </w:r>
          </w:p>
        </w:tc>
        <w:tc>
          <w:tcPr>
            <w:tcW w:w="1020" w:type="dxa"/>
            <w:vAlign w:val="bottom"/>
            <w:tcBorders>
              <w:bottom w:val="single" w:sz="8" w:color="auto"/>
            </w:tcBorders>
          </w:tcPr>
          <w:p>
            <w:pPr>
              <w:jc w:val="right"/>
              <w:ind w:right="235"/>
              <w:spacing w:after="0"/>
              <w:rPr>
                <w:sz w:val="20"/>
                <w:szCs w:val="20"/>
                <w:color w:val="auto"/>
              </w:rPr>
            </w:pPr>
            <w:r>
              <w:rPr>
                <w:rFonts w:ascii="Arial" w:cs="Arial" w:eastAsia="Arial" w:hAnsi="Arial"/>
                <w:sz w:val="13"/>
                <w:szCs w:val="13"/>
                <w:b w:val="1"/>
                <w:bCs w:val="1"/>
                <w:color w:val="auto"/>
              </w:rPr>
              <w:t>Salary ($)</w:t>
            </w:r>
          </w:p>
        </w:tc>
        <w:tc>
          <w:tcPr>
            <w:tcW w:w="72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0"/>
              </w:rPr>
              <w:t>Bonus ($)</w:t>
            </w:r>
          </w:p>
        </w:tc>
        <w:tc>
          <w:tcPr>
            <w:tcW w:w="1240" w:type="dxa"/>
            <w:vAlign w:val="bottom"/>
            <w:tcBorders>
              <w:bottom w:val="single" w:sz="8" w:color="auto"/>
            </w:tcBorders>
          </w:tcPr>
          <w:p>
            <w:pPr>
              <w:jc w:val="right"/>
              <w:ind w:right="475"/>
              <w:spacing w:after="0"/>
              <w:rPr>
                <w:sz w:val="20"/>
                <w:szCs w:val="20"/>
                <w:color w:val="auto"/>
              </w:rPr>
            </w:pPr>
            <w:r>
              <w:rPr>
                <w:rFonts w:ascii="Arial" w:cs="Arial" w:eastAsia="Arial" w:hAnsi="Arial"/>
                <w:sz w:val="13"/>
                <w:szCs w:val="13"/>
                <w:b w:val="1"/>
                <w:bCs w:val="1"/>
                <w:color w:val="auto"/>
              </w:rPr>
              <w:t>(1)</w:t>
            </w:r>
          </w:p>
        </w:tc>
        <w:tc>
          <w:tcPr>
            <w:tcW w:w="1900" w:type="dxa"/>
            <w:vAlign w:val="bottom"/>
            <w:tcBorders>
              <w:bottom w:val="single" w:sz="8" w:color="auto"/>
            </w:tcBorders>
          </w:tcPr>
          <w:p>
            <w:pPr>
              <w:jc w:val="right"/>
              <w:ind w:right="515"/>
              <w:spacing w:after="0"/>
              <w:rPr>
                <w:sz w:val="20"/>
                <w:szCs w:val="20"/>
                <w:color w:val="auto"/>
              </w:rPr>
            </w:pPr>
            <w:r>
              <w:rPr>
                <w:rFonts w:ascii="Arial" w:cs="Arial" w:eastAsia="Arial" w:hAnsi="Arial"/>
                <w:sz w:val="13"/>
                <w:szCs w:val="13"/>
                <w:b w:val="1"/>
                <w:bCs w:val="1"/>
                <w:color w:val="auto"/>
              </w:rPr>
              <w:t>Compensation ($)(2)</w:t>
            </w:r>
          </w:p>
        </w:tc>
        <w:tc>
          <w:tcPr>
            <w:tcW w:w="1400" w:type="dxa"/>
            <w:vAlign w:val="bottom"/>
            <w:tcBorders>
              <w:bottom w:val="single" w:sz="8" w:color="auto"/>
            </w:tcBorders>
          </w:tcPr>
          <w:p>
            <w:pPr>
              <w:jc w:val="right"/>
              <w:ind w:right="835"/>
              <w:spacing w:after="0"/>
              <w:rPr>
                <w:sz w:val="20"/>
                <w:szCs w:val="20"/>
                <w:color w:val="auto"/>
              </w:rPr>
            </w:pPr>
            <w:r>
              <w:rPr>
                <w:rFonts w:ascii="Arial" w:cs="Arial" w:eastAsia="Arial" w:hAnsi="Arial"/>
                <w:sz w:val="13"/>
                <w:szCs w:val="13"/>
                <w:b w:val="1"/>
                <w:bCs w:val="1"/>
                <w:color w:val="auto"/>
              </w:rPr>
              <w:t>(3)</w:t>
            </w:r>
          </w:p>
        </w:tc>
        <w:tc>
          <w:tcPr>
            <w:tcW w:w="980" w:type="dxa"/>
            <w:vAlign w:val="bottom"/>
            <w:tcBorders>
              <w:bottom w:val="single" w:sz="8" w:color="auto"/>
            </w:tcBorders>
          </w:tcPr>
          <w:p>
            <w:pPr>
              <w:jc w:val="right"/>
              <w:ind w:right="295"/>
              <w:spacing w:after="0"/>
              <w:rPr>
                <w:sz w:val="20"/>
                <w:szCs w:val="20"/>
                <w:color w:val="auto"/>
              </w:rPr>
            </w:pPr>
            <w:r>
              <w:rPr>
                <w:rFonts w:ascii="Arial" w:cs="Arial" w:eastAsia="Arial" w:hAnsi="Arial"/>
                <w:sz w:val="13"/>
                <w:szCs w:val="13"/>
                <w:b w:val="1"/>
                <w:bCs w:val="1"/>
                <w:color w:val="auto"/>
              </w:rPr>
              <w:t>Total ($)</w:t>
            </w:r>
          </w:p>
        </w:tc>
        <w:tc>
          <w:tcPr>
            <w:tcW w:w="0" w:type="dxa"/>
            <w:vAlign w:val="bottom"/>
          </w:tcPr>
          <w:p>
            <w:pPr>
              <w:spacing w:after="0"/>
              <w:rPr>
                <w:sz w:val="1"/>
                <w:szCs w:val="1"/>
                <w:color w:val="auto"/>
              </w:rPr>
            </w:pPr>
          </w:p>
        </w:tc>
      </w:tr>
      <w:tr>
        <w:trPr>
          <w:trHeight w:val="147"/>
        </w:trPr>
        <w:tc>
          <w:tcPr>
            <w:tcW w:w="3060" w:type="dxa"/>
            <w:vAlign w:val="bottom"/>
          </w:tcPr>
          <w:p>
            <w:pPr>
              <w:spacing w:after="0" w:line="147" w:lineRule="exact"/>
              <w:rPr>
                <w:sz w:val="20"/>
                <w:szCs w:val="20"/>
                <w:color w:val="auto"/>
              </w:rPr>
            </w:pPr>
            <w:r>
              <w:rPr>
                <w:rFonts w:ascii="Arial" w:cs="Arial" w:eastAsia="Arial" w:hAnsi="Arial"/>
                <w:sz w:val="13"/>
                <w:szCs w:val="13"/>
                <w:color w:val="auto"/>
              </w:rPr>
              <w:t>Zee Hakimoglu</w:t>
            </w:r>
          </w:p>
        </w:tc>
        <w:tc>
          <w:tcPr>
            <w:tcW w:w="116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3060" w:type="dxa"/>
            <w:vAlign w:val="bottom"/>
          </w:tcPr>
          <w:p>
            <w:pPr>
              <w:spacing w:after="0"/>
              <w:rPr>
                <w:sz w:val="20"/>
                <w:szCs w:val="20"/>
                <w:color w:val="auto"/>
              </w:rPr>
            </w:pPr>
            <w:r>
              <w:rPr>
                <w:rFonts w:ascii="Arial" w:cs="Arial" w:eastAsia="Arial" w:hAnsi="Arial"/>
                <w:sz w:val="13"/>
                <w:szCs w:val="13"/>
                <w:color w:val="auto"/>
              </w:rPr>
              <w:t>Chairman of the Board</w:t>
            </w:r>
          </w:p>
        </w:tc>
        <w:tc>
          <w:tcPr>
            <w:tcW w:w="116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90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5"/>
        </w:trPr>
        <w:tc>
          <w:tcPr>
            <w:tcW w:w="3060" w:type="dxa"/>
            <w:vAlign w:val="bottom"/>
          </w:tcPr>
          <w:p>
            <w:pPr>
              <w:spacing w:after="0"/>
              <w:rPr>
                <w:sz w:val="20"/>
                <w:szCs w:val="20"/>
                <w:color w:val="auto"/>
              </w:rPr>
            </w:pPr>
            <w:r>
              <w:rPr>
                <w:rFonts w:ascii="Arial" w:cs="Arial" w:eastAsia="Arial" w:hAnsi="Arial"/>
                <w:sz w:val="13"/>
                <w:szCs w:val="13"/>
                <w:color w:val="auto"/>
              </w:rPr>
              <w:t>Chief Executive Officer and President</w:t>
            </w:r>
          </w:p>
        </w:tc>
        <w:tc>
          <w:tcPr>
            <w:tcW w:w="1160" w:type="dxa"/>
            <w:vAlign w:val="bottom"/>
          </w:tcPr>
          <w:p>
            <w:pPr>
              <w:jc w:val="center"/>
              <w:ind w:left="115"/>
              <w:spacing w:after="0"/>
              <w:rPr>
                <w:sz w:val="20"/>
                <w:szCs w:val="20"/>
                <w:color w:val="auto"/>
              </w:rPr>
            </w:pPr>
            <w:r>
              <w:rPr>
                <w:rFonts w:ascii="Arial" w:cs="Arial" w:eastAsia="Arial" w:hAnsi="Arial"/>
                <w:sz w:val="13"/>
                <w:szCs w:val="13"/>
                <w:color w:val="auto"/>
                <w:w w:val="89"/>
              </w:rPr>
              <w:t>2008</w:t>
            </w:r>
          </w:p>
        </w:tc>
        <w:tc>
          <w:tcPr>
            <w:tcW w:w="1020" w:type="dxa"/>
            <w:vAlign w:val="bottom"/>
          </w:tcPr>
          <w:p>
            <w:pPr>
              <w:jc w:val="right"/>
              <w:ind w:right="15"/>
              <w:spacing w:after="0"/>
              <w:rPr>
                <w:sz w:val="20"/>
                <w:szCs w:val="20"/>
                <w:color w:val="auto"/>
              </w:rPr>
            </w:pPr>
            <w:r>
              <w:rPr>
                <w:rFonts w:ascii="Arial" w:cs="Arial" w:eastAsia="Arial" w:hAnsi="Arial"/>
                <w:sz w:val="13"/>
                <w:szCs w:val="13"/>
                <w:color w:val="auto"/>
              </w:rPr>
              <w:t>200,000</w:t>
            </w:r>
          </w:p>
        </w:tc>
        <w:tc>
          <w:tcPr>
            <w:tcW w:w="720" w:type="dxa"/>
            <w:vAlign w:val="bottom"/>
          </w:tcPr>
          <w:p>
            <w:pPr>
              <w:jc w:val="center"/>
              <w:spacing w:after="0"/>
              <w:rPr>
                <w:sz w:val="20"/>
                <w:szCs w:val="20"/>
                <w:color w:val="auto"/>
              </w:rPr>
            </w:pPr>
            <w:r>
              <w:rPr>
                <w:rFonts w:ascii="Arial" w:cs="Arial" w:eastAsia="Arial" w:hAnsi="Arial"/>
                <w:sz w:val="13"/>
                <w:szCs w:val="13"/>
                <w:color w:val="auto"/>
                <w:w w:val="91"/>
              </w:rPr>
              <w:t>-</w:t>
            </w:r>
          </w:p>
        </w:tc>
        <w:tc>
          <w:tcPr>
            <w:tcW w:w="1240" w:type="dxa"/>
            <w:vAlign w:val="bottom"/>
          </w:tcPr>
          <w:p>
            <w:pPr>
              <w:jc w:val="right"/>
              <w:spacing w:after="0"/>
              <w:rPr>
                <w:sz w:val="20"/>
                <w:szCs w:val="20"/>
                <w:color w:val="auto"/>
              </w:rPr>
            </w:pPr>
            <w:r>
              <w:rPr>
                <w:rFonts w:ascii="Arial" w:cs="Arial" w:eastAsia="Arial" w:hAnsi="Arial"/>
                <w:sz w:val="13"/>
                <w:szCs w:val="13"/>
                <w:color w:val="auto"/>
              </w:rPr>
              <w:t>279,249</w:t>
            </w:r>
          </w:p>
        </w:tc>
        <w:tc>
          <w:tcPr>
            <w:tcW w:w="1900" w:type="dxa"/>
            <w:vAlign w:val="bottom"/>
          </w:tcPr>
          <w:p>
            <w:pPr>
              <w:jc w:val="right"/>
              <w:ind w:right="295"/>
              <w:spacing w:after="0"/>
              <w:rPr>
                <w:sz w:val="20"/>
                <w:szCs w:val="20"/>
                <w:color w:val="auto"/>
              </w:rPr>
            </w:pPr>
            <w:r>
              <w:rPr>
                <w:rFonts w:ascii="Arial" w:cs="Arial" w:eastAsia="Arial" w:hAnsi="Arial"/>
                <w:sz w:val="13"/>
                <w:szCs w:val="13"/>
                <w:color w:val="auto"/>
              </w:rPr>
              <w:t>-</w:t>
            </w:r>
          </w:p>
        </w:tc>
        <w:tc>
          <w:tcPr>
            <w:tcW w:w="1400" w:type="dxa"/>
            <w:vAlign w:val="bottom"/>
          </w:tcPr>
          <w:p>
            <w:pPr>
              <w:jc w:val="right"/>
              <w:ind w:right="115"/>
              <w:spacing w:after="0"/>
              <w:rPr>
                <w:sz w:val="20"/>
                <w:szCs w:val="20"/>
                <w:color w:val="auto"/>
              </w:rPr>
            </w:pPr>
            <w:r>
              <w:rPr>
                <w:rFonts w:ascii="Arial" w:cs="Arial" w:eastAsia="Arial" w:hAnsi="Arial"/>
                <w:sz w:val="13"/>
                <w:szCs w:val="13"/>
                <w:color w:val="auto"/>
              </w:rPr>
              <w:t>7,267</w:t>
            </w:r>
          </w:p>
        </w:tc>
        <w:tc>
          <w:tcPr>
            <w:tcW w:w="980" w:type="dxa"/>
            <w:vAlign w:val="bottom"/>
          </w:tcPr>
          <w:p>
            <w:pPr>
              <w:jc w:val="right"/>
              <w:spacing w:after="0"/>
              <w:rPr>
                <w:sz w:val="20"/>
                <w:szCs w:val="20"/>
                <w:color w:val="auto"/>
              </w:rPr>
            </w:pPr>
            <w:r>
              <w:rPr>
                <w:rFonts w:ascii="Arial" w:cs="Arial" w:eastAsia="Arial" w:hAnsi="Arial"/>
                <w:sz w:val="13"/>
                <w:szCs w:val="13"/>
                <w:color w:val="auto"/>
              </w:rPr>
              <w:t>486,516</w:t>
            </w:r>
          </w:p>
        </w:tc>
        <w:tc>
          <w:tcPr>
            <w:tcW w:w="0" w:type="dxa"/>
            <w:vAlign w:val="bottom"/>
          </w:tcPr>
          <w:p>
            <w:pPr>
              <w:spacing w:after="0"/>
              <w:rPr>
                <w:sz w:val="1"/>
                <w:szCs w:val="1"/>
                <w:color w:val="auto"/>
              </w:rPr>
            </w:pPr>
          </w:p>
        </w:tc>
      </w:tr>
      <w:tr>
        <w:trPr>
          <w:trHeight w:val="164"/>
        </w:trPr>
        <w:tc>
          <w:tcPr>
            <w:tcW w:w="3060" w:type="dxa"/>
            <w:vAlign w:val="bottom"/>
            <w:vMerge w:val="restart"/>
          </w:tcPr>
          <w:p>
            <w:pPr>
              <w:spacing w:after="0"/>
              <w:rPr>
                <w:sz w:val="20"/>
                <w:szCs w:val="20"/>
                <w:color w:val="auto"/>
              </w:rPr>
            </w:pPr>
            <w:r>
              <w:rPr>
                <w:rFonts w:ascii="Arial" w:cs="Arial" w:eastAsia="Arial" w:hAnsi="Arial"/>
                <w:sz w:val="13"/>
                <w:szCs w:val="13"/>
                <w:color w:val="auto"/>
              </w:rPr>
              <w:t>Greg A. LeClaire</w:t>
            </w:r>
          </w:p>
        </w:tc>
        <w:tc>
          <w:tcPr>
            <w:tcW w:w="1160" w:type="dxa"/>
            <w:vAlign w:val="bottom"/>
          </w:tcPr>
          <w:p>
            <w:pPr>
              <w:jc w:val="center"/>
              <w:ind w:left="115"/>
              <w:spacing w:after="0"/>
              <w:rPr>
                <w:sz w:val="20"/>
                <w:szCs w:val="20"/>
                <w:color w:val="auto"/>
              </w:rPr>
            </w:pPr>
            <w:r>
              <w:rPr>
                <w:rFonts w:ascii="Arial" w:cs="Arial" w:eastAsia="Arial" w:hAnsi="Arial"/>
                <w:sz w:val="13"/>
                <w:szCs w:val="13"/>
                <w:color w:val="auto"/>
                <w:w w:val="89"/>
              </w:rPr>
              <w:t>2007</w:t>
            </w:r>
          </w:p>
        </w:tc>
        <w:tc>
          <w:tcPr>
            <w:tcW w:w="1020" w:type="dxa"/>
            <w:vAlign w:val="bottom"/>
          </w:tcPr>
          <w:p>
            <w:pPr>
              <w:jc w:val="right"/>
              <w:ind w:right="15"/>
              <w:spacing w:after="0"/>
              <w:rPr>
                <w:sz w:val="20"/>
                <w:szCs w:val="20"/>
                <w:color w:val="auto"/>
              </w:rPr>
            </w:pPr>
            <w:r>
              <w:rPr>
                <w:rFonts w:ascii="Arial" w:cs="Arial" w:eastAsia="Arial" w:hAnsi="Arial"/>
                <w:sz w:val="13"/>
                <w:szCs w:val="13"/>
                <w:color w:val="auto"/>
              </w:rPr>
              <w:t>200,000</w:t>
            </w:r>
          </w:p>
        </w:tc>
        <w:tc>
          <w:tcPr>
            <w:tcW w:w="720" w:type="dxa"/>
            <w:vAlign w:val="bottom"/>
          </w:tcPr>
          <w:p>
            <w:pPr>
              <w:jc w:val="center"/>
              <w:spacing w:after="0"/>
              <w:rPr>
                <w:sz w:val="20"/>
                <w:szCs w:val="20"/>
                <w:color w:val="auto"/>
              </w:rPr>
            </w:pPr>
            <w:r>
              <w:rPr>
                <w:rFonts w:ascii="Arial" w:cs="Arial" w:eastAsia="Arial" w:hAnsi="Arial"/>
                <w:sz w:val="13"/>
                <w:szCs w:val="13"/>
                <w:color w:val="auto"/>
                <w:w w:val="91"/>
              </w:rPr>
              <w:t>-</w:t>
            </w:r>
          </w:p>
        </w:tc>
        <w:tc>
          <w:tcPr>
            <w:tcW w:w="1240" w:type="dxa"/>
            <w:vAlign w:val="bottom"/>
          </w:tcPr>
          <w:p>
            <w:pPr>
              <w:jc w:val="right"/>
              <w:spacing w:after="0"/>
              <w:rPr>
                <w:sz w:val="20"/>
                <w:szCs w:val="20"/>
                <w:color w:val="auto"/>
              </w:rPr>
            </w:pPr>
            <w:r>
              <w:rPr>
                <w:rFonts w:ascii="Arial" w:cs="Arial" w:eastAsia="Arial" w:hAnsi="Arial"/>
                <w:sz w:val="13"/>
                <w:szCs w:val="13"/>
                <w:color w:val="auto"/>
              </w:rPr>
              <w:t>288,149</w:t>
            </w:r>
          </w:p>
        </w:tc>
        <w:tc>
          <w:tcPr>
            <w:tcW w:w="1900" w:type="dxa"/>
            <w:vAlign w:val="bottom"/>
          </w:tcPr>
          <w:p>
            <w:pPr>
              <w:jc w:val="right"/>
              <w:ind w:right="295"/>
              <w:spacing w:after="0"/>
              <w:rPr>
                <w:sz w:val="20"/>
                <w:szCs w:val="20"/>
                <w:color w:val="auto"/>
              </w:rPr>
            </w:pPr>
            <w:r>
              <w:rPr>
                <w:rFonts w:ascii="Arial" w:cs="Arial" w:eastAsia="Arial" w:hAnsi="Arial"/>
                <w:sz w:val="13"/>
                <w:szCs w:val="13"/>
                <w:color w:val="auto"/>
              </w:rPr>
              <w:t>-</w:t>
            </w:r>
          </w:p>
        </w:tc>
        <w:tc>
          <w:tcPr>
            <w:tcW w:w="1400" w:type="dxa"/>
            <w:vAlign w:val="bottom"/>
          </w:tcPr>
          <w:p>
            <w:pPr>
              <w:jc w:val="right"/>
              <w:ind w:right="115"/>
              <w:spacing w:after="0"/>
              <w:rPr>
                <w:sz w:val="20"/>
                <w:szCs w:val="20"/>
                <w:color w:val="auto"/>
              </w:rPr>
            </w:pPr>
            <w:r>
              <w:rPr>
                <w:rFonts w:ascii="Arial" w:cs="Arial" w:eastAsia="Arial" w:hAnsi="Arial"/>
                <w:sz w:val="13"/>
                <w:szCs w:val="13"/>
                <w:color w:val="auto"/>
              </w:rPr>
              <w:t>5,014</w:t>
            </w:r>
          </w:p>
        </w:tc>
        <w:tc>
          <w:tcPr>
            <w:tcW w:w="980" w:type="dxa"/>
            <w:vAlign w:val="bottom"/>
          </w:tcPr>
          <w:p>
            <w:pPr>
              <w:jc w:val="right"/>
              <w:spacing w:after="0"/>
              <w:rPr>
                <w:sz w:val="20"/>
                <w:szCs w:val="20"/>
                <w:color w:val="auto"/>
              </w:rPr>
            </w:pPr>
            <w:r>
              <w:rPr>
                <w:rFonts w:ascii="Arial" w:cs="Arial" w:eastAsia="Arial" w:hAnsi="Arial"/>
                <w:sz w:val="13"/>
                <w:szCs w:val="13"/>
                <w:color w:val="auto"/>
              </w:rPr>
              <w:t>493,163</w:t>
            </w:r>
          </w:p>
        </w:tc>
        <w:tc>
          <w:tcPr>
            <w:tcW w:w="0" w:type="dxa"/>
            <w:vAlign w:val="bottom"/>
          </w:tcPr>
          <w:p>
            <w:pPr>
              <w:spacing w:after="0"/>
              <w:rPr>
                <w:sz w:val="1"/>
                <w:szCs w:val="1"/>
                <w:color w:val="auto"/>
              </w:rPr>
            </w:pPr>
          </w:p>
        </w:tc>
      </w:tr>
      <w:tr>
        <w:trPr>
          <w:trHeight w:val="148"/>
        </w:trPr>
        <w:tc>
          <w:tcPr>
            <w:tcW w:w="3060" w:type="dxa"/>
            <w:vAlign w:val="bottom"/>
            <w:vMerge w:val="continue"/>
          </w:tcPr>
          <w:p>
            <w:pPr>
              <w:spacing w:after="0"/>
              <w:rPr>
                <w:sz w:val="12"/>
                <w:szCs w:val="12"/>
                <w:color w:val="auto"/>
              </w:rPr>
            </w:pPr>
          </w:p>
        </w:tc>
        <w:tc>
          <w:tcPr>
            <w:tcW w:w="116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3060" w:type="dxa"/>
            <w:vAlign w:val="bottom"/>
          </w:tcPr>
          <w:p>
            <w:pPr>
              <w:spacing w:after="0"/>
              <w:rPr>
                <w:sz w:val="20"/>
                <w:szCs w:val="20"/>
                <w:color w:val="auto"/>
              </w:rPr>
            </w:pPr>
            <w:r>
              <w:rPr>
                <w:rFonts w:ascii="Arial" w:cs="Arial" w:eastAsia="Arial" w:hAnsi="Arial"/>
                <w:sz w:val="13"/>
                <w:szCs w:val="13"/>
                <w:color w:val="auto"/>
              </w:rPr>
              <w:t>Chief Financial Officer and Corporate Secretary (4)</w:t>
            </w:r>
          </w:p>
        </w:tc>
        <w:tc>
          <w:tcPr>
            <w:tcW w:w="1160" w:type="dxa"/>
            <w:vAlign w:val="bottom"/>
          </w:tcPr>
          <w:p>
            <w:pPr>
              <w:jc w:val="center"/>
              <w:ind w:left="115"/>
              <w:spacing w:after="0"/>
              <w:rPr>
                <w:sz w:val="20"/>
                <w:szCs w:val="20"/>
                <w:color w:val="auto"/>
              </w:rPr>
            </w:pPr>
            <w:r>
              <w:rPr>
                <w:rFonts w:ascii="Arial" w:cs="Arial" w:eastAsia="Arial" w:hAnsi="Arial"/>
                <w:sz w:val="13"/>
                <w:szCs w:val="13"/>
                <w:color w:val="auto"/>
                <w:w w:val="89"/>
              </w:rPr>
              <w:t>2008</w:t>
            </w:r>
          </w:p>
        </w:tc>
        <w:tc>
          <w:tcPr>
            <w:tcW w:w="1020" w:type="dxa"/>
            <w:vAlign w:val="bottom"/>
          </w:tcPr>
          <w:p>
            <w:pPr>
              <w:jc w:val="right"/>
              <w:ind w:right="15"/>
              <w:spacing w:after="0"/>
              <w:rPr>
                <w:sz w:val="20"/>
                <w:szCs w:val="20"/>
                <w:color w:val="auto"/>
              </w:rPr>
            </w:pPr>
            <w:r>
              <w:rPr>
                <w:rFonts w:ascii="Arial" w:cs="Arial" w:eastAsia="Arial" w:hAnsi="Arial"/>
                <w:sz w:val="13"/>
                <w:szCs w:val="13"/>
                <w:color w:val="auto"/>
              </w:rPr>
              <w:t>149,615</w:t>
            </w:r>
          </w:p>
        </w:tc>
        <w:tc>
          <w:tcPr>
            <w:tcW w:w="720" w:type="dxa"/>
            <w:vAlign w:val="bottom"/>
          </w:tcPr>
          <w:p>
            <w:pPr>
              <w:jc w:val="center"/>
              <w:spacing w:after="0"/>
              <w:rPr>
                <w:sz w:val="20"/>
                <w:szCs w:val="20"/>
                <w:color w:val="auto"/>
              </w:rPr>
            </w:pPr>
            <w:r>
              <w:rPr>
                <w:rFonts w:ascii="Arial" w:cs="Arial" w:eastAsia="Arial" w:hAnsi="Arial"/>
                <w:sz w:val="13"/>
                <w:szCs w:val="13"/>
                <w:color w:val="auto"/>
                <w:w w:val="91"/>
              </w:rPr>
              <w:t>-</w:t>
            </w:r>
          </w:p>
        </w:tc>
        <w:tc>
          <w:tcPr>
            <w:tcW w:w="1240" w:type="dxa"/>
            <w:vAlign w:val="bottom"/>
          </w:tcPr>
          <w:p>
            <w:pPr>
              <w:jc w:val="right"/>
              <w:spacing w:after="0"/>
              <w:rPr>
                <w:sz w:val="20"/>
                <w:szCs w:val="20"/>
                <w:color w:val="auto"/>
              </w:rPr>
            </w:pPr>
            <w:r>
              <w:rPr>
                <w:rFonts w:ascii="Arial" w:cs="Arial" w:eastAsia="Arial" w:hAnsi="Arial"/>
                <w:sz w:val="13"/>
                <w:szCs w:val="13"/>
                <w:color w:val="auto"/>
              </w:rPr>
              <w:t>93,068</w:t>
            </w:r>
          </w:p>
        </w:tc>
        <w:tc>
          <w:tcPr>
            <w:tcW w:w="1900" w:type="dxa"/>
            <w:vAlign w:val="bottom"/>
          </w:tcPr>
          <w:p>
            <w:pPr>
              <w:jc w:val="right"/>
              <w:ind w:right="295"/>
              <w:spacing w:after="0"/>
              <w:rPr>
                <w:sz w:val="20"/>
                <w:szCs w:val="20"/>
                <w:color w:val="auto"/>
              </w:rPr>
            </w:pPr>
            <w:r>
              <w:rPr>
                <w:rFonts w:ascii="Arial" w:cs="Arial" w:eastAsia="Arial" w:hAnsi="Arial"/>
                <w:sz w:val="13"/>
                <w:szCs w:val="13"/>
                <w:color w:val="auto"/>
              </w:rPr>
              <w:t>49,311</w:t>
            </w:r>
          </w:p>
        </w:tc>
        <w:tc>
          <w:tcPr>
            <w:tcW w:w="1400" w:type="dxa"/>
            <w:vAlign w:val="bottom"/>
          </w:tcPr>
          <w:p>
            <w:pPr>
              <w:jc w:val="right"/>
              <w:ind w:right="115"/>
              <w:spacing w:after="0"/>
              <w:rPr>
                <w:sz w:val="20"/>
                <w:szCs w:val="20"/>
                <w:color w:val="auto"/>
              </w:rPr>
            </w:pPr>
            <w:r>
              <w:rPr>
                <w:rFonts w:ascii="Arial" w:cs="Arial" w:eastAsia="Arial" w:hAnsi="Arial"/>
                <w:sz w:val="13"/>
                <w:szCs w:val="13"/>
                <w:color w:val="auto"/>
              </w:rPr>
              <w:t>6,744</w:t>
            </w:r>
          </w:p>
        </w:tc>
        <w:tc>
          <w:tcPr>
            <w:tcW w:w="980" w:type="dxa"/>
            <w:vAlign w:val="bottom"/>
          </w:tcPr>
          <w:p>
            <w:pPr>
              <w:jc w:val="right"/>
              <w:spacing w:after="0"/>
              <w:rPr>
                <w:sz w:val="20"/>
                <w:szCs w:val="20"/>
                <w:color w:val="auto"/>
              </w:rPr>
            </w:pPr>
            <w:r>
              <w:rPr>
                <w:rFonts w:ascii="Arial" w:cs="Arial" w:eastAsia="Arial" w:hAnsi="Arial"/>
                <w:sz w:val="13"/>
                <w:szCs w:val="13"/>
                <w:color w:val="auto"/>
              </w:rPr>
              <w:t>298,738</w:t>
            </w:r>
          </w:p>
        </w:tc>
        <w:tc>
          <w:tcPr>
            <w:tcW w:w="0" w:type="dxa"/>
            <w:vAlign w:val="bottom"/>
          </w:tcPr>
          <w:p>
            <w:pPr>
              <w:spacing w:after="0"/>
              <w:rPr>
                <w:sz w:val="1"/>
                <w:szCs w:val="1"/>
                <w:color w:val="auto"/>
              </w:rPr>
            </w:pPr>
          </w:p>
        </w:tc>
      </w:tr>
      <w:tr>
        <w:trPr>
          <w:trHeight w:val="164"/>
        </w:trPr>
        <w:tc>
          <w:tcPr>
            <w:tcW w:w="3060" w:type="dxa"/>
            <w:vAlign w:val="bottom"/>
            <w:vMerge w:val="restart"/>
          </w:tcPr>
          <w:p>
            <w:pPr>
              <w:spacing w:after="0"/>
              <w:rPr>
                <w:sz w:val="20"/>
                <w:szCs w:val="20"/>
                <w:color w:val="auto"/>
              </w:rPr>
            </w:pPr>
            <w:r>
              <w:rPr>
                <w:rFonts w:ascii="Arial" w:cs="Arial" w:eastAsia="Arial" w:hAnsi="Arial"/>
                <w:sz w:val="13"/>
                <w:szCs w:val="13"/>
                <w:color w:val="auto"/>
              </w:rPr>
              <w:t>Tracy A. Bathurst</w:t>
            </w:r>
          </w:p>
        </w:tc>
        <w:tc>
          <w:tcPr>
            <w:tcW w:w="1160" w:type="dxa"/>
            <w:vAlign w:val="bottom"/>
          </w:tcPr>
          <w:p>
            <w:pPr>
              <w:jc w:val="center"/>
              <w:ind w:left="115"/>
              <w:spacing w:after="0"/>
              <w:rPr>
                <w:sz w:val="20"/>
                <w:szCs w:val="20"/>
                <w:color w:val="auto"/>
              </w:rPr>
            </w:pPr>
            <w:r>
              <w:rPr>
                <w:rFonts w:ascii="Arial" w:cs="Arial" w:eastAsia="Arial" w:hAnsi="Arial"/>
                <w:sz w:val="13"/>
                <w:szCs w:val="13"/>
                <w:color w:val="auto"/>
                <w:w w:val="89"/>
              </w:rPr>
              <w:t>2007</w:t>
            </w:r>
          </w:p>
        </w:tc>
        <w:tc>
          <w:tcPr>
            <w:tcW w:w="1020" w:type="dxa"/>
            <w:vAlign w:val="bottom"/>
          </w:tcPr>
          <w:p>
            <w:pPr>
              <w:jc w:val="right"/>
              <w:ind w:right="15"/>
              <w:spacing w:after="0"/>
              <w:rPr>
                <w:sz w:val="20"/>
                <w:szCs w:val="20"/>
                <w:color w:val="auto"/>
              </w:rPr>
            </w:pPr>
            <w:r>
              <w:rPr>
                <w:rFonts w:ascii="Arial" w:cs="Arial" w:eastAsia="Arial" w:hAnsi="Arial"/>
                <w:sz w:val="13"/>
                <w:szCs w:val="13"/>
                <w:color w:val="auto"/>
              </w:rPr>
              <w:t>110,384</w:t>
            </w:r>
          </w:p>
        </w:tc>
        <w:tc>
          <w:tcPr>
            <w:tcW w:w="720" w:type="dxa"/>
            <w:vAlign w:val="bottom"/>
          </w:tcPr>
          <w:p>
            <w:pPr>
              <w:jc w:val="center"/>
              <w:spacing w:after="0"/>
              <w:rPr>
                <w:sz w:val="20"/>
                <w:szCs w:val="20"/>
                <w:color w:val="auto"/>
              </w:rPr>
            </w:pPr>
            <w:r>
              <w:rPr>
                <w:rFonts w:ascii="Arial" w:cs="Arial" w:eastAsia="Arial" w:hAnsi="Arial"/>
                <w:sz w:val="13"/>
                <w:szCs w:val="13"/>
                <w:color w:val="auto"/>
                <w:w w:val="91"/>
              </w:rPr>
              <w:t>-</w:t>
            </w:r>
          </w:p>
        </w:tc>
        <w:tc>
          <w:tcPr>
            <w:tcW w:w="1240" w:type="dxa"/>
            <w:vAlign w:val="bottom"/>
          </w:tcPr>
          <w:p>
            <w:pPr>
              <w:jc w:val="right"/>
              <w:spacing w:after="0"/>
              <w:rPr>
                <w:sz w:val="20"/>
                <w:szCs w:val="20"/>
                <w:color w:val="auto"/>
              </w:rPr>
            </w:pPr>
            <w:r>
              <w:rPr>
                <w:rFonts w:ascii="Arial" w:cs="Arial" w:eastAsia="Arial" w:hAnsi="Arial"/>
                <w:sz w:val="13"/>
                <w:szCs w:val="13"/>
                <w:color w:val="auto"/>
              </w:rPr>
              <w:t>25,886</w:t>
            </w:r>
          </w:p>
        </w:tc>
        <w:tc>
          <w:tcPr>
            <w:tcW w:w="1900" w:type="dxa"/>
            <w:vAlign w:val="bottom"/>
          </w:tcPr>
          <w:p>
            <w:pPr>
              <w:jc w:val="right"/>
              <w:ind w:right="295"/>
              <w:spacing w:after="0"/>
              <w:rPr>
                <w:sz w:val="20"/>
                <w:szCs w:val="20"/>
                <w:color w:val="auto"/>
              </w:rPr>
            </w:pPr>
            <w:r>
              <w:rPr>
                <w:rFonts w:ascii="Arial" w:cs="Arial" w:eastAsia="Arial" w:hAnsi="Arial"/>
                <w:sz w:val="13"/>
                <w:szCs w:val="13"/>
                <w:color w:val="auto"/>
              </w:rPr>
              <w:t>33,978</w:t>
            </w:r>
          </w:p>
        </w:tc>
        <w:tc>
          <w:tcPr>
            <w:tcW w:w="1400" w:type="dxa"/>
            <w:vAlign w:val="bottom"/>
          </w:tcPr>
          <w:p>
            <w:pPr>
              <w:jc w:val="right"/>
              <w:ind w:right="115"/>
              <w:spacing w:after="0"/>
              <w:rPr>
                <w:sz w:val="20"/>
                <w:szCs w:val="20"/>
                <w:color w:val="auto"/>
              </w:rPr>
            </w:pPr>
            <w:r>
              <w:rPr>
                <w:rFonts w:ascii="Arial" w:cs="Arial" w:eastAsia="Arial" w:hAnsi="Arial"/>
                <w:sz w:val="13"/>
                <w:szCs w:val="13"/>
                <w:color w:val="auto"/>
              </w:rPr>
              <w:t>19,182</w:t>
            </w:r>
          </w:p>
        </w:tc>
        <w:tc>
          <w:tcPr>
            <w:tcW w:w="980" w:type="dxa"/>
            <w:vAlign w:val="bottom"/>
          </w:tcPr>
          <w:p>
            <w:pPr>
              <w:jc w:val="right"/>
              <w:spacing w:after="0"/>
              <w:rPr>
                <w:sz w:val="20"/>
                <w:szCs w:val="20"/>
                <w:color w:val="auto"/>
              </w:rPr>
            </w:pPr>
            <w:r>
              <w:rPr>
                <w:rFonts w:ascii="Arial" w:cs="Arial" w:eastAsia="Arial" w:hAnsi="Arial"/>
                <w:sz w:val="13"/>
                <w:szCs w:val="13"/>
                <w:color w:val="auto"/>
              </w:rPr>
              <w:t>189,430</w:t>
            </w:r>
          </w:p>
        </w:tc>
        <w:tc>
          <w:tcPr>
            <w:tcW w:w="0" w:type="dxa"/>
            <w:vAlign w:val="bottom"/>
          </w:tcPr>
          <w:p>
            <w:pPr>
              <w:spacing w:after="0"/>
              <w:rPr>
                <w:sz w:val="1"/>
                <w:szCs w:val="1"/>
                <w:color w:val="auto"/>
              </w:rPr>
            </w:pPr>
          </w:p>
        </w:tc>
      </w:tr>
      <w:tr>
        <w:trPr>
          <w:trHeight w:val="148"/>
        </w:trPr>
        <w:tc>
          <w:tcPr>
            <w:tcW w:w="3060" w:type="dxa"/>
            <w:vAlign w:val="bottom"/>
            <w:vMerge w:val="continue"/>
          </w:tcPr>
          <w:p>
            <w:pPr>
              <w:spacing w:after="0"/>
              <w:rPr>
                <w:sz w:val="12"/>
                <w:szCs w:val="12"/>
                <w:color w:val="auto"/>
              </w:rPr>
            </w:pPr>
          </w:p>
        </w:tc>
        <w:tc>
          <w:tcPr>
            <w:tcW w:w="116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3060" w:type="dxa"/>
            <w:vAlign w:val="bottom"/>
          </w:tcPr>
          <w:p>
            <w:pPr>
              <w:spacing w:after="0"/>
              <w:rPr>
                <w:sz w:val="20"/>
                <w:szCs w:val="20"/>
                <w:color w:val="auto"/>
              </w:rPr>
            </w:pPr>
            <w:r>
              <w:rPr>
                <w:rFonts w:ascii="Arial" w:cs="Arial" w:eastAsia="Arial" w:hAnsi="Arial"/>
                <w:sz w:val="13"/>
                <w:szCs w:val="13"/>
                <w:color w:val="auto"/>
              </w:rPr>
              <w:t>Chief Technology Officer</w:t>
            </w:r>
          </w:p>
        </w:tc>
        <w:tc>
          <w:tcPr>
            <w:tcW w:w="1160" w:type="dxa"/>
            <w:vAlign w:val="bottom"/>
          </w:tcPr>
          <w:p>
            <w:pPr>
              <w:jc w:val="center"/>
              <w:ind w:left="115"/>
              <w:spacing w:after="0"/>
              <w:rPr>
                <w:sz w:val="20"/>
                <w:szCs w:val="20"/>
                <w:color w:val="auto"/>
              </w:rPr>
            </w:pPr>
            <w:r>
              <w:rPr>
                <w:rFonts w:ascii="Arial" w:cs="Arial" w:eastAsia="Arial" w:hAnsi="Arial"/>
                <w:sz w:val="13"/>
                <w:szCs w:val="13"/>
                <w:color w:val="auto"/>
                <w:w w:val="89"/>
              </w:rPr>
              <w:t>2008</w:t>
            </w:r>
          </w:p>
        </w:tc>
        <w:tc>
          <w:tcPr>
            <w:tcW w:w="1020" w:type="dxa"/>
            <w:vAlign w:val="bottom"/>
          </w:tcPr>
          <w:p>
            <w:pPr>
              <w:jc w:val="right"/>
              <w:ind w:right="15"/>
              <w:spacing w:after="0"/>
              <w:rPr>
                <w:sz w:val="20"/>
                <w:szCs w:val="20"/>
                <w:color w:val="auto"/>
              </w:rPr>
            </w:pPr>
            <w:r>
              <w:rPr>
                <w:rFonts w:ascii="Arial" w:cs="Arial" w:eastAsia="Arial" w:hAnsi="Arial"/>
                <w:sz w:val="13"/>
                <w:szCs w:val="13"/>
                <w:color w:val="auto"/>
              </w:rPr>
              <w:t>139,664</w:t>
            </w:r>
          </w:p>
        </w:tc>
        <w:tc>
          <w:tcPr>
            <w:tcW w:w="720" w:type="dxa"/>
            <w:vAlign w:val="bottom"/>
          </w:tcPr>
          <w:p>
            <w:pPr>
              <w:jc w:val="center"/>
              <w:spacing w:after="0"/>
              <w:rPr>
                <w:sz w:val="20"/>
                <w:szCs w:val="20"/>
                <w:color w:val="auto"/>
              </w:rPr>
            </w:pPr>
            <w:r>
              <w:rPr>
                <w:rFonts w:ascii="Arial" w:cs="Arial" w:eastAsia="Arial" w:hAnsi="Arial"/>
                <w:sz w:val="13"/>
                <w:szCs w:val="13"/>
                <w:color w:val="auto"/>
                <w:w w:val="91"/>
              </w:rPr>
              <w:t>-</w:t>
            </w:r>
          </w:p>
        </w:tc>
        <w:tc>
          <w:tcPr>
            <w:tcW w:w="1240" w:type="dxa"/>
            <w:vAlign w:val="bottom"/>
          </w:tcPr>
          <w:p>
            <w:pPr>
              <w:jc w:val="right"/>
              <w:spacing w:after="0"/>
              <w:rPr>
                <w:sz w:val="20"/>
                <w:szCs w:val="20"/>
                <w:color w:val="auto"/>
              </w:rPr>
            </w:pPr>
            <w:r>
              <w:rPr>
                <w:rFonts w:ascii="Arial" w:cs="Arial" w:eastAsia="Arial" w:hAnsi="Arial"/>
                <w:sz w:val="13"/>
                <w:szCs w:val="13"/>
                <w:color w:val="auto"/>
              </w:rPr>
              <w:t>66,574</w:t>
            </w:r>
          </w:p>
        </w:tc>
        <w:tc>
          <w:tcPr>
            <w:tcW w:w="1900" w:type="dxa"/>
            <w:vAlign w:val="bottom"/>
          </w:tcPr>
          <w:p>
            <w:pPr>
              <w:jc w:val="right"/>
              <w:ind w:right="295"/>
              <w:spacing w:after="0"/>
              <w:rPr>
                <w:sz w:val="20"/>
                <w:szCs w:val="20"/>
                <w:color w:val="auto"/>
              </w:rPr>
            </w:pPr>
            <w:r>
              <w:rPr>
                <w:rFonts w:ascii="Arial" w:cs="Arial" w:eastAsia="Arial" w:hAnsi="Arial"/>
                <w:sz w:val="13"/>
                <w:szCs w:val="13"/>
                <w:color w:val="auto"/>
              </w:rPr>
              <w:t>41,155</w:t>
            </w:r>
          </w:p>
        </w:tc>
        <w:tc>
          <w:tcPr>
            <w:tcW w:w="1400" w:type="dxa"/>
            <w:vAlign w:val="bottom"/>
          </w:tcPr>
          <w:p>
            <w:pPr>
              <w:jc w:val="right"/>
              <w:ind w:right="115"/>
              <w:spacing w:after="0"/>
              <w:rPr>
                <w:sz w:val="20"/>
                <w:szCs w:val="20"/>
                <w:color w:val="auto"/>
              </w:rPr>
            </w:pPr>
            <w:r>
              <w:rPr>
                <w:rFonts w:ascii="Arial" w:cs="Arial" w:eastAsia="Arial" w:hAnsi="Arial"/>
                <w:sz w:val="13"/>
                <w:szCs w:val="13"/>
                <w:color w:val="auto"/>
              </w:rPr>
              <w:t>4,442</w:t>
            </w:r>
          </w:p>
        </w:tc>
        <w:tc>
          <w:tcPr>
            <w:tcW w:w="980" w:type="dxa"/>
            <w:vAlign w:val="bottom"/>
          </w:tcPr>
          <w:p>
            <w:pPr>
              <w:jc w:val="right"/>
              <w:spacing w:after="0"/>
              <w:rPr>
                <w:sz w:val="20"/>
                <w:szCs w:val="20"/>
                <w:color w:val="auto"/>
              </w:rPr>
            </w:pPr>
            <w:r>
              <w:rPr>
                <w:rFonts w:ascii="Arial" w:cs="Arial" w:eastAsia="Arial" w:hAnsi="Arial"/>
                <w:sz w:val="13"/>
                <w:szCs w:val="13"/>
                <w:color w:val="auto"/>
              </w:rPr>
              <w:t>251,835</w:t>
            </w:r>
          </w:p>
        </w:tc>
        <w:tc>
          <w:tcPr>
            <w:tcW w:w="0" w:type="dxa"/>
            <w:vAlign w:val="bottom"/>
          </w:tcPr>
          <w:p>
            <w:pPr>
              <w:spacing w:after="0"/>
              <w:rPr>
                <w:sz w:val="1"/>
                <w:szCs w:val="1"/>
                <w:color w:val="auto"/>
              </w:rPr>
            </w:pPr>
          </w:p>
        </w:tc>
      </w:tr>
      <w:tr>
        <w:trPr>
          <w:trHeight w:val="164"/>
        </w:trPr>
        <w:tc>
          <w:tcPr>
            <w:tcW w:w="3060" w:type="dxa"/>
            <w:vAlign w:val="bottom"/>
            <w:vMerge w:val="restart"/>
          </w:tcPr>
          <w:p>
            <w:pPr>
              <w:spacing w:after="0"/>
              <w:rPr>
                <w:sz w:val="20"/>
                <w:szCs w:val="20"/>
                <w:color w:val="auto"/>
              </w:rPr>
            </w:pPr>
            <w:r>
              <w:rPr>
                <w:rFonts w:ascii="Arial" w:cs="Arial" w:eastAsia="Arial" w:hAnsi="Arial"/>
                <w:sz w:val="13"/>
                <w:szCs w:val="13"/>
                <w:color w:val="auto"/>
              </w:rPr>
              <w:t>Marthes Solamuthu</w:t>
            </w:r>
          </w:p>
        </w:tc>
        <w:tc>
          <w:tcPr>
            <w:tcW w:w="1160" w:type="dxa"/>
            <w:vAlign w:val="bottom"/>
          </w:tcPr>
          <w:p>
            <w:pPr>
              <w:jc w:val="center"/>
              <w:ind w:left="115"/>
              <w:spacing w:after="0"/>
              <w:rPr>
                <w:sz w:val="20"/>
                <w:szCs w:val="20"/>
                <w:color w:val="auto"/>
              </w:rPr>
            </w:pPr>
            <w:r>
              <w:rPr>
                <w:rFonts w:ascii="Arial" w:cs="Arial" w:eastAsia="Arial" w:hAnsi="Arial"/>
                <w:sz w:val="13"/>
                <w:szCs w:val="13"/>
                <w:color w:val="auto"/>
                <w:w w:val="89"/>
              </w:rPr>
              <w:t>2007</w:t>
            </w:r>
          </w:p>
        </w:tc>
        <w:tc>
          <w:tcPr>
            <w:tcW w:w="1020" w:type="dxa"/>
            <w:vAlign w:val="bottom"/>
          </w:tcPr>
          <w:p>
            <w:pPr>
              <w:jc w:val="right"/>
              <w:ind w:right="15"/>
              <w:spacing w:after="0"/>
              <w:rPr>
                <w:sz w:val="20"/>
                <w:szCs w:val="20"/>
                <w:color w:val="auto"/>
              </w:rPr>
            </w:pPr>
            <w:r>
              <w:rPr>
                <w:rFonts w:ascii="Arial" w:cs="Arial" w:eastAsia="Arial" w:hAnsi="Arial"/>
                <w:sz w:val="13"/>
                <w:szCs w:val="13"/>
                <w:color w:val="auto"/>
              </w:rPr>
              <w:t>139,077</w:t>
            </w:r>
          </w:p>
        </w:tc>
        <w:tc>
          <w:tcPr>
            <w:tcW w:w="720" w:type="dxa"/>
            <w:vAlign w:val="bottom"/>
          </w:tcPr>
          <w:p>
            <w:pPr>
              <w:jc w:val="center"/>
              <w:spacing w:after="0"/>
              <w:rPr>
                <w:sz w:val="20"/>
                <w:szCs w:val="20"/>
                <w:color w:val="auto"/>
              </w:rPr>
            </w:pPr>
            <w:r>
              <w:rPr>
                <w:rFonts w:ascii="Arial" w:cs="Arial" w:eastAsia="Arial" w:hAnsi="Arial"/>
                <w:sz w:val="13"/>
                <w:szCs w:val="13"/>
                <w:color w:val="auto"/>
                <w:w w:val="91"/>
              </w:rPr>
              <w:t>-</w:t>
            </w:r>
          </w:p>
        </w:tc>
        <w:tc>
          <w:tcPr>
            <w:tcW w:w="1240" w:type="dxa"/>
            <w:vAlign w:val="bottom"/>
          </w:tcPr>
          <w:p>
            <w:pPr>
              <w:jc w:val="right"/>
              <w:spacing w:after="0"/>
              <w:rPr>
                <w:sz w:val="20"/>
                <w:szCs w:val="20"/>
                <w:color w:val="auto"/>
              </w:rPr>
            </w:pPr>
            <w:r>
              <w:rPr>
                <w:rFonts w:ascii="Arial" w:cs="Arial" w:eastAsia="Arial" w:hAnsi="Arial"/>
                <w:sz w:val="13"/>
                <w:szCs w:val="13"/>
                <w:color w:val="auto"/>
              </w:rPr>
              <w:t>42,950</w:t>
            </w:r>
          </w:p>
        </w:tc>
        <w:tc>
          <w:tcPr>
            <w:tcW w:w="1900" w:type="dxa"/>
            <w:vAlign w:val="bottom"/>
          </w:tcPr>
          <w:p>
            <w:pPr>
              <w:jc w:val="right"/>
              <w:ind w:right="295"/>
              <w:spacing w:after="0"/>
              <w:rPr>
                <w:sz w:val="20"/>
                <w:szCs w:val="20"/>
                <w:color w:val="auto"/>
              </w:rPr>
            </w:pPr>
            <w:r>
              <w:rPr>
                <w:rFonts w:ascii="Arial" w:cs="Arial" w:eastAsia="Arial" w:hAnsi="Arial"/>
                <w:sz w:val="13"/>
                <w:szCs w:val="13"/>
                <w:color w:val="auto"/>
              </w:rPr>
              <w:t>37,590</w:t>
            </w:r>
          </w:p>
        </w:tc>
        <w:tc>
          <w:tcPr>
            <w:tcW w:w="1400" w:type="dxa"/>
            <w:vAlign w:val="bottom"/>
          </w:tcPr>
          <w:p>
            <w:pPr>
              <w:jc w:val="right"/>
              <w:ind w:right="115"/>
              <w:spacing w:after="0"/>
              <w:rPr>
                <w:sz w:val="20"/>
                <w:szCs w:val="20"/>
                <w:color w:val="auto"/>
              </w:rPr>
            </w:pPr>
            <w:r>
              <w:rPr>
                <w:rFonts w:ascii="Arial" w:cs="Arial" w:eastAsia="Arial" w:hAnsi="Arial"/>
                <w:sz w:val="13"/>
                <w:szCs w:val="13"/>
                <w:color w:val="auto"/>
              </w:rPr>
              <w:t>3,891</w:t>
            </w:r>
          </w:p>
        </w:tc>
        <w:tc>
          <w:tcPr>
            <w:tcW w:w="980" w:type="dxa"/>
            <w:vAlign w:val="bottom"/>
          </w:tcPr>
          <w:p>
            <w:pPr>
              <w:jc w:val="right"/>
              <w:spacing w:after="0"/>
              <w:rPr>
                <w:sz w:val="20"/>
                <w:szCs w:val="20"/>
                <w:color w:val="auto"/>
              </w:rPr>
            </w:pPr>
            <w:r>
              <w:rPr>
                <w:rFonts w:ascii="Arial" w:cs="Arial" w:eastAsia="Arial" w:hAnsi="Arial"/>
                <w:sz w:val="13"/>
                <w:szCs w:val="13"/>
                <w:color w:val="auto"/>
              </w:rPr>
              <w:t>224,431</w:t>
            </w:r>
          </w:p>
        </w:tc>
        <w:tc>
          <w:tcPr>
            <w:tcW w:w="0" w:type="dxa"/>
            <w:vAlign w:val="bottom"/>
          </w:tcPr>
          <w:p>
            <w:pPr>
              <w:spacing w:after="0"/>
              <w:rPr>
                <w:sz w:val="1"/>
                <w:szCs w:val="1"/>
                <w:color w:val="auto"/>
              </w:rPr>
            </w:pPr>
          </w:p>
        </w:tc>
      </w:tr>
      <w:tr>
        <w:trPr>
          <w:trHeight w:val="148"/>
        </w:trPr>
        <w:tc>
          <w:tcPr>
            <w:tcW w:w="3060" w:type="dxa"/>
            <w:vAlign w:val="bottom"/>
            <w:vMerge w:val="continue"/>
          </w:tcPr>
          <w:p>
            <w:pPr>
              <w:spacing w:after="0"/>
              <w:rPr>
                <w:sz w:val="12"/>
                <w:szCs w:val="12"/>
                <w:color w:val="auto"/>
              </w:rPr>
            </w:pPr>
          </w:p>
        </w:tc>
        <w:tc>
          <w:tcPr>
            <w:tcW w:w="116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3060" w:type="dxa"/>
            <w:vAlign w:val="bottom"/>
          </w:tcPr>
          <w:p>
            <w:pPr>
              <w:spacing w:after="0"/>
              <w:rPr>
                <w:sz w:val="20"/>
                <w:szCs w:val="20"/>
                <w:color w:val="auto"/>
              </w:rPr>
            </w:pPr>
            <w:r>
              <w:rPr>
                <w:rFonts w:ascii="Arial" w:cs="Arial" w:eastAsia="Arial" w:hAnsi="Arial"/>
                <w:sz w:val="13"/>
                <w:szCs w:val="13"/>
                <w:color w:val="auto"/>
              </w:rPr>
              <w:t>Vice President of Operations</w:t>
            </w:r>
          </w:p>
        </w:tc>
        <w:tc>
          <w:tcPr>
            <w:tcW w:w="1160" w:type="dxa"/>
            <w:vAlign w:val="bottom"/>
          </w:tcPr>
          <w:p>
            <w:pPr>
              <w:jc w:val="center"/>
              <w:ind w:left="115"/>
              <w:spacing w:after="0"/>
              <w:rPr>
                <w:sz w:val="20"/>
                <w:szCs w:val="20"/>
                <w:color w:val="auto"/>
              </w:rPr>
            </w:pPr>
            <w:r>
              <w:rPr>
                <w:rFonts w:ascii="Arial" w:cs="Arial" w:eastAsia="Arial" w:hAnsi="Arial"/>
                <w:sz w:val="13"/>
                <w:szCs w:val="13"/>
                <w:color w:val="auto"/>
                <w:w w:val="89"/>
              </w:rPr>
              <w:t>2008</w:t>
            </w:r>
          </w:p>
        </w:tc>
        <w:tc>
          <w:tcPr>
            <w:tcW w:w="1020" w:type="dxa"/>
            <w:vAlign w:val="bottom"/>
          </w:tcPr>
          <w:p>
            <w:pPr>
              <w:jc w:val="right"/>
              <w:ind w:right="15"/>
              <w:spacing w:after="0"/>
              <w:rPr>
                <w:sz w:val="20"/>
                <w:szCs w:val="20"/>
                <w:color w:val="auto"/>
              </w:rPr>
            </w:pPr>
            <w:r>
              <w:rPr>
                <w:rFonts w:ascii="Arial" w:cs="Arial" w:eastAsia="Arial" w:hAnsi="Arial"/>
                <w:sz w:val="13"/>
                <w:szCs w:val="13"/>
                <w:color w:val="auto"/>
              </w:rPr>
              <w:t>155,000</w:t>
            </w:r>
          </w:p>
        </w:tc>
        <w:tc>
          <w:tcPr>
            <w:tcW w:w="720" w:type="dxa"/>
            <w:vAlign w:val="bottom"/>
          </w:tcPr>
          <w:p>
            <w:pPr>
              <w:jc w:val="center"/>
              <w:spacing w:after="0"/>
              <w:rPr>
                <w:sz w:val="20"/>
                <w:szCs w:val="20"/>
                <w:color w:val="auto"/>
              </w:rPr>
            </w:pPr>
            <w:r>
              <w:rPr>
                <w:rFonts w:ascii="Arial" w:cs="Arial" w:eastAsia="Arial" w:hAnsi="Arial"/>
                <w:sz w:val="13"/>
                <w:szCs w:val="13"/>
                <w:color w:val="auto"/>
                <w:w w:val="91"/>
              </w:rPr>
              <w:t>-</w:t>
            </w:r>
          </w:p>
        </w:tc>
        <w:tc>
          <w:tcPr>
            <w:tcW w:w="1240" w:type="dxa"/>
            <w:vAlign w:val="bottom"/>
          </w:tcPr>
          <w:p>
            <w:pPr>
              <w:jc w:val="right"/>
              <w:spacing w:after="0"/>
              <w:rPr>
                <w:sz w:val="20"/>
                <w:szCs w:val="20"/>
                <w:color w:val="auto"/>
              </w:rPr>
            </w:pPr>
            <w:r>
              <w:rPr>
                <w:rFonts w:ascii="Arial" w:cs="Arial" w:eastAsia="Arial" w:hAnsi="Arial"/>
                <w:sz w:val="13"/>
                <w:szCs w:val="13"/>
                <w:color w:val="auto"/>
              </w:rPr>
              <w:t>82,492</w:t>
            </w:r>
          </w:p>
        </w:tc>
        <w:tc>
          <w:tcPr>
            <w:tcW w:w="1900" w:type="dxa"/>
            <w:vAlign w:val="bottom"/>
          </w:tcPr>
          <w:p>
            <w:pPr>
              <w:jc w:val="right"/>
              <w:ind w:right="295"/>
              <w:spacing w:after="0"/>
              <w:rPr>
                <w:sz w:val="20"/>
                <w:szCs w:val="20"/>
                <w:color w:val="auto"/>
              </w:rPr>
            </w:pPr>
            <w:r>
              <w:rPr>
                <w:rFonts w:ascii="Arial" w:cs="Arial" w:eastAsia="Arial" w:hAnsi="Arial"/>
                <w:sz w:val="13"/>
                <w:szCs w:val="13"/>
                <w:color w:val="auto"/>
              </w:rPr>
              <w:t>48,238</w:t>
            </w:r>
          </w:p>
        </w:tc>
        <w:tc>
          <w:tcPr>
            <w:tcW w:w="1400" w:type="dxa"/>
            <w:vAlign w:val="bottom"/>
          </w:tcPr>
          <w:p>
            <w:pPr>
              <w:jc w:val="right"/>
              <w:ind w:right="115"/>
              <w:spacing w:after="0"/>
              <w:rPr>
                <w:sz w:val="20"/>
                <w:szCs w:val="20"/>
                <w:color w:val="auto"/>
              </w:rPr>
            </w:pPr>
            <w:r>
              <w:rPr>
                <w:rFonts w:ascii="Arial" w:cs="Arial" w:eastAsia="Arial" w:hAnsi="Arial"/>
                <w:sz w:val="13"/>
                <w:szCs w:val="13"/>
                <w:color w:val="auto"/>
              </w:rPr>
              <w:t>-</w:t>
            </w:r>
          </w:p>
        </w:tc>
        <w:tc>
          <w:tcPr>
            <w:tcW w:w="980" w:type="dxa"/>
            <w:vAlign w:val="bottom"/>
          </w:tcPr>
          <w:p>
            <w:pPr>
              <w:jc w:val="right"/>
              <w:spacing w:after="0"/>
              <w:rPr>
                <w:sz w:val="20"/>
                <w:szCs w:val="20"/>
                <w:color w:val="auto"/>
              </w:rPr>
            </w:pPr>
            <w:r>
              <w:rPr>
                <w:rFonts w:ascii="Arial" w:cs="Arial" w:eastAsia="Arial" w:hAnsi="Arial"/>
                <w:sz w:val="13"/>
                <w:szCs w:val="13"/>
                <w:color w:val="auto"/>
              </w:rPr>
              <w:t>285,730</w:t>
            </w:r>
          </w:p>
        </w:tc>
        <w:tc>
          <w:tcPr>
            <w:tcW w:w="0" w:type="dxa"/>
            <w:vAlign w:val="bottom"/>
          </w:tcPr>
          <w:p>
            <w:pPr>
              <w:spacing w:after="0"/>
              <w:rPr>
                <w:sz w:val="1"/>
                <w:szCs w:val="1"/>
                <w:color w:val="auto"/>
              </w:rPr>
            </w:pPr>
          </w:p>
        </w:tc>
      </w:tr>
      <w:tr>
        <w:trPr>
          <w:trHeight w:val="164"/>
        </w:trPr>
        <w:tc>
          <w:tcPr>
            <w:tcW w:w="3060" w:type="dxa"/>
            <w:vAlign w:val="bottom"/>
            <w:vMerge w:val="restart"/>
          </w:tcPr>
          <w:p>
            <w:pPr>
              <w:spacing w:after="0"/>
              <w:rPr>
                <w:sz w:val="20"/>
                <w:szCs w:val="20"/>
                <w:color w:val="auto"/>
              </w:rPr>
            </w:pPr>
            <w:r>
              <w:rPr>
                <w:rFonts w:ascii="Arial" w:cs="Arial" w:eastAsia="Arial" w:hAnsi="Arial"/>
                <w:sz w:val="13"/>
                <w:szCs w:val="13"/>
                <w:color w:val="auto"/>
              </w:rPr>
              <w:t>Steven P. Andresen</w:t>
            </w:r>
          </w:p>
        </w:tc>
        <w:tc>
          <w:tcPr>
            <w:tcW w:w="1160" w:type="dxa"/>
            <w:vAlign w:val="bottom"/>
          </w:tcPr>
          <w:p>
            <w:pPr>
              <w:jc w:val="center"/>
              <w:ind w:left="115"/>
              <w:spacing w:after="0"/>
              <w:rPr>
                <w:sz w:val="20"/>
                <w:szCs w:val="20"/>
                <w:color w:val="auto"/>
              </w:rPr>
            </w:pPr>
            <w:r>
              <w:rPr>
                <w:rFonts w:ascii="Arial" w:cs="Arial" w:eastAsia="Arial" w:hAnsi="Arial"/>
                <w:sz w:val="13"/>
                <w:szCs w:val="13"/>
                <w:color w:val="auto"/>
                <w:w w:val="89"/>
              </w:rPr>
              <w:t>2007</w:t>
            </w:r>
          </w:p>
        </w:tc>
        <w:tc>
          <w:tcPr>
            <w:tcW w:w="1020" w:type="dxa"/>
            <w:vAlign w:val="bottom"/>
          </w:tcPr>
          <w:p>
            <w:pPr>
              <w:jc w:val="right"/>
              <w:ind w:right="15"/>
              <w:spacing w:after="0"/>
              <w:rPr>
                <w:sz w:val="20"/>
                <w:szCs w:val="20"/>
                <w:color w:val="auto"/>
              </w:rPr>
            </w:pPr>
            <w:r>
              <w:rPr>
                <w:rFonts w:ascii="Arial" w:cs="Arial" w:eastAsia="Arial" w:hAnsi="Arial"/>
                <w:sz w:val="13"/>
                <w:szCs w:val="13"/>
                <w:color w:val="auto"/>
              </w:rPr>
              <w:t>133,558</w:t>
            </w:r>
          </w:p>
        </w:tc>
        <w:tc>
          <w:tcPr>
            <w:tcW w:w="720" w:type="dxa"/>
            <w:vAlign w:val="bottom"/>
          </w:tcPr>
          <w:p>
            <w:pPr>
              <w:jc w:val="center"/>
              <w:spacing w:after="0"/>
              <w:rPr>
                <w:sz w:val="20"/>
                <w:szCs w:val="20"/>
                <w:color w:val="auto"/>
              </w:rPr>
            </w:pPr>
            <w:r>
              <w:rPr>
                <w:rFonts w:ascii="Arial" w:cs="Arial" w:eastAsia="Arial" w:hAnsi="Arial"/>
                <w:sz w:val="13"/>
                <w:szCs w:val="13"/>
                <w:color w:val="auto"/>
                <w:w w:val="91"/>
              </w:rPr>
              <w:t>-</w:t>
            </w:r>
          </w:p>
        </w:tc>
        <w:tc>
          <w:tcPr>
            <w:tcW w:w="1240" w:type="dxa"/>
            <w:vAlign w:val="bottom"/>
          </w:tcPr>
          <w:p>
            <w:pPr>
              <w:jc w:val="right"/>
              <w:spacing w:after="0"/>
              <w:rPr>
                <w:sz w:val="20"/>
                <w:szCs w:val="20"/>
                <w:color w:val="auto"/>
              </w:rPr>
            </w:pPr>
            <w:r>
              <w:rPr>
                <w:rFonts w:ascii="Arial" w:cs="Arial" w:eastAsia="Arial" w:hAnsi="Arial"/>
                <w:sz w:val="13"/>
                <w:szCs w:val="13"/>
                <w:color w:val="auto"/>
              </w:rPr>
              <w:t>28,738</w:t>
            </w:r>
          </w:p>
        </w:tc>
        <w:tc>
          <w:tcPr>
            <w:tcW w:w="1900" w:type="dxa"/>
            <w:vAlign w:val="bottom"/>
          </w:tcPr>
          <w:p>
            <w:pPr>
              <w:jc w:val="right"/>
              <w:ind w:right="295"/>
              <w:spacing w:after="0"/>
              <w:rPr>
                <w:sz w:val="20"/>
                <w:szCs w:val="20"/>
                <w:color w:val="auto"/>
              </w:rPr>
            </w:pPr>
            <w:r>
              <w:rPr>
                <w:rFonts w:ascii="Arial" w:cs="Arial" w:eastAsia="Arial" w:hAnsi="Arial"/>
                <w:sz w:val="13"/>
                <w:szCs w:val="13"/>
                <w:color w:val="auto"/>
              </w:rPr>
              <w:t>32,500</w:t>
            </w:r>
          </w:p>
        </w:tc>
        <w:tc>
          <w:tcPr>
            <w:tcW w:w="1400" w:type="dxa"/>
            <w:vAlign w:val="bottom"/>
          </w:tcPr>
          <w:p>
            <w:pPr>
              <w:jc w:val="right"/>
              <w:ind w:right="115"/>
              <w:spacing w:after="0"/>
              <w:rPr>
                <w:sz w:val="20"/>
                <w:szCs w:val="20"/>
                <w:color w:val="auto"/>
              </w:rPr>
            </w:pPr>
            <w:r>
              <w:rPr>
                <w:rFonts w:ascii="Arial" w:cs="Arial" w:eastAsia="Arial" w:hAnsi="Arial"/>
                <w:sz w:val="13"/>
                <w:szCs w:val="13"/>
                <w:color w:val="auto"/>
              </w:rPr>
              <w:t>38,123</w:t>
            </w:r>
          </w:p>
        </w:tc>
        <w:tc>
          <w:tcPr>
            <w:tcW w:w="980" w:type="dxa"/>
            <w:vAlign w:val="bottom"/>
          </w:tcPr>
          <w:p>
            <w:pPr>
              <w:jc w:val="right"/>
              <w:spacing w:after="0"/>
              <w:rPr>
                <w:sz w:val="20"/>
                <w:szCs w:val="20"/>
                <w:color w:val="auto"/>
              </w:rPr>
            </w:pPr>
            <w:r>
              <w:rPr>
                <w:rFonts w:ascii="Arial" w:cs="Arial" w:eastAsia="Arial" w:hAnsi="Arial"/>
                <w:sz w:val="13"/>
                <w:szCs w:val="13"/>
                <w:color w:val="auto"/>
              </w:rPr>
              <w:t>232,919</w:t>
            </w:r>
          </w:p>
        </w:tc>
        <w:tc>
          <w:tcPr>
            <w:tcW w:w="0" w:type="dxa"/>
            <w:vAlign w:val="bottom"/>
          </w:tcPr>
          <w:p>
            <w:pPr>
              <w:spacing w:after="0"/>
              <w:rPr>
                <w:sz w:val="1"/>
                <w:szCs w:val="1"/>
                <w:color w:val="auto"/>
              </w:rPr>
            </w:pPr>
          </w:p>
        </w:tc>
      </w:tr>
      <w:tr>
        <w:trPr>
          <w:trHeight w:val="148"/>
        </w:trPr>
        <w:tc>
          <w:tcPr>
            <w:tcW w:w="3060" w:type="dxa"/>
            <w:vAlign w:val="bottom"/>
            <w:vMerge w:val="continue"/>
          </w:tcPr>
          <w:p>
            <w:pPr>
              <w:spacing w:after="0"/>
              <w:rPr>
                <w:sz w:val="12"/>
                <w:szCs w:val="12"/>
                <w:color w:val="auto"/>
              </w:rPr>
            </w:pPr>
          </w:p>
        </w:tc>
        <w:tc>
          <w:tcPr>
            <w:tcW w:w="116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3060" w:type="dxa"/>
            <w:vAlign w:val="bottom"/>
          </w:tcPr>
          <w:p>
            <w:pPr>
              <w:spacing w:after="0"/>
              <w:rPr>
                <w:sz w:val="20"/>
                <w:szCs w:val="20"/>
                <w:color w:val="auto"/>
              </w:rPr>
            </w:pPr>
            <w:r>
              <w:rPr>
                <w:rFonts w:ascii="Arial" w:cs="Arial" w:eastAsia="Arial" w:hAnsi="Arial"/>
                <w:sz w:val="13"/>
                <w:szCs w:val="13"/>
                <w:color w:val="auto"/>
              </w:rPr>
              <w:t>Former Vice President of Worldwide Sales (6)</w:t>
            </w:r>
          </w:p>
        </w:tc>
        <w:tc>
          <w:tcPr>
            <w:tcW w:w="1160" w:type="dxa"/>
            <w:vAlign w:val="bottom"/>
          </w:tcPr>
          <w:p>
            <w:pPr>
              <w:jc w:val="center"/>
              <w:ind w:left="115"/>
              <w:spacing w:after="0"/>
              <w:rPr>
                <w:sz w:val="20"/>
                <w:szCs w:val="20"/>
                <w:color w:val="auto"/>
              </w:rPr>
            </w:pPr>
            <w:r>
              <w:rPr>
                <w:rFonts w:ascii="Arial" w:cs="Arial" w:eastAsia="Arial" w:hAnsi="Arial"/>
                <w:sz w:val="13"/>
                <w:szCs w:val="13"/>
                <w:color w:val="auto"/>
                <w:w w:val="89"/>
              </w:rPr>
              <w:t>2008</w:t>
            </w:r>
          </w:p>
        </w:tc>
        <w:tc>
          <w:tcPr>
            <w:tcW w:w="1020" w:type="dxa"/>
            <w:vAlign w:val="bottom"/>
          </w:tcPr>
          <w:p>
            <w:pPr>
              <w:jc w:val="right"/>
              <w:ind w:right="15"/>
              <w:spacing w:after="0"/>
              <w:rPr>
                <w:sz w:val="20"/>
                <w:szCs w:val="20"/>
                <w:color w:val="auto"/>
              </w:rPr>
            </w:pPr>
            <w:r>
              <w:rPr>
                <w:rFonts w:ascii="Arial" w:cs="Arial" w:eastAsia="Arial" w:hAnsi="Arial"/>
                <w:sz w:val="13"/>
                <w:szCs w:val="13"/>
                <w:color w:val="auto"/>
              </w:rPr>
              <w:t>98,973</w:t>
            </w:r>
          </w:p>
        </w:tc>
        <w:tc>
          <w:tcPr>
            <w:tcW w:w="720" w:type="dxa"/>
            <w:vAlign w:val="bottom"/>
          </w:tcPr>
          <w:p>
            <w:pPr>
              <w:jc w:val="center"/>
              <w:spacing w:after="0"/>
              <w:rPr>
                <w:sz w:val="20"/>
                <w:szCs w:val="20"/>
                <w:color w:val="auto"/>
              </w:rPr>
            </w:pPr>
            <w:r>
              <w:rPr>
                <w:rFonts w:ascii="Arial" w:cs="Arial" w:eastAsia="Arial" w:hAnsi="Arial"/>
                <w:sz w:val="13"/>
                <w:szCs w:val="13"/>
                <w:color w:val="auto"/>
                <w:w w:val="91"/>
              </w:rPr>
              <w:t>-</w:t>
            </w:r>
          </w:p>
        </w:tc>
        <w:tc>
          <w:tcPr>
            <w:tcW w:w="1240" w:type="dxa"/>
            <w:vAlign w:val="bottom"/>
          </w:tcPr>
          <w:p>
            <w:pPr>
              <w:jc w:val="right"/>
              <w:spacing w:after="0"/>
              <w:rPr>
                <w:sz w:val="20"/>
                <w:szCs w:val="20"/>
                <w:color w:val="auto"/>
              </w:rPr>
            </w:pPr>
            <w:r>
              <w:rPr>
                <w:rFonts w:ascii="Arial" w:cs="Arial" w:eastAsia="Arial" w:hAnsi="Arial"/>
                <w:sz w:val="13"/>
                <w:szCs w:val="13"/>
                <w:color w:val="auto"/>
              </w:rPr>
              <w:t>57,124</w:t>
            </w:r>
          </w:p>
        </w:tc>
        <w:tc>
          <w:tcPr>
            <w:tcW w:w="1900" w:type="dxa"/>
            <w:vAlign w:val="bottom"/>
          </w:tcPr>
          <w:p>
            <w:pPr>
              <w:jc w:val="right"/>
              <w:ind w:right="295"/>
              <w:spacing w:after="0"/>
              <w:rPr>
                <w:sz w:val="20"/>
                <w:szCs w:val="20"/>
                <w:color w:val="auto"/>
              </w:rPr>
            </w:pPr>
            <w:r>
              <w:rPr>
                <w:rFonts w:ascii="Arial" w:cs="Arial" w:eastAsia="Arial" w:hAnsi="Arial"/>
                <w:sz w:val="13"/>
                <w:szCs w:val="13"/>
                <w:color w:val="auto"/>
              </w:rPr>
              <w:t>32,441</w:t>
            </w:r>
          </w:p>
        </w:tc>
        <w:tc>
          <w:tcPr>
            <w:tcW w:w="1400" w:type="dxa"/>
            <w:vAlign w:val="bottom"/>
          </w:tcPr>
          <w:p>
            <w:pPr>
              <w:jc w:val="right"/>
              <w:ind w:right="115"/>
              <w:spacing w:after="0"/>
              <w:rPr>
                <w:sz w:val="20"/>
                <w:szCs w:val="20"/>
                <w:color w:val="auto"/>
              </w:rPr>
            </w:pPr>
            <w:r>
              <w:rPr>
                <w:rFonts w:ascii="Arial" w:cs="Arial" w:eastAsia="Arial" w:hAnsi="Arial"/>
                <w:sz w:val="13"/>
                <w:szCs w:val="13"/>
                <w:color w:val="auto"/>
              </w:rPr>
              <w:t>3,285</w:t>
            </w:r>
          </w:p>
        </w:tc>
        <w:tc>
          <w:tcPr>
            <w:tcW w:w="980" w:type="dxa"/>
            <w:vAlign w:val="bottom"/>
          </w:tcPr>
          <w:p>
            <w:pPr>
              <w:jc w:val="right"/>
              <w:spacing w:after="0"/>
              <w:rPr>
                <w:sz w:val="20"/>
                <w:szCs w:val="20"/>
                <w:color w:val="auto"/>
              </w:rPr>
            </w:pPr>
            <w:r>
              <w:rPr>
                <w:rFonts w:ascii="Arial" w:cs="Arial" w:eastAsia="Arial" w:hAnsi="Arial"/>
                <w:sz w:val="13"/>
                <w:szCs w:val="13"/>
                <w:color w:val="auto"/>
              </w:rPr>
              <w:t>191,823</w:t>
            </w:r>
          </w:p>
        </w:tc>
        <w:tc>
          <w:tcPr>
            <w:tcW w:w="0" w:type="dxa"/>
            <w:vAlign w:val="bottom"/>
          </w:tcPr>
          <w:p>
            <w:pPr>
              <w:spacing w:after="0"/>
              <w:rPr>
                <w:sz w:val="1"/>
                <w:szCs w:val="1"/>
                <w:color w:val="auto"/>
              </w:rPr>
            </w:pPr>
          </w:p>
        </w:tc>
      </w:tr>
      <w:tr>
        <w:trPr>
          <w:trHeight w:val="164"/>
        </w:trPr>
        <w:tc>
          <w:tcPr>
            <w:tcW w:w="3060" w:type="dxa"/>
            <w:vAlign w:val="bottom"/>
            <w:vMerge w:val="restart"/>
          </w:tcPr>
          <w:p>
            <w:pPr>
              <w:ind w:left="40"/>
              <w:spacing w:after="0"/>
              <w:rPr>
                <w:sz w:val="20"/>
                <w:szCs w:val="20"/>
                <w:color w:val="auto"/>
              </w:rPr>
            </w:pPr>
            <w:r>
              <w:rPr>
                <w:rFonts w:ascii="Arial" w:cs="Arial" w:eastAsia="Arial" w:hAnsi="Arial"/>
                <w:sz w:val="13"/>
                <w:szCs w:val="13"/>
                <w:color w:val="auto"/>
              </w:rPr>
              <w:t>_______________</w:t>
            </w:r>
          </w:p>
        </w:tc>
        <w:tc>
          <w:tcPr>
            <w:tcW w:w="1160" w:type="dxa"/>
            <w:vAlign w:val="bottom"/>
          </w:tcPr>
          <w:p>
            <w:pPr>
              <w:jc w:val="center"/>
              <w:ind w:left="115"/>
              <w:spacing w:after="0"/>
              <w:rPr>
                <w:sz w:val="20"/>
                <w:szCs w:val="20"/>
                <w:color w:val="auto"/>
              </w:rPr>
            </w:pPr>
            <w:r>
              <w:rPr>
                <w:rFonts w:ascii="Arial" w:cs="Arial" w:eastAsia="Arial" w:hAnsi="Arial"/>
                <w:sz w:val="13"/>
                <w:szCs w:val="13"/>
                <w:color w:val="auto"/>
                <w:w w:val="89"/>
              </w:rPr>
              <w:t>2007</w:t>
            </w:r>
          </w:p>
        </w:tc>
        <w:tc>
          <w:tcPr>
            <w:tcW w:w="1020" w:type="dxa"/>
            <w:vAlign w:val="bottom"/>
          </w:tcPr>
          <w:p>
            <w:pPr>
              <w:jc w:val="right"/>
              <w:ind w:right="15"/>
              <w:spacing w:after="0"/>
              <w:rPr>
                <w:sz w:val="20"/>
                <w:szCs w:val="20"/>
                <w:color w:val="auto"/>
              </w:rPr>
            </w:pPr>
            <w:r>
              <w:rPr>
                <w:rFonts w:ascii="Arial" w:cs="Arial" w:eastAsia="Arial" w:hAnsi="Arial"/>
                <w:sz w:val="13"/>
                <w:szCs w:val="13"/>
                <w:color w:val="auto"/>
              </w:rPr>
              <w:t>63,538</w:t>
            </w:r>
          </w:p>
        </w:tc>
        <w:tc>
          <w:tcPr>
            <w:tcW w:w="720" w:type="dxa"/>
            <w:vAlign w:val="bottom"/>
          </w:tcPr>
          <w:p>
            <w:pPr>
              <w:jc w:val="center"/>
              <w:spacing w:after="0"/>
              <w:rPr>
                <w:sz w:val="20"/>
                <w:szCs w:val="20"/>
                <w:color w:val="auto"/>
              </w:rPr>
            </w:pPr>
            <w:r>
              <w:rPr>
                <w:rFonts w:ascii="Arial" w:cs="Arial" w:eastAsia="Arial" w:hAnsi="Arial"/>
                <w:sz w:val="13"/>
                <w:szCs w:val="13"/>
                <w:color w:val="auto"/>
                <w:w w:val="91"/>
              </w:rPr>
              <w:t>-</w:t>
            </w:r>
          </w:p>
        </w:tc>
        <w:tc>
          <w:tcPr>
            <w:tcW w:w="1240" w:type="dxa"/>
            <w:vAlign w:val="bottom"/>
          </w:tcPr>
          <w:p>
            <w:pPr>
              <w:jc w:val="right"/>
              <w:spacing w:after="0"/>
              <w:rPr>
                <w:sz w:val="20"/>
                <w:szCs w:val="20"/>
                <w:color w:val="auto"/>
              </w:rPr>
            </w:pPr>
            <w:r>
              <w:rPr>
                <w:rFonts w:ascii="Arial" w:cs="Arial" w:eastAsia="Arial" w:hAnsi="Arial"/>
                <w:sz w:val="13"/>
                <w:szCs w:val="13"/>
                <w:color w:val="auto"/>
              </w:rPr>
              <w:t>19,108</w:t>
            </w:r>
          </w:p>
        </w:tc>
        <w:tc>
          <w:tcPr>
            <w:tcW w:w="1900" w:type="dxa"/>
            <w:vAlign w:val="bottom"/>
          </w:tcPr>
          <w:p>
            <w:pPr>
              <w:jc w:val="right"/>
              <w:ind w:right="295"/>
              <w:spacing w:after="0"/>
              <w:rPr>
                <w:sz w:val="20"/>
                <w:szCs w:val="20"/>
                <w:color w:val="auto"/>
              </w:rPr>
            </w:pPr>
            <w:r>
              <w:rPr>
                <w:rFonts w:ascii="Arial" w:cs="Arial" w:eastAsia="Arial" w:hAnsi="Arial"/>
                <w:sz w:val="13"/>
                <w:szCs w:val="13"/>
                <w:color w:val="auto"/>
              </w:rPr>
              <w:t>15,961</w:t>
            </w:r>
          </w:p>
        </w:tc>
        <w:tc>
          <w:tcPr>
            <w:tcW w:w="1400" w:type="dxa"/>
            <w:vAlign w:val="bottom"/>
          </w:tcPr>
          <w:p>
            <w:pPr>
              <w:jc w:val="right"/>
              <w:ind w:right="115"/>
              <w:spacing w:after="0"/>
              <w:rPr>
                <w:sz w:val="20"/>
                <w:szCs w:val="20"/>
                <w:color w:val="auto"/>
              </w:rPr>
            </w:pPr>
            <w:r>
              <w:rPr>
                <w:rFonts w:ascii="Arial" w:cs="Arial" w:eastAsia="Arial" w:hAnsi="Arial"/>
                <w:sz w:val="13"/>
                <w:szCs w:val="13"/>
                <w:color w:val="auto"/>
              </w:rPr>
              <w:t>17,631</w:t>
            </w:r>
          </w:p>
        </w:tc>
        <w:tc>
          <w:tcPr>
            <w:tcW w:w="980" w:type="dxa"/>
            <w:vAlign w:val="bottom"/>
          </w:tcPr>
          <w:p>
            <w:pPr>
              <w:jc w:val="right"/>
              <w:spacing w:after="0"/>
              <w:rPr>
                <w:sz w:val="20"/>
                <w:szCs w:val="20"/>
                <w:color w:val="auto"/>
              </w:rPr>
            </w:pPr>
            <w:r>
              <w:rPr>
                <w:rFonts w:ascii="Arial" w:cs="Arial" w:eastAsia="Arial" w:hAnsi="Arial"/>
                <w:sz w:val="13"/>
                <w:szCs w:val="13"/>
                <w:color w:val="auto"/>
              </w:rPr>
              <w:t>116,238</w:t>
            </w:r>
          </w:p>
        </w:tc>
        <w:tc>
          <w:tcPr>
            <w:tcW w:w="0" w:type="dxa"/>
            <w:vAlign w:val="bottom"/>
          </w:tcPr>
          <w:p>
            <w:pPr>
              <w:spacing w:after="0"/>
              <w:rPr>
                <w:sz w:val="1"/>
                <w:szCs w:val="1"/>
                <w:color w:val="auto"/>
              </w:rPr>
            </w:pPr>
          </w:p>
        </w:tc>
      </w:tr>
      <w:tr>
        <w:trPr>
          <w:trHeight w:val="156"/>
        </w:trPr>
        <w:tc>
          <w:tcPr>
            <w:tcW w:w="3060" w:type="dxa"/>
            <w:vAlign w:val="bottom"/>
            <w:vMerge w:val="continue"/>
          </w:tcPr>
          <w:p>
            <w:pPr>
              <w:spacing w:after="0"/>
              <w:rPr>
                <w:sz w:val="13"/>
                <w:szCs w:val="13"/>
                <w:color w:val="auto"/>
              </w:rPr>
            </w:pPr>
          </w:p>
        </w:tc>
        <w:tc>
          <w:tcPr>
            <w:tcW w:w="116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90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167" w:lineRule="exact"/>
        <w:rPr>
          <w:sz w:val="20"/>
          <w:szCs w:val="20"/>
          <w:color w:val="auto"/>
        </w:rPr>
      </w:pPr>
    </w:p>
    <w:p>
      <w:pPr>
        <w:jc w:val="both"/>
        <w:ind w:left="462" w:right="20" w:hanging="462"/>
        <w:spacing w:after="0" w:line="330" w:lineRule="auto"/>
        <w:tabs>
          <w:tab w:leader="none" w:pos="462" w:val="left"/>
        </w:tabs>
        <w:numPr>
          <w:ilvl w:val="0"/>
          <w:numId w:val="8"/>
        </w:numPr>
        <w:rPr>
          <w:rFonts w:ascii="Arial" w:cs="Arial" w:eastAsia="Arial" w:hAnsi="Arial"/>
          <w:sz w:val="11"/>
          <w:szCs w:val="11"/>
          <w:color w:val="auto"/>
        </w:rPr>
      </w:pPr>
      <w:r>
        <w:rPr>
          <w:rFonts w:ascii="Arial" w:cs="Arial" w:eastAsia="Arial" w:hAnsi="Arial"/>
          <w:sz w:val="11"/>
          <w:szCs w:val="11"/>
          <w:color w:val="auto"/>
        </w:rPr>
        <w:t>The amounts in the “Option Awards” column reflect the dollar amount recognized for financial statement reporting purposes for the fiscal years ended June 30, 2008 and 2007, in accordance with SFAS 123(R) of awards of stock options granted pursuant to our long-term incentive plans, and thus may include amounts from awards granted in and prior to each reported fiscal year. Assumptions used in the calculation of these amounts are included in footnotes to our audited financial statements for the year ended June 30, 2008, included in our Annual Report on Form 10-K filed with the Securities and Exchange Commission.</w:t>
      </w:r>
    </w:p>
    <w:p>
      <w:pPr>
        <w:spacing w:after="0" w:line="121" w:lineRule="exact"/>
        <w:rPr>
          <w:rFonts w:ascii="Arial" w:cs="Arial" w:eastAsia="Arial" w:hAnsi="Arial"/>
          <w:sz w:val="11"/>
          <w:szCs w:val="11"/>
          <w:color w:val="auto"/>
        </w:rPr>
      </w:pPr>
    </w:p>
    <w:p>
      <w:pPr>
        <w:ind w:left="462" w:hanging="462"/>
        <w:spacing w:after="0"/>
        <w:tabs>
          <w:tab w:leader="none" w:pos="462" w:val="left"/>
        </w:tabs>
        <w:numPr>
          <w:ilvl w:val="0"/>
          <w:numId w:val="8"/>
        </w:numPr>
        <w:rPr>
          <w:rFonts w:ascii="Arial" w:cs="Arial" w:eastAsia="Arial" w:hAnsi="Arial"/>
          <w:sz w:val="13"/>
          <w:szCs w:val="13"/>
          <w:color w:val="auto"/>
        </w:rPr>
      </w:pPr>
      <w:r>
        <w:rPr>
          <w:rFonts w:ascii="Arial" w:cs="Arial" w:eastAsia="Arial" w:hAnsi="Arial"/>
          <w:sz w:val="13"/>
          <w:szCs w:val="13"/>
          <w:color w:val="auto"/>
        </w:rPr>
        <w:t>The amounts in the “Non-Equity Incentive Plan Compensation” column reflect incentive bonuses based on pre-established performance criteria.</w:t>
      </w:r>
    </w:p>
    <w:p>
      <w:pPr>
        <w:spacing w:after="0" w:line="181" w:lineRule="exact"/>
        <w:rPr>
          <w:rFonts w:ascii="Arial" w:cs="Arial" w:eastAsia="Arial" w:hAnsi="Arial"/>
          <w:sz w:val="13"/>
          <w:szCs w:val="13"/>
          <w:color w:val="auto"/>
        </w:rPr>
      </w:pPr>
    </w:p>
    <w:p>
      <w:pPr>
        <w:jc w:val="both"/>
        <w:ind w:left="462" w:right="20" w:hanging="462"/>
        <w:spacing w:after="0" w:line="285" w:lineRule="auto"/>
        <w:tabs>
          <w:tab w:leader="none" w:pos="462" w:val="left"/>
        </w:tabs>
        <w:numPr>
          <w:ilvl w:val="0"/>
          <w:numId w:val="8"/>
        </w:numPr>
        <w:rPr>
          <w:rFonts w:ascii="Arial" w:cs="Arial" w:eastAsia="Arial" w:hAnsi="Arial"/>
          <w:sz w:val="12"/>
          <w:szCs w:val="12"/>
          <w:color w:val="auto"/>
        </w:rPr>
      </w:pPr>
      <w:r>
        <w:rPr>
          <w:rFonts w:ascii="Arial" w:cs="Arial" w:eastAsia="Arial" w:hAnsi="Arial"/>
          <w:sz w:val="12"/>
          <w:szCs w:val="12"/>
          <w:color w:val="auto"/>
        </w:rPr>
        <w:t>The amounts in the “All Other Compensation” column reflect our 401(k) and the value of Employee Stock Purchase Plan, or ESPP, matching contributions as follows. Ms. Hakimoglu’s 401(k) matching contribution of $5,055 during 2008 and $3,724 during 2007; ESPP matching contribution of $2,212 during 2008 and $1,291 during 2007. Mr. LeClaire’s 401(k) matching contribution of $5,096 during 2008 and $3,458 during 2007 as well as relocation of $15,000 during 2007; ESPP matching contribution of $1,648 during 2008 and $723 during 2007. Mr. Bathurst’s 401(k) matching contribution of $4,442 during 2008 and $3,891 during 2007. Mr. Andresen’s 401(k) matching contribution of $3,285 during 2008 and $1,216 during 2007 as well as relocation of $16,415 during 2007.</w:t>
      </w:r>
    </w:p>
    <w:p>
      <w:pPr>
        <w:spacing w:after="0" w:line="143" w:lineRule="exact"/>
        <w:rPr>
          <w:rFonts w:ascii="Arial" w:cs="Arial" w:eastAsia="Arial" w:hAnsi="Arial"/>
          <w:sz w:val="12"/>
          <w:szCs w:val="12"/>
          <w:color w:val="auto"/>
        </w:rPr>
      </w:pPr>
    </w:p>
    <w:p>
      <w:pPr>
        <w:ind w:left="462" w:hanging="462"/>
        <w:spacing w:after="0"/>
        <w:tabs>
          <w:tab w:leader="none" w:pos="462" w:val="left"/>
        </w:tabs>
        <w:numPr>
          <w:ilvl w:val="0"/>
          <w:numId w:val="8"/>
        </w:numPr>
        <w:rPr>
          <w:rFonts w:ascii="Arial" w:cs="Arial" w:eastAsia="Arial" w:hAnsi="Arial"/>
          <w:sz w:val="13"/>
          <w:szCs w:val="13"/>
          <w:color w:val="auto"/>
        </w:rPr>
      </w:pPr>
      <w:r>
        <w:rPr>
          <w:rFonts w:ascii="Arial" w:cs="Arial" w:eastAsia="Arial" w:hAnsi="Arial"/>
          <w:sz w:val="13"/>
          <w:szCs w:val="13"/>
          <w:color w:val="auto"/>
        </w:rPr>
        <w:t>Mr. LeClaire was named our Chief Financial Officer in January 2008. He formerly served as our Vice President of Finance.</w:t>
      </w:r>
    </w:p>
    <w:p>
      <w:pPr>
        <w:spacing w:after="0" w:line="181" w:lineRule="exact"/>
        <w:rPr>
          <w:rFonts w:ascii="Arial" w:cs="Arial" w:eastAsia="Arial" w:hAnsi="Arial"/>
          <w:sz w:val="13"/>
          <w:szCs w:val="13"/>
          <w:color w:val="auto"/>
        </w:rPr>
      </w:pPr>
    </w:p>
    <w:p>
      <w:pPr>
        <w:ind w:left="462" w:hanging="462"/>
        <w:spacing w:after="0"/>
        <w:tabs>
          <w:tab w:leader="none" w:pos="462" w:val="left"/>
        </w:tabs>
        <w:numPr>
          <w:ilvl w:val="0"/>
          <w:numId w:val="8"/>
        </w:numPr>
        <w:rPr>
          <w:rFonts w:ascii="Arial" w:cs="Arial" w:eastAsia="Arial" w:hAnsi="Arial"/>
          <w:sz w:val="13"/>
          <w:szCs w:val="13"/>
          <w:color w:val="auto"/>
        </w:rPr>
      </w:pPr>
      <w:r>
        <w:rPr>
          <w:rFonts w:ascii="Arial" w:cs="Arial" w:eastAsia="Arial" w:hAnsi="Arial"/>
          <w:sz w:val="13"/>
          <w:szCs w:val="13"/>
          <w:color w:val="auto"/>
        </w:rPr>
        <w:t>Mr. Fletcher joined our company in July 2008.</w:t>
      </w:r>
    </w:p>
    <w:p>
      <w:pPr>
        <w:spacing w:after="0" w:line="181" w:lineRule="exact"/>
        <w:rPr>
          <w:rFonts w:ascii="Arial" w:cs="Arial" w:eastAsia="Arial" w:hAnsi="Arial"/>
          <w:sz w:val="13"/>
          <w:szCs w:val="13"/>
          <w:color w:val="auto"/>
        </w:rPr>
      </w:pPr>
    </w:p>
    <w:p>
      <w:pPr>
        <w:ind w:left="462" w:hanging="462"/>
        <w:spacing w:after="0"/>
        <w:tabs>
          <w:tab w:leader="none" w:pos="462" w:val="left"/>
        </w:tabs>
        <w:numPr>
          <w:ilvl w:val="0"/>
          <w:numId w:val="8"/>
        </w:numPr>
        <w:rPr>
          <w:rFonts w:ascii="Arial" w:cs="Arial" w:eastAsia="Arial" w:hAnsi="Arial"/>
          <w:sz w:val="13"/>
          <w:szCs w:val="13"/>
          <w:color w:val="auto"/>
        </w:rPr>
      </w:pPr>
      <w:r>
        <w:rPr>
          <w:rFonts w:ascii="Arial" w:cs="Arial" w:eastAsia="Arial" w:hAnsi="Arial"/>
          <w:sz w:val="13"/>
          <w:szCs w:val="13"/>
          <w:color w:val="auto"/>
        </w:rPr>
        <w:t>Mr. Andresen terminated his employment with us during February 2008.</w:t>
      </w:r>
    </w:p>
    <w:p>
      <w:pPr>
        <w:spacing w:after="0" w:line="200" w:lineRule="exact"/>
        <w:rPr>
          <w:sz w:val="20"/>
          <w:szCs w:val="20"/>
          <w:color w:val="auto"/>
        </w:rPr>
      </w:pPr>
    </w:p>
    <w:p>
      <w:pPr>
        <w:spacing w:after="0" w:line="264" w:lineRule="exact"/>
        <w:rPr>
          <w:sz w:val="20"/>
          <w:szCs w:val="20"/>
          <w:color w:val="auto"/>
        </w:rPr>
      </w:pPr>
    </w:p>
    <w:p>
      <w:pPr>
        <w:jc w:val="center"/>
        <w:ind w:right="18"/>
        <w:spacing w:after="0"/>
        <w:rPr>
          <w:sz w:val="20"/>
          <w:szCs w:val="20"/>
          <w:color w:val="auto"/>
        </w:rPr>
      </w:pPr>
      <w:r>
        <w:rPr>
          <w:rFonts w:ascii="Arial" w:cs="Arial" w:eastAsia="Arial" w:hAnsi="Arial"/>
          <w:sz w:val="13"/>
          <w:szCs w:val="13"/>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55880</wp:posOffset>
            </wp:positionV>
            <wp:extent cx="7291070" cy="1905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91070" cy="19050"/>
                    </a:xfrm>
                    <a:prstGeom prst="rect">
                      <a:avLst/>
                    </a:prstGeom>
                    <a:noFill/>
                  </pic:spPr>
                </pic:pic>
              </a:graphicData>
            </a:graphic>
          </wp:anchor>
        </w:drawing>
      </w:r>
    </w:p>
    <w:p>
      <w:pPr>
        <w:sectPr>
          <w:pgSz w:w="11900" w:h="16838" w:orient="portrait"/>
          <w:cols w:equalWidth="0" w:num="1">
            <w:col w:w="11482"/>
          </w:cols>
          <w:pgMar w:left="218" w:top="409" w:right="199" w:bottom="1440" w:gutter="0" w:footer="0" w:header="0"/>
        </w:sectPr>
      </w:pPr>
    </w:p>
    <w:bookmarkStart w:id="12" w:name="page13"/>
    <w:bookmarkEnd w:id="12"/>
    <w:tbl>
      <w:tblPr>
        <w:tblLayout w:type="fixed"/>
        <w:tblInd w:w="2" w:type="dxa"/>
        <w:tblCellMar>
          <w:top w:w="0" w:type="dxa"/>
          <w:left w:w="0" w:type="dxa"/>
          <w:bottom w:w="0" w:type="dxa"/>
          <w:right w:w="0" w:type="dxa"/>
        </w:tblCellMar>
      </w:tblPr>
      <w:tr>
        <w:trPr>
          <w:trHeight w:val="168"/>
        </w:trPr>
        <w:tc>
          <w:tcPr>
            <w:tcW w:w="240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2620" w:type="dxa"/>
            <w:vAlign w:val="bottom"/>
            <w:gridSpan w:val="2"/>
          </w:tcPr>
          <w:p>
            <w:pPr>
              <w:ind w:left="300"/>
              <w:spacing w:after="0"/>
              <w:rPr>
                <w:sz w:val="20"/>
                <w:szCs w:val="20"/>
                <w:color w:val="auto"/>
              </w:rPr>
            </w:pPr>
            <w:r>
              <w:rPr>
                <w:rFonts w:ascii="Arial" w:cs="Arial" w:eastAsia="Arial" w:hAnsi="Arial"/>
                <w:sz w:val="13"/>
                <w:szCs w:val="13"/>
                <w:b w:val="1"/>
                <w:bCs w:val="1"/>
                <w:color w:val="auto"/>
              </w:rPr>
              <w:t>GRANTS OF PLAN-BASED AWARDS</w:t>
            </w:r>
          </w:p>
        </w:tc>
        <w:tc>
          <w:tcPr>
            <w:tcW w:w="162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31"/>
        </w:trPr>
        <w:tc>
          <w:tcPr>
            <w:tcW w:w="9980" w:type="dxa"/>
            <w:vAlign w:val="bottom"/>
            <w:gridSpan w:val="6"/>
          </w:tcPr>
          <w:p>
            <w:pPr>
              <w:ind w:left="460"/>
              <w:spacing w:after="0"/>
              <w:rPr>
                <w:sz w:val="20"/>
                <w:szCs w:val="20"/>
                <w:color w:val="auto"/>
              </w:rPr>
            </w:pPr>
            <w:r>
              <w:rPr>
                <w:rFonts w:ascii="Arial" w:cs="Arial" w:eastAsia="Arial" w:hAnsi="Arial"/>
                <w:sz w:val="13"/>
                <w:szCs w:val="13"/>
                <w:color w:val="auto"/>
                <w:w w:val="92"/>
              </w:rPr>
              <w:t>The following table sets forth information concerning non-equity and equity based plan awards granted to the named executive officers during the fiscal year ended June 30, 2008.</w:t>
            </w:r>
          </w:p>
        </w:tc>
        <w:tc>
          <w:tcPr>
            <w:tcW w:w="1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9"/>
        </w:trPr>
        <w:tc>
          <w:tcPr>
            <w:tcW w:w="240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2620" w:type="dxa"/>
            <w:vAlign w:val="bottom"/>
            <w:gridSpan w:val="2"/>
          </w:tcPr>
          <w:p>
            <w:pPr>
              <w:jc w:val="center"/>
              <w:spacing w:after="0"/>
              <w:rPr>
                <w:sz w:val="20"/>
                <w:szCs w:val="20"/>
                <w:color w:val="auto"/>
              </w:rPr>
            </w:pPr>
            <w:r>
              <w:rPr>
                <w:rFonts w:ascii="Arial" w:cs="Arial" w:eastAsia="Arial" w:hAnsi="Arial"/>
                <w:sz w:val="13"/>
                <w:szCs w:val="13"/>
                <w:b w:val="1"/>
                <w:bCs w:val="1"/>
                <w:color w:val="auto"/>
                <w:w w:val="91"/>
              </w:rPr>
              <w:t>Estimated Future Payouts Under Non-Equity</w:t>
            </w:r>
          </w:p>
        </w:tc>
        <w:tc>
          <w:tcPr>
            <w:tcW w:w="1620" w:type="dxa"/>
            <w:vAlign w:val="bottom"/>
          </w:tcPr>
          <w:p>
            <w:pPr>
              <w:jc w:val="center"/>
              <w:spacing w:after="0"/>
              <w:rPr>
                <w:sz w:val="20"/>
                <w:szCs w:val="20"/>
                <w:color w:val="auto"/>
              </w:rPr>
            </w:pPr>
            <w:r>
              <w:rPr>
                <w:rFonts w:ascii="Arial" w:cs="Arial" w:eastAsia="Arial" w:hAnsi="Arial"/>
                <w:sz w:val="13"/>
                <w:szCs w:val="13"/>
                <w:b w:val="1"/>
                <w:bCs w:val="1"/>
                <w:color w:val="auto"/>
                <w:w w:val="92"/>
              </w:rPr>
              <w:t>All Other Option Awards:</w:t>
            </w:r>
          </w:p>
        </w:tc>
        <w:tc>
          <w:tcPr>
            <w:tcW w:w="1400" w:type="dxa"/>
            <w:vAlign w:val="bottom"/>
          </w:tcPr>
          <w:p>
            <w:pPr>
              <w:spacing w:after="0"/>
              <w:rPr>
                <w:sz w:val="24"/>
                <w:szCs w:val="24"/>
                <w:color w:val="auto"/>
              </w:rPr>
            </w:pPr>
          </w:p>
        </w:tc>
        <w:tc>
          <w:tcPr>
            <w:tcW w:w="1500" w:type="dxa"/>
            <w:vAlign w:val="bottom"/>
          </w:tcPr>
          <w:p>
            <w:pPr>
              <w:jc w:val="center"/>
              <w:spacing w:after="0"/>
              <w:rPr>
                <w:sz w:val="20"/>
                <w:szCs w:val="20"/>
                <w:color w:val="auto"/>
              </w:rPr>
            </w:pPr>
            <w:r>
              <w:rPr>
                <w:rFonts w:ascii="Arial" w:cs="Arial" w:eastAsia="Arial" w:hAnsi="Arial"/>
                <w:sz w:val="13"/>
                <w:szCs w:val="13"/>
                <w:b w:val="1"/>
                <w:bCs w:val="1"/>
                <w:color w:val="auto"/>
                <w:w w:val="94"/>
              </w:rPr>
              <w:t>Grant Date Fair Value of</w:t>
            </w:r>
          </w:p>
        </w:tc>
        <w:tc>
          <w:tcPr>
            <w:tcW w:w="0" w:type="dxa"/>
            <w:vAlign w:val="bottom"/>
          </w:tcPr>
          <w:p>
            <w:pPr>
              <w:spacing w:after="0"/>
              <w:rPr>
                <w:sz w:val="1"/>
                <w:szCs w:val="1"/>
                <w:color w:val="auto"/>
              </w:rPr>
            </w:pPr>
          </w:p>
        </w:tc>
      </w:tr>
      <w:tr>
        <w:trPr>
          <w:trHeight w:val="169"/>
        </w:trPr>
        <w:tc>
          <w:tcPr>
            <w:tcW w:w="240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2620" w:type="dxa"/>
            <w:vAlign w:val="bottom"/>
            <w:tcBorders>
              <w:bottom w:val="single" w:sz="8" w:color="auto"/>
            </w:tcBorders>
            <w:gridSpan w:val="2"/>
          </w:tcPr>
          <w:p>
            <w:pPr>
              <w:jc w:val="center"/>
              <w:spacing w:after="0"/>
              <w:rPr>
                <w:sz w:val="20"/>
                <w:szCs w:val="20"/>
                <w:color w:val="auto"/>
              </w:rPr>
            </w:pPr>
            <w:r>
              <w:rPr>
                <w:rFonts w:ascii="Arial" w:cs="Arial" w:eastAsia="Arial" w:hAnsi="Arial"/>
                <w:sz w:val="13"/>
                <w:szCs w:val="13"/>
                <w:b w:val="1"/>
                <w:bCs w:val="1"/>
                <w:color w:val="auto"/>
                <w:w w:val="91"/>
              </w:rPr>
              <w:t>Incentive Plan Awards</w:t>
            </w:r>
          </w:p>
        </w:tc>
        <w:tc>
          <w:tcPr>
            <w:tcW w:w="1620" w:type="dxa"/>
            <w:vAlign w:val="bottom"/>
          </w:tcPr>
          <w:p>
            <w:pPr>
              <w:jc w:val="center"/>
              <w:spacing w:after="0"/>
              <w:rPr>
                <w:sz w:val="20"/>
                <w:szCs w:val="20"/>
                <w:color w:val="auto"/>
              </w:rPr>
            </w:pPr>
            <w:r>
              <w:rPr>
                <w:rFonts w:ascii="Arial" w:cs="Arial" w:eastAsia="Arial" w:hAnsi="Arial"/>
                <w:sz w:val="13"/>
                <w:szCs w:val="13"/>
                <w:b w:val="1"/>
                <w:bCs w:val="1"/>
                <w:color w:val="auto"/>
                <w:w w:val="88"/>
              </w:rPr>
              <w:t>Number of Securities</w:t>
            </w:r>
          </w:p>
        </w:tc>
        <w:tc>
          <w:tcPr>
            <w:tcW w:w="1400" w:type="dxa"/>
            <w:vAlign w:val="bottom"/>
          </w:tcPr>
          <w:p>
            <w:pPr>
              <w:jc w:val="center"/>
              <w:spacing w:after="0"/>
              <w:rPr>
                <w:sz w:val="20"/>
                <w:szCs w:val="20"/>
                <w:color w:val="auto"/>
              </w:rPr>
            </w:pPr>
            <w:r>
              <w:rPr>
                <w:rFonts w:ascii="Arial" w:cs="Arial" w:eastAsia="Arial" w:hAnsi="Arial"/>
                <w:sz w:val="13"/>
                <w:szCs w:val="13"/>
                <w:b w:val="1"/>
                <w:bCs w:val="1"/>
                <w:color w:val="auto"/>
                <w:w w:val="88"/>
              </w:rPr>
              <w:t>Exercise or Base Price</w:t>
            </w:r>
          </w:p>
        </w:tc>
        <w:tc>
          <w:tcPr>
            <w:tcW w:w="1500" w:type="dxa"/>
            <w:vAlign w:val="bottom"/>
          </w:tcPr>
          <w:p>
            <w:pPr>
              <w:jc w:val="center"/>
              <w:spacing w:after="0"/>
              <w:rPr>
                <w:sz w:val="20"/>
                <w:szCs w:val="20"/>
                <w:color w:val="auto"/>
              </w:rPr>
            </w:pPr>
            <w:r>
              <w:rPr>
                <w:rFonts w:ascii="Arial" w:cs="Arial" w:eastAsia="Arial" w:hAnsi="Arial"/>
                <w:sz w:val="13"/>
                <w:szCs w:val="13"/>
                <w:b w:val="1"/>
                <w:bCs w:val="1"/>
                <w:color w:val="auto"/>
                <w:w w:val="90"/>
              </w:rPr>
              <w:t>Stock and</w:t>
            </w:r>
          </w:p>
        </w:tc>
        <w:tc>
          <w:tcPr>
            <w:tcW w:w="0" w:type="dxa"/>
            <w:vAlign w:val="bottom"/>
          </w:tcPr>
          <w:p>
            <w:pPr>
              <w:spacing w:after="0"/>
              <w:rPr>
                <w:sz w:val="1"/>
                <w:szCs w:val="1"/>
                <w:color w:val="auto"/>
              </w:rPr>
            </w:pPr>
          </w:p>
        </w:tc>
      </w:tr>
      <w:tr>
        <w:trPr>
          <w:trHeight w:val="142"/>
        </w:trPr>
        <w:tc>
          <w:tcPr>
            <w:tcW w:w="240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1260" w:type="dxa"/>
            <w:vAlign w:val="bottom"/>
          </w:tcPr>
          <w:p>
            <w:pPr>
              <w:ind w:left="480"/>
              <w:spacing w:after="0" w:line="143" w:lineRule="exact"/>
              <w:rPr>
                <w:sz w:val="20"/>
                <w:szCs w:val="20"/>
                <w:color w:val="auto"/>
              </w:rPr>
            </w:pPr>
            <w:r>
              <w:rPr>
                <w:rFonts w:ascii="Arial" w:cs="Arial" w:eastAsia="Arial" w:hAnsi="Arial"/>
                <w:sz w:val="13"/>
                <w:szCs w:val="13"/>
                <w:b w:val="1"/>
                <w:bCs w:val="1"/>
                <w:color w:val="auto"/>
              </w:rPr>
              <w:t>Target</w:t>
            </w:r>
          </w:p>
        </w:tc>
        <w:tc>
          <w:tcPr>
            <w:tcW w:w="1360" w:type="dxa"/>
            <w:vAlign w:val="bottom"/>
          </w:tcPr>
          <w:p>
            <w:pPr>
              <w:ind w:left="420"/>
              <w:spacing w:after="0" w:line="143" w:lineRule="exact"/>
              <w:rPr>
                <w:sz w:val="20"/>
                <w:szCs w:val="20"/>
                <w:color w:val="auto"/>
              </w:rPr>
            </w:pPr>
            <w:r>
              <w:rPr>
                <w:rFonts w:ascii="Arial" w:cs="Arial" w:eastAsia="Arial" w:hAnsi="Arial"/>
                <w:sz w:val="13"/>
                <w:szCs w:val="13"/>
                <w:b w:val="1"/>
                <w:bCs w:val="1"/>
                <w:color w:val="auto"/>
              </w:rPr>
              <w:t>Maximum</w:t>
            </w:r>
          </w:p>
        </w:tc>
        <w:tc>
          <w:tcPr>
            <w:tcW w:w="1620" w:type="dxa"/>
            <w:vAlign w:val="bottom"/>
          </w:tcPr>
          <w:p>
            <w:pPr>
              <w:jc w:val="center"/>
              <w:spacing w:after="0" w:line="143" w:lineRule="exact"/>
              <w:rPr>
                <w:sz w:val="20"/>
                <w:szCs w:val="20"/>
                <w:color w:val="auto"/>
              </w:rPr>
            </w:pPr>
            <w:r>
              <w:rPr>
                <w:rFonts w:ascii="Arial" w:cs="Arial" w:eastAsia="Arial" w:hAnsi="Arial"/>
                <w:sz w:val="13"/>
                <w:szCs w:val="13"/>
                <w:b w:val="1"/>
                <w:bCs w:val="1"/>
                <w:color w:val="auto"/>
                <w:w w:val="91"/>
              </w:rPr>
              <w:t>Underlying Options</w:t>
            </w:r>
          </w:p>
        </w:tc>
        <w:tc>
          <w:tcPr>
            <w:tcW w:w="1400" w:type="dxa"/>
            <w:vAlign w:val="bottom"/>
          </w:tcPr>
          <w:p>
            <w:pPr>
              <w:jc w:val="center"/>
              <w:spacing w:after="0" w:line="143" w:lineRule="exact"/>
              <w:rPr>
                <w:sz w:val="20"/>
                <w:szCs w:val="20"/>
                <w:color w:val="auto"/>
              </w:rPr>
            </w:pPr>
            <w:r>
              <w:rPr>
                <w:rFonts w:ascii="Arial" w:cs="Arial" w:eastAsia="Arial" w:hAnsi="Arial"/>
                <w:sz w:val="13"/>
                <w:szCs w:val="13"/>
                <w:b w:val="1"/>
                <w:bCs w:val="1"/>
                <w:color w:val="auto"/>
                <w:w w:val="90"/>
              </w:rPr>
              <w:t>of Option Awards</w:t>
            </w:r>
          </w:p>
        </w:tc>
        <w:tc>
          <w:tcPr>
            <w:tcW w:w="1500" w:type="dxa"/>
            <w:vAlign w:val="bottom"/>
          </w:tcPr>
          <w:p>
            <w:pPr>
              <w:jc w:val="center"/>
              <w:spacing w:after="0" w:line="143" w:lineRule="exact"/>
              <w:rPr>
                <w:sz w:val="20"/>
                <w:szCs w:val="20"/>
                <w:color w:val="auto"/>
              </w:rPr>
            </w:pPr>
            <w:r>
              <w:rPr>
                <w:rFonts w:ascii="Arial" w:cs="Arial" w:eastAsia="Arial" w:hAnsi="Arial"/>
                <w:sz w:val="13"/>
                <w:szCs w:val="13"/>
                <w:b w:val="1"/>
                <w:bCs w:val="1"/>
                <w:color w:val="auto"/>
                <w:w w:val="90"/>
              </w:rPr>
              <w:t>Option Awards</w:t>
            </w:r>
          </w:p>
        </w:tc>
        <w:tc>
          <w:tcPr>
            <w:tcW w:w="0" w:type="dxa"/>
            <w:vAlign w:val="bottom"/>
          </w:tcPr>
          <w:p>
            <w:pPr>
              <w:spacing w:after="0"/>
              <w:rPr>
                <w:sz w:val="1"/>
                <w:szCs w:val="1"/>
                <w:color w:val="auto"/>
              </w:rPr>
            </w:pPr>
          </w:p>
        </w:tc>
      </w:tr>
      <w:tr>
        <w:trPr>
          <w:trHeight w:val="168"/>
        </w:trPr>
        <w:tc>
          <w:tcPr>
            <w:tcW w:w="2400" w:type="dxa"/>
            <w:vAlign w:val="bottom"/>
            <w:tcBorders>
              <w:bottom w:val="single" w:sz="8" w:color="auto"/>
            </w:tcBorders>
          </w:tcPr>
          <w:p>
            <w:pPr>
              <w:ind w:left="1280"/>
              <w:spacing w:after="0"/>
              <w:rPr>
                <w:sz w:val="20"/>
                <w:szCs w:val="20"/>
                <w:color w:val="auto"/>
              </w:rPr>
            </w:pPr>
            <w:r>
              <w:rPr>
                <w:rFonts w:ascii="Arial" w:cs="Arial" w:eastAsia="Arial" w:hAnsi="Arial"/>
                <w:sz w:val="13"/>
                <w:szCs w:val="13"/>
                <w:b w:val="1"/>
                <w:bCs w:val="1"/>
                <w:color w:val="auto"/>
              </w:rPr>
              <w:t>Name</w:t>
            </w:r>
          </w:p>
        </w:tc>
        <w:tc>
          <w:tcPr>
            <w:tcW w:w="1940" w:type="dxa"/>
            <w:vAlign w:val="bottom"/>
            <w:tcBorders>
              <w:bottom w:val="single" w:sz="8" w:color="auto"/>
            </w:tcBorders>
          </w:tcPr>
          <w:p>
            <w:pPr>
              <w:jc w:val="center"/>
              <w:ind w:left="435"/>
              <w:spacing w:after="0"/>
              <w:rPr>
                <w:sz w:val="20"/>
                <w:szCs w:val="20"/>
                <w:color w:val="auto"/>
              </w:rPr>
            </w:pPr>
            <w:r>
              <w:rPr>
                <w:rFonts w:ascii="Arial" w:cs="Arial" w:eastAsia="Arial" w:hAnsi="Arial"/>
                <w:sz w:val="13"/>
                <w:szCs w:val="13"/>
                <w:b w:val="1"/>
                <w:bCs w:val="1"/>
                <w:color w:val="auto"/>
                <w:w w:val="96"/>
              </w:rPr>
              <w:t>Grant Date</w:t>
            </w:r>
          </w:p>
        </w:tc>
        <w:tc>
          <w:tcPr>
            <w:tcW w:w="126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5"/>
              </w:rPr>
              <w:t>($) (1)</w:t>
            </w:r>
          </w:p>
        </w:tc>
        <w:tc>
          <w:tcPr>
            <w:tcW w:w="136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5"/>
              </w:rPr>
              <w:t>($) (2)</w:t>
            </w:r>
          </w:p>
        </w:tc>
        <w:tc>
          <w:tcPr>
            <w:tcW w:w="162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0"/>
              </w:rPr>
              <w:t>(#) (3)</w:t>
            </w:r>
          </w:p>
        </w:tc>
        <w:tc>
          <w:tcPr>
            <w:tcW w:w="140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2"/>
              </w:rPr>
              <w:t>($/sh) (4)</w:t>
            </w:r>
          </w:p>
        </w:tc>
        <w:tc>
          <w:tcPr>
            <w:tcW w:w="150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0"/>
              </w:rPr>
              <w:t>($) (5)</w:t>
            </w:r>
          </w:p>
        </w:tc>
        <w:tc>
          <w:tcPr>
            <w:tcW w:w="0" w:type="dxa"/>
            <w:vAlign w:val="bottom"/>
          </w:tcPr>
          <w:p>
            <w:pPr>
              <w:spacing w:after="0"/>
              <w:rPr>
                <w:sz w:val="1"/>
                <w:szCs w:val="1"/>
                <w:color w:val="auto"/>
              </w:rPr>
            </w:pPr>
          </w:p>
        </w:tc>
      </w:tr>
      <w:tr>
        <w:trPr>
          <w:trHeight w:val="147"/>
        </w:trPr>
        <w:tc>
          <w:tcPr>
            <w:tcW w:w="2400" w:type="dxa"/>
            <w:vAlign w:val="bottom"/>
          </w:tcPr>
          <w:p>
            <w:pPr>
              <w:spacing w:after="0" w:line="147" w:lineRule="exact"/>
              <w:rPr>
                <w:sz w:val="20"/>
                <w:szCs w:val="20"/>
                <w:color w:val="auto"/>
              </w:rPr>
            </w:pPr>
            <w:r>
              <w:rPr>
                <w:rFonts w:ascii="Arial" w:cs="Arial" w:eastAsia="Arial" w:hAnsi="Arial"/>
                <w:sz w:val="13"/>
                <w:szCs w:val="13"/>
                <w:color w:val="auto"/>
              </w:rPr>
              <w:t>Zee Hakimoglu</w:t>
            </w:r>
          </w:p>
        </w:tc>
        <w:tc>
          <w:tcPr>
            <w:tcW w:w="1940" w:type="dxa"/>
            <w:vAlign w:val="bottom"/>
          </w:tcPr>
          <w:p>
            <w:pPr>
              <w:jc w:val="center"/>
              <w:ind w:left="435"/>
              <w:spacing w:after="0" w:line="147" w:lineRule="exact"/>
              <w:rPr>
                <w:sz w:val="20"/>
                <w:szCs w:val="20"/>
                <w:color w:val="auto"/>
              </w:rPr>
            </w:pPr>
            <w:r>
              <w:rPr>
                <w:rFonts w:ascii="Arial" w:cs="Arial" w:eastAsia="Arial" w:hAnsi="Arial"/>
                <w:sz w:val="13"/>
                <w:szCs w:val="13"/>
                <w:color w:val="auto"/>
                <w:w w:val="91"/>
              </w:rPr>
              <w:t>-</w:t>
            </w:r>
          </w:p>
        </w:tc>
        <w:tc>
          <w:tcPr>
            <w:tcW w:w="1260" w:type="dxa"/>
            <w:vAlign w:val="bottom"/>
          </w:tcPr>
          <w:p>
            <w:pPr>
              <w:jc w:val="center"/>
              <w:spacing w:after="0" w:line="147" w:lineRule="exact"/>
              <w:rPr>
                <w:sz w:val="20"/>
                <w:szCs w:val="20"/>
                <w:color w:val="auto"/>
              </w:rPr>
            </w:pPr>
            <w:r>
              <w:rPr>
                <w:rFonts w:ascii="Arial" w:cs="Arial" w:eastAsia="Arial" w:hAnsi="Arial"/>
                <w:sz w:val="13"/>
                <w:szCs w:val="13"/>
                <w:color w:val="auto"/>
                <w:w w:val="91"/>
              </w:rPr>
              <w:t>-</w:t>
            </w:r>
          </w:p>
        </w:tc>
        <w:tc>
          <w:tcPr>
            <w:tcW w:w="1360" w:type="dxa"/>
            <w:vAlign w:val="bottom"/>
          </w:tcPr>
          <w:p>
            <w:pPr>
              <w:jc w:val="center"/>
              <w:spacing w:after="0" w:line="147" w:lineRule="exact"/>
              <w:rPr>
                <w:sz w:val="20"/>
                <w:szCs w:val="20"/>
                <w:color w:val="auto"/>
              </w:rPr>
            </w:pPr>
            <w:r>
              <w:rPr>
                <w:rFonts w:ascii="Arial" w:cs="Arial" w:eastAsia="Arial" w:hAnsi="Arial"/>
                <w:sz w:val="13"/>
                <w:szCs w:val="13"/>
                <w:color w:val="auto"/>
                <w:w w:val="91"/>
              </w:rPr>
              <w:t>-</w:t>
            </w:r>
          </w:p>
        </w:tc>
        <w:tc>
          <w:tcPr>
            <w:tcW w:w="1620" w:type="dxa"/>
            <w:vAlign w:val="bottom"/>
          </w:tcPr>
          <w:p>
            <w:pPr>
              <w:jc w:val="center"/>
              <w:spacing w:after="0" w:line="147" w:lineRule="exact"/>
              <w:rPr>
                <w:sz w:val="20"/>
                <w:szCs w:val="20"/>
                <w:color w:val="auto"/>
              </w:rPr>
            </w:pPr>
            <w:r>
              <w:rPr>
                <w:rFonts w:ascii="Arial" w:cs="Arial" w:eastAsia="Arial" w:hAnsi="Arial"/>
                <w:sz w:val="13"/>
                <w:szCs w:val="13"/>
                <w:color w:val="auto"/>
                <w:w w:val="91"/>
              </w:rPr>
              <w:t>-</w:t>
            </w:r>
          </w:p>
        </w:tc>
        <w:tc>
          <w:tcPr>
            <w:tcW w:w="1400" w:type="dxa"/>
            <w:vAlign w:val="bottom"/>
          </w:tcPr>
          <w:p>
            <w:pPr>
              <w:jc w:val="center"/>
              <w:spacing w:after="0" w:line="147" w:lineRule="exact"/>
              <w:rPr>
                <w:sz w:val="20"/>
                <w:szCs w:val="20"/>
                <w:color w:val="auto"/>
              </w:rPr>
            </w:pPr>
            <w:r>
              <w:rPr>
                <w:rFonts w:ascii="Arial" w:cs="Arial" w:eastAsia="Arial" w:hAnsi="Arial"/>
                <w:sz w:val="13"/>
                <w:szCs w:val="13"/>
                <w:color w:val="auto"/>
                <w:w w:val="91"/>
              </w:rPr>
              <w:t>-</w:t>
            </w:r>
          </w:p>
        </w:tc>
        <w:tc>
          <w:tcPr>
            <w:tcW w:w="1500" w:type="dxa"/>
            <w:vAlign w:val="bottom"/>
          </w:tcPr>
          <w:p>
            <w:pPr>
              <w:jc w:val="center"/>
              <w:spacing w:after="0" w:line="147" w:lineRule="exact"/>
              <w:rPr>
                <w:sz w:val="20"/>
                <w:szCs w:val="20"/>
                <w:color w:val="auto"/>
              </w:rPr>
            </w:pPr>
            <w:r>
              <w:rPr>
                <w:rFonts w:ascii="Arial" w:cs="Arial" w:eastAsia="Arial" w:hAnsi="Arial"/>
                <w:sz w:val="13"/>
                <w:szCs w:val="13"/>
                <w:color w:val="auto"/>
                <w:w w:val="91"/>
              </w:rPr>
              <w:t>-</w:t>
            </w:r>
          </w:p>
        </w:tc>
        <w:tc>
          <w:tcPr>
            <w:tcW w:w="0" w:type="dxa"/>
            <w:vAlign w:val="bottom"/>
          </w:tcPr>
          <w:p>
            <w:pPr>
              <w:spacing w:after="0"/>
              <w:rPr>
                <w:sz w:val="1"/>
                <w:szCs w:val="1"/>
                <w:color w:val="auto"/>
              </w:rPr>
            </w:pPr>
          </w:p>
        </w:tc>
      </w:tr>
      <w:tr>
        <w:trPr>
          <w:trHeight w:val="164"/>
        </w:trPr>
        <w:tc>
          <w:tcPr>
            <w:tcW w:w="2400" w:type="dxa"/>
            <w:vAlign w:val="bottom"/>
          </w:tcPr>
          <w:p>
            <w:pPr>
              <w:spacing w:after="0"/>
              <w:rPr>
                <w:sz w:val="14"/>
                <w:szCs w:val="14"/>
                <w:color w:val="auto"/>
              </w:rPr>
            </w:pPr>
          </w:p>
        </w:tc>
        <w:tc>
          <w:tcPr>
            <w:tcW w:w="1940" w:type="dxa"/>
            <w:vAlign w:val="bottom"/>
          </w:tcPr>
          <w:p>
            <w:pPr>
              <w:jc w:val="center"/>
              <w:ind w:left="455"/>
              <w:spacing w:after="0"/>
              <w:rPr>
                <w:sz w:val="20"/>
                <w:szCs w:val="20"/>
                <w:color w:val="auto"/>
              </w:rPr>
            </w:pPr>
            <w:r>
              <w:rPr>
                <w:rFonts w:ascii="Arial" w:cs="Arial" w:eastAsia="Arial" w:hAnsi="Arial"/>
                <w:sz w:val="13"/>
                <w:szCs w:val="13"/>
                <w:color w:val="auto"/>
                <w:w w:val="90"/>
              </w:rPr>
              <w:t>August 14, 2007</w:t>
            </w:r>
          </w:p>
        </w:tc>
        <w:tc>
          <w:tcPr>
            <w:tcW w:w="1260" w:type="dxa"/>
            <w:vAlign w:val="bottom"/>
          </w:tcPr>
          <w:p>
            <w:pPr>
              <w:jc w:val="center"/>
              <w:spacing w:after="0"/>
              <w:rPr>
                <w:sz w:val="20"/>
                <w:szCs w:val="20"/>
                <w:color w:val="auto"/>
              </w:rPr>
            </w:pPr>
            <w:r>
              <w:rPr>
                <w:rFonts w:ascii="Arial" w:cs="Arial" w:eastAsia="Arial" w:hAnsi="Arial"/>
                <w:sz w:val="13"/>
                <w:szCs w:val="13"/>
                <w:color w:val="auto"/>
                <w:w w:val="91"/>
              </w:rPr>
              <w:t>-</w:t>
            </w:r>
          </w:p>
        </w:tc>
        <w:tc>
          <w:tcPr>
            <w:tcW w:w="1360" w:type="dxa"/>
            <w:vAlign w:val="bottom"/>
          </w:tcPr>
          <w:p>
            <w:pPr>
              <w:jc w:val="center"/>
              <w:spacing w:after="0"/>
              <w:rPr>
                <w:sz w:val="20"/>
                <w:szCs w:val="20"/>
                <w:color w:val="auto"/>
              </w:rPr>
            </w:pPr>
            <w:r>
              <w:rPr>
                <w:rFonts w:ascii="Arial" w:cs="Arial" w:eastAsia="Arial" w:hAnsi="Arial"/>
                <w:sz w:val="13"/>
                <w:szCs w:val="13"/>
                <w:color w:val="auto"/>
                <w:w w:val="91"/>
              </w:rPr>
              <w:t>-</w:t>
            </w:r>
          </w:p>
        </w:tc>
        <w:tc>
          <w:tcPr>
            <w:tcW w:w="1620" w:type="dxa"/>
            <w:vAlign w:val="bottom"/>
          </w:tcPr>
          <w:p>
            <w:pPr>
              <w:jc w:val="center"/>
              <w:ind w:right="55"/>
              <w:spacing w:after="0"/>
              <w:rPr>
                <w:sz w:val="20"/>
                <w:szCs w:val="20"/>
                <w:color w:val="auto"/>
              </w:rPr>
            </w:pPr>
            <w:r>
              <w:rPr>
                <w:rFonts w:ascii="Arial" w:cs="Arial" w:eastAsia="Arial" w:hAnsi="Arial"/>
                <w:sz w:val="13"/>
                <w:szCs w:val="13"/>
                <w:color w:val="auto"/>
                <w:w w:val="89"/>
              </w:rPr>
              <w:t>150,000</w:t>
            </w:r>
          </w:p>
        </w:tc>
        <w:tc>
          <w:tcPr>
            <w:tcW w:w="1400" w:type="dxa"/>
            <w:vAlign w:val="bottom"/>
          </w:tcPr>
          <w:p>
            <w:pPr>
              <w:jc w:val="center"/>
              <w:spacing w:after="0"/>
              <w:rPr>
                <w:sz w:val="20"/>
                <w:szCs w:val="20"/>
                <w:color w:val="auto"/>
              </w:rPr>
            </w:pPr>
            <w:r>
              <w:rPr>
                <w:rFonts w:ascii="Arial" w:cs="Arial" w:eastAsia="Arial" w:hAnsi="Arial"/>
                <w:sz w:val="13"/>
                <w:szCs w:val="13"/>
                <w:color w:val="auto"/>
                <w:w w:val="86"/>
              </w:rPr>
              <w:t>6.15</w:t>
            </w:r>
          </w:p>
        </w:tc>
        <w:tc>
          <w:tcPr>
            <w:tcW w:w="1500" w:type="dxa"/>
            <w:vAlign w:val="bottom"/>
          </w:tcPr>
          <w:p>
            <w:pPr>
              <w:jc w:val="center"/>
              <w:ind w:right="15"/>
              <w:spacing w:after="0"/>
              <w:rPr>
                <w:sz w:val="20"/>
                <w:szCs w:val="20"/>
                <w:color w:val="auto"/>
              </w:rPr>
            </w:pPr>
            <w:r>
              <w:rPr>
                <w:rFonts w:ascii="Arial" w:cs="Arial" w:eastAsia="Arial" w:hAnsi="Arial"/>
                <w:sz w:val="13"/>
                <w:szCs w:val="13"/>
                <w:color w:val="auto"/>
                <w:w w:val="89"/>
              </w:rPr>
              <w:t>500,256</w:t>
            </w:r>
          </w:p>
        </w:tc>
        <w:tc>
          <w:tcPr>
            <w:tcW w:w="0" w:type="dxa"/>
            <w:vAlign w:val="bottom"/>
          </w:tcPr>
          <w:p>
            <w:pPr>
              <w:spacing w:after="0"/>
              <w:rPr>
                <w:sz w:val="1"/>
                <w:szCs w:val="1"/>
                <w:color w:val="auto"/>
              </w:rPr>
            </w:pPr>
          </w:p>
        </w:tc>
      </w:tr>
      <w:tr>
        <w:trPr>
          <w:trHeight w:val="304"/>
        </w:trPr>
        <w:tc>
          <w:tcPr>
            <w:tcW w:w="2400" w:type="dxa"/>
            <w:vAlign w:val="bottom"/>
          </w:tcPr>
          <w:p>
            <w:pPr>
              <w:spacing w:after="0"/>
              <w:rPr>
                <w:sz w:val="20"/>
                <w:szCs w:val="20"/>
                <w:color w:val="auto"/>
              </w:rPr>
            </w:pPr>
            <w:r>
              <w:rPr>
                <w:rFonts w:ascii="Arial" w:cs="Arial" w:eastAsia="Arial" w:hAnsi="Arial"/>
                <w:sz w:val="13"/>
                <w:szCs w:val="13"/>
                <w:color w:val="auto"/>
              </w:rPr>
              <w:t>Greg A. LeClaire</w:t>
            </w:r>
          </w:p>
        </w:tc>
        <w:tc>
          <w:tcPr>
            <w:tcW w:w="1940" w:type="dxa"/>
            <w:vAlign w:val="bottom"/>
          </w:tcPr>
          <w:p>
            <w:pPr>
              <w:jc w:val="center"/>
              <w:ind w:left="435"/>
              <w:spacing w:after="0"/>
              <w:rPr>
                <w:sz w:val="20"/>
                <w:szCs w:val="20"/>
                <w:color w:val="auto"/>
              </w:rPr>
            </w:pPr>
            <w:r>
              <w:rPr>
                <w:rFonts w:ascii="Arial" w:cs="Arial" w:eastAsia="Arial" w:hAnsi="Arial"/>
                <w:sz w:val="13"/>
                <w:szCs w:val="13"/>
                <w:color w:val="auto"/>
                <w:w w:val="91"/>
              </w:rPr>
              <w:t>-</w:t>
            </w:r>
          </w:p>
        </w:tc>
        <w:tc>
          <w:tcPr>
            <w:tcW w:w="1260" w:type="dxa"/>
            <w:vAlign w:val="bottom"/>
          </w:tcPr>
          <w:p>
            <w:pPr>
              <w:jc w:val="center"/>
              <w:spacing w:after="0"/>
              <w:rPr>
                <w:sz w:val="20"/>
                <w:szCs w:val="20"/>
                <w:color w:val="auto"/>
              </w:rPr>
            </w:pPr>
            <w:r>
              <w:rPr>
                <w:rFonts w:ascii="Arial" w:cs="Arial" w:eastAsia="Arial" w:hAnsi="Arial"/>
                <w:sz w:val="13"/>
                <w:szCs w:val="13"/>
                <w:color w:val="auto"/>
                <w:w w:val="90"/>
              </w:rPr>
              <w:t>75,000</w:t>
            </w:r>
          </w:p>
        </w:tc>
        <w:tc>
          <w:tcPr>
            <w:tcW w:w="1360" w:type="dxa"/>
            <w:vAlign w:val="bottom"/>
          </w:tcPr>
          <w:p>
            <w:pPr>
              <w:jc w:val="center"/>
              <w:spacing w:after="0"/>
              <w:rPr>
                <w:sz w:val="20"/>
                <w:szCs w:val="20"/>
                <w:color w:val="auto"/>
              </w:rPr>
            </w:pPr>
            <w:r>
              <w:rPr>
                <w:rFonts w:ascii="Arial" w:cs="Arial" w:eastAsia="Arial" w:hAnsi="Arial"/>
                <w:sz w:val="13"/>
                <w:szCs w:val="13"/>
                <w:color w:val="auto"/>
                <w:w w:val="89"/>
              </w:rPr>
              <w:t>105,000</w:t>
            </w:r>
          </w:p>
        </w:tc>
        <w:tc>
          <w:tcPr>
            <w:tcW w:w="1620" w:type="dxa"/>
            <w:vAlign w:val="bottom"/>
          </w:tcPr>
          <w:p>
            <w:pPr>
              <w:jc w:val="center"/>
              <w:spacing w:after="0"/>
              <w:rPr>
                <w:sz w:val="20"/>
                <w:szCs w:val="20"/>
                <w:color w:val="auto"/>
              </w:rPr>
            </w:pPr>
            <w:r>
              <w:rPr>
                <w:rFonts w:ascii="Arial" w:cs="Arial" w:eastAsia="Arial" w:hAnsi="Arial"/>
                <w:sz w:val="13"/>
                <w:szCs w:val="13"/>
                <w:color w:val="auto"/>
                <w:w w:val="91"/>
              </w:rPr>
              <w:t>-</w:t>
            </w:r>
          </w:p>
        </w:tc>
        <w:tc>
          <w:tcPr>
            <w:tcW w:w="1400" w:type="dxa"/>
            <w:vAlign w:val="bottom"/>
          </w:tcPr>
          <w:p>
            <w:pPr>
              <w:jc w:val="center"/>
              <w:spacing w:after="0"/>
              <w:rPr>
                <w:sz w:val="20"/>
                <w:szCs w:val="20"/>
                <w:color w:val="auto"/>
              </w:rPr>
            </w:pPr>
            <w:r>
              <w:rPr>
                <w:rFonts w:ascii="Arial" w:cs="Arial" w:eastAsia="Arial" w:hAnsi="Arial"/>
                <w:sz w:val="13"/>
                <w:szCs w:val="13"/>
                <w:color w:val="auto"/>
                <w:w w:val="91"/>
              </w:rPr>
              <w:t>-</w:t>
            </w:r>
          </w:p>
        </w:tc>
        <w:tc>
          <w:tcPr>
            <w:tcW w:w="1500" w:type="dxa"/>
            <w:vAlign w:val="bottom"/>
          </w:tcPr>
          <w:p>
            <w:pPr>
              <w:jc w:val="center"/>
              <w:spacing w:after="0"/>
              <w:rPr>
                <w:sz w:val="20"/>
                <w:szCs w:val="20"/>
                <w:color w:val="auto"/>
              </w:rPr>
            </w:pPr>
            <w:r>
              <w:rPr>
                <w:rFonts w:ascii="Arial" w:cs="Arial" w:eastAsia="Arial" w:hAnsi="Arial"/>
                <w:sz w:val="13"/>
                <w:szCs w:val="13"/>
                <w:color w:val="auto"/>
                <w:w w:val="91"/>
              </w:rPr>
              <w:t>-</w:t>
            </w:r>
          </w:p>
        </w:tc>
        <w:tc>
          <w:tcPr>
            <w:tcW w:w="0" w:type="dxa"/>
            <w:vAlign w:val="bottom"/>
          </w:tcPr>
          <w:p>
            <w:pPr>
              <w:spacing w:after="0"/>
              <w:rPr>
                <w:sz w:val="1"/>
                <w:szCs w:val="1"/>
                <w:color w:val="auto"/>
              </w:rPr>
            </w:pPr>
          </w:p>
        </w:tc>
      </w:tr>
      <w:tr>
        <w:trPr>
          <w:trHeight w:val="164"/>
        </w:trPr>
        <w:tc>
          <w:tcPr>
            <w:tcW w:w="2400" w:type="dxa"/>
            <w:vAlign w:val="bottom"/>
          </w:tcPr>
          <w:p>
            <w:pPr>
              <w:spacing w:after="0"/>
              <w:rPr>
                <w:sz w:val="14"/>
                <w:szCs w:val="14"/>
                <w:color w:val="auto"/>
              </w:rPr>
            </w:pPr>
          </w:p>
        </w:tc>
        <w:tc>
          <w:tcPr>
            <w:tcW w:w="1940" w:type="dxa"/>
            <w:vAlign w:val="bottom"/>
          </w:tcPr>
          <w:p>
            <w:pPr>
              <w:jc w:val="center"/>
              <w:ind w:left="455"/>
              <w:spacing w:after="0"/>
              <w:rPr>
                <w:sz w:val="20"/>
                <w:szCs w:val="20"/>
                <w:color w:val="auto"/>
              </w:rPr>
            </w:pPr>
            <w:r>
              <w:rPr>
                <w:rFonts w:ascii="Arial" w:cs="Arial" w:eastAsia="Arial" w:hAnsi="Arial"/>
                <w:sz w:val="13"/>
                <w:szCs w:val="13"/>
                <w:color w:val="auto"/>
                <w:w w:val="90"/>
              </w:rPr>
              <w:t>August 14, 2007</w:t>
            </w:r>
          </w:p>
        </w:tc>
        <w:tc>
          <w:tcPr>
            <w:tcW w:w="1260" w:type="dxa"/>
            <w:vAlign w:val="bottom"/>
          </w:tcPr>
          <w:p>
            <w:pPr>
              <w:jc w:val="center"/>
              <w:spacing w:after="0"/>
              <w:rPr>
                <w:sz w:val="20"/>
                <w:szCs w:val="20"/>
                <w:color w:val="auto"/>
              </w:rPr>
            </w:pPr>
            <w:r>
              <w:rPr>
                <w:rFonts w:ascii="Arial" w:cs="Arial" w:eastAsia="Arial" w:hAnsi="Arial"/>
                <w:sz w:val="13"/>
                <w:szCs w:val="13"/>
                <w:color w:val="auto"/>
                <w:w w:val="91"/>
              </w:rPr>
              <w:t>-</w:t>
            </w:r>
          </w:p>
        </w:tc>
        <w:tc>
          <w:tcPr>
            <w:tcW w:w="1360" w:type="dxa"/>
            <w:vAlign w:val="bottom"/>
          </w:tcPr>
          <w:p>
            <w:pPr>
              <w:jc w:val="center"/>
              <w:spacing w:after="0"/>
              <w:rPr>
                <w:sz w:val="20"/>
                <w:szCs w:val="20"/>
                <w:color w:val="auto"/>
              </w:rPr>
            </w:pPr>
            <w:r>
              <w:rPr>
                <w:rFonts w:ascii="Arial" w:cs="Arial" w:eastAsia="Arial" w:hAnsi="Arial"/>
                <w:sz w:val="13"/>
                <w:szCs w:val="13"/>
                <w:color w:val="auto"/>
                <w:w w:val="91"/>
              </w:rPr>
              <w:t>-</w:t>
            </w:r>
          </w:p>
        </w:tc>
        <w:tc>
          <w:tcPr>
            <w:tcW w:w="1620" w:type="dxa"/>
            <w:vAlign w:val="bottom"/>
          </w:tcPr>
          <w:p>
            <w:pPr>
              <w:jc w:val="center"/>
              <w:ind w:right="35"/>
              <w:spacing w:after="0"/>
              <w:rPr>
                <w:sz w:val="20"/>
                <w:szCs w:val="20"/>
                <w:color w:val="auto"/>
              </w:rPr>
            </w:pPr>
            <w:r>
              <w:rPr>
                <w:rFonts w:ascii="Arial" w:cs="Arial" w:eastAsia="Arial" w:hAnsi="Arial"/>
                <w:sz w:val="13"/>
                <w:szCs w:val="13"/>
                <w:color w:val="auto"/>
                <w:w w:val="90"/>
              </w:rPr>
              <w:t>50,000</w:t>
            </w:r>
          </w:p>
        </w:tc>
        <w:tc>
          <w:tcPr>
            <w:tcW w:w="1400" w:type="dxa"/>
            <w:vAlign w:val="bottom"/>
          </w:tcPr>
          <w:p>
            <w:pPr>
              <w:jc w:val="center"/>
              <w:spacing w:after="0"/>
              <w:rPr>
                <w:sz w:val="20"/>
                <w:szCs w:val="20"/>
                <w:color w:val="auto"/>
              </w:rPr>
            </w:pPr>
            <w:r>
              <w:rPr>
                <w:rFonts w:ascii="Arial" w:cs="Arial" w:eastAsia="Arial" w:hAnsi="Arial"/>
                <w:sz w:val="13"/>
                <w:szCs w:val="13"/>
                <w:color w:val="auto"/>
                <w:w w:val="86"/>
              </w:rPr>
              <w:t>6.15</w:t>
            </w:r>
          </w:p>
        </w:tc>
        <w:tc>
          <w:tcPr>
            <w:tcW w:w="1500" w:type="dxa"/>
            <w:vAlign w:val="bottom"/>
          </w:tcPr>
          <w:p>
            <w:pPr>
              <w:jc w:val="center"/>
              <w:ind w:right="15"/>
              <w:spacing w:after="0"/>
              <w:rPr>
                <w:sz w:val="20"/>
                <w:szCs w:val="20"/>
                <w:color w:val="auto"/>
              </w:rPr>
            </w:pPr>
            <w:r>
              <w:rPr>
                <w:rFonts w:ascii="Arial" w:cs="Arial" w:eastAsia="Arial" w:hAnsi="Arial"/>
                <w:sz w:val="13"/>
                <w:szCs w:val="13"/>
                <w:color w:val="auto"/>
                <w:w w:val="89"/>
              </w:rPr>
              <w:t>166,752</w:t>
            </w:r>
          </w:p>
        </w:tc>
        <w:tc>
          <w:tcPr>
            <w:tcW w:w="0" w:type="dxa"/>
            <w:vAlign w:val="bottom"/>
          </w:tcPr>
          <w:p>
            <w:pPr>
              <w:spacing w:after="0"/>
              <w:rPr>
                <w:sz w:val="1"/>
                <w:szCs w:val="1"/>
                <w:color w:val="auto"/>
              </w:rPr>
            </w:pPr>
          </w:p>
        </w:tc>
      </w:tr>
      <w:tr>
        <w:trPr>
          <w:trHeight w:val="304"/>
        </w:trPr>
        <w:tc>
          <w:tcPr>
            <w:tcW w:w="2400" w:type="dxa"/>
            <w:vAlign w:val="bottom"/>
          </w:tcPr>
          <w:p>
            <w:pPr>
              <w:spacing w:after="0"/>
              <w:rPr>
                <w:sz w:val="20"/>
                <w:szCs w:val="20"/>
                <w:color w:val="auto"/>
              </w:rPr>
            </w:pPr>
            <w:r>
              <w:rPr>
                <w:rFonts w:ascii="Arial" w:cs="Arial" w:eastAsia="Arial" w:hAnsi="Arial"/>
                <w:sz w:val="13"/>
                <w:szCs w:val="13"/>
                <w:color w:val="auto"/>
              </w:rPr>
              <w:t>Tracy A. Bathurst</w:t>
            </w:r>
          </w:p>
        </w:tc>
        <w:tc>
          <w:tcPr>
            <w:tcW w:w="1940" w:type="dxa"/>
            <w:vAlign w:val="bottom"/>
          </w:tcPr>
          <w:p>
            <w:pPr>
              <w:jc w:val="center"/>
              <w:ind w:left="395"/>
              <w:spacing w:after="0"/>
              <w:rPr>
                <w:sz w:val="20"/>
                <w:szCs w:val="20"/>
                <w:color w:val="auto"/>
              </w:rPr>
            </w:pPr>
            <w:r>
              <w:rPr>
                <w:rFonts w:ascii="Arial" w:cs="Arial" w:eastAsia="Arial" w:hAnsi="Arial"/>
                <w:sz w:val="13"/>
                <w:szCs w:val="13"/>
                <w:color w:val="auto"/>
                <w:w w:val="91"/>
              </w:rPr>
              <w:t>-</w:t>
            </w:r>
          </w:p>
        </w:tc>
        <w:tc>
          <w:tcPr>
            <w:tcW w:w="1260" w:type="dxa"/>
            <w:vAlign w:val="bottom"/>
          </w:tcPr>
          <w:p>
            <w:pPr>
              <w:jc w:val="center"/>
              <w:spacing w:after="0"/>
              <w:rPr>
                <w:sz w:val="20"/>
                <w:szCs w:val="20"/>
                <w:color w:val="auto"/>
              </w:rPr>
            </w:pPr>
            <w:r>
              <w:rPr>
                <w:rFonts w:ascii="Arial" w:cs="Arial" w:eastAsia="Arial" w:hAnsi="Arial"/>
                <w:sz w:val="13"/>
                <w:szCs w:val="13"/>
                <w:color w:val="auto"/>
                <w:w w:val="90"/>
              </w:rPr>
              <w:t>70,000</w:t>
            </w:r>
          </w:p>
        </w:tc>
        <w:tc>
          <w:tcPr>
            <w:tcW w:w="1360" w:type="dxa"/>
            <w:vAlign w:val="bottom"/>
          </w:tcPr>
          <w:p>
            <w:pPr>
              <w:jc w:val="center"/>
              <w:spacing w:after="0"/>
              <w:rPr>
                <w:sz w:val="20"/>
                <w:szCs w:val="20"/>
                <w:color w:val="auto"/>
              </w:rPr>
            </w:pPr>
            <w:r>
              <w:rPr>
                <w:rFonts w:ascii="Arial" w:cs="Arial" w:eastAsia="Arial" w:hAnsi="Arial"/>
                <w:sz w:val="13"/>
                <w:szCs w:val="13"/>
                <w:color w:val="auto"/>
                <w:w w:val="90"/>
              </w:rPr>
              <w:t>98,000</w:t>
            </w:r>
          </w:p>
        </w:tc>
        <w:tc>
          <w:tcPr>
            <w:tcW w:w="1620" w:type="dxa"/>
            <w:vAlign w:val="bottom"/>
          </w:tcPr>
          <w:p>
            <w:pPr>
              <w:jc w:val="center"/>
              <w:spacing w:after="0"/>
              <w:rPr>
                <w:sz w:val="20"/>
                <w:szCs w:val="20"/>
                <w:color w:val="auto"/>
              </w:rPr>
            </w:pPr>
            <w:r>
              <w:rPr>
                <w:rFonts w:ascii="Arial" w:cs="Arial" w:eastAsia="Arial" w:hAnsi="Arial"/>
                <w:sz w:val="13"/>
                <w:szCs w:val="13"/>
                <w:color w:val="auto"/>
                <w:w w:val="91"/>
              </w:rPr>
              <w:t>-</w:t>
            </w:r>
          </w:p>
        </w:tc>
        <w:tc>
          <w:tcPr>
            <w:tcW w:w="1400" w:type="dxa"/>
            <w:vAlign w:val="bottom"/>
          </w:tcPr>
          <w:p>
            <w:pPr>
              <w:jc w:val="center"/>
              <w:spacing w:after="0"/>
              <w:rPr>
                <w:sz w:val="20"/>
                <w:szCs w:val="20"/>
                <w:color w:val="auto"/>
              </w:rPr>
            </w:pPr>
            <w:r>
              <w:rPr>
                <w:rFonts w:ascii="Arial" w:cs="Arial" w:eastAsia="Arial" w:hAnsi="Arial"/>
                <w:sz w:val="13"/>
                <w:szCs w:val="13"/>
                <w:color w:val="auto"/>
                <w:w w:val="91"/>
              </w:rPr>
              <w:t>-</w:t>
            </w:r>
          </w:p>
        </w:tc>
        <w:tc>
          <w:tcPr>
            <w:tcW w:w="1500" w:type="dxa"/>
            <w:vAlign w:val="bottom"/>
          </w:tcPr>
          <w:p>
            <w:pPr>
              <w:jc w:val="center"/>
              <w:spacing w:after="0"/>
              <w:rPr>
                <w:sz w:val="20"/>
                <w:szCs w:val="20"/>
                <w:color w:val="auto"/>
              </w:rPr>
            </w:pPr>
            <w:r>
              <w:rPr>
                <w:rFonts w:ascii="Arial" w:cs="Arial" w:eastAsia="Arial" w:hAnsi="Arial"/>
                <w:sz w:val="13"/>
                <w:szCs w:val="13"/>
                <w:color w:val="auto"/>
                <w:w w:val="91"/>
              </w:rPr>
              <w:t>-</w:t>
            </w:r>
          </w:p>
        </w:tc>
        <w:tc>
          <w:tcPr>
            <w:tcW w:w="0" w:type="dxa"/>
            <w:vAlign w:val="bottom"/>
          </w:tcPr>
          <w:p>
            <w:pPr>
              <w:spacing w:after="0"/>
              <w:rPr>
                <w:sz w:val="1"/>
                <w:szCs w:val="1"/>
                <w:color w:val="auto"/>
              </w:rPr>
            </w:pPr>
          </w:p>
        </w:tc>
      </w:tr>
      <w:tr>
        <w:trPr>
          <w:trHeight w:val="164"/>
        </w:trPr>
        <w:tc>
          <w:tcPr>
            <w:tcW w:w="2400" w:type="dxa"/>
            <w:vAlign w:val="bottom"/>
          </w:tcPr>
          <w:p>
            <w:pPr>
              <w:spacing w:after="0"/>
              <w:rPr>
                <w:sz w:val="14"/>
                <w:szCs w:val="14"/>
                <w:color w:val="auto"/>
              </w:rPr>
            </w:pPr>
          </w:p>
        </w:tc>
        <w:tc>
          <w:tcPr>
            <w:tcW w:w="1940" w:type="dxa"/>
            <w:vAlign w:val="bottom"/>
          </w:tcPr>
          <w:p>
            <w:pPr>
              <w:jc w:val="center"/>
              <w:ind w:left="455"/>
              <w:spacing w:after="0"/>
              <w:rPr>
                <w:sz w:val="20"/>
                <w:szCs w:val="20"/>
                <w:color w:val="auto"/>
              </w:rPr>
            </w:pPr>
            <w:r>
              <w:rPr>
                <w:rFonts w:ascii="Arial" w:cs="Arial" w:eastAsia="Arial" w:hAnsi="Arial"/>
                <w:sz w:val="13"/>
                <w:szCs w:val="13"/>
                <w:color w:val="auto"/>
                <w:w w:val="90"/>
              </w:rPr>
              <w:t>August 14, 2007</w:t>
            </w:r>
          </w:p>
        </w:tc>
        <w:tc>
          <w:tcPr>
            <w:tcW w:w="1260" w:type="dxa"/>
            <w:vAlign w:val="bottom"/>
          </w:tcPr>
          <w:p>
            <w:pPr>
              <w:jc w:val="center"/>
              <w:spacing w:after="0"/>
              <w:rPr>
                <w:sz w:val="20"/>
                <w:szCs w:val="20"/>
                <w:color w:val="auto"/>
              </w:rPr>
            </w:pPr>
            <w:r>
              <w:rPr>
                <w:rFonts w:ascii="Arial" w:cs="Arial" w:eastAsia="Arial" w:hAnsi="Arial"/>
                <w:sz w:val="13"/>
                <w:szCs w:val="13"/>
                <w:color w:val="auto"/>
                <w:w w:val="91"/>
              </w:rPr>
              <w:t>-</w:t>
            </w:r>
          </w:p>
        </w:tc>
        <w:tc>
          <w:tcPr>
            <w:tcW w:w="1360" w:type="dxa"/>
            <w:vAlign w:val="bottom"/>
          </w:tcPr>
          <w:p>
            <w:pPr>
              <w:jc w:val="center"/>
              <w:spacing w:after="0"/>
              <w:rPr>
                <w:sz w:val="20"/>
                <w:szCs w:val="20"/>
                <w:color w:val="auto"/>
              </w:rPr>
            </w:pPr>
            <w:r>
              <w:rPr>
                <w:rFonts w:ascii="Arial" w:cs="Arial" w:eastAsia="Arial" w:hAnsi="Arial"/>
                <w:sz w:val="13"/>
                <w:szCs w:val="13"/>
                <w:color w:val="auto"/>
                <w:w w:val="91"/>
              </w:rPr>
              <w:t>-</w:t>
            </w:r>
          </w:p>
        </w:tc>
        <w:tc>
          <w:tcPr>
            <w:tcW w:w="1620" w:type="dxa"/>
            <w:vAlign w:val="bottom"/>
          </w:tcPr>
          <w:p>
            <w:pPr>
              <w:jc w:val="center"/>
              <w:ind w:right="35"/>
              <w:spacing w:after="0"/>
              <w:rPr>
                <w:sz w:val="20"/>
                <w:szCs w:val="20"/>
                <w:color w:val="auto"/>
              </w:rPr>
            </w:pPr>
            <w:r>
              <w:rPr>
                <w:rFonts w:ascii="Arial" w:cs="Arial" w:eastAsia="Arial" w:hAnsi="Arial"/>
                <w:sz w:val="13"/>
                <w:szCs w:val="13"/>
                <w:color w:val="auto"/>
                <w:w w:val="90"/>
              </w:rPr>
              <w:t>25,000</w:t>
            </w:r>
          </w:p>
        </w:tc>
        <w:tc>
          <w:tcPr>
            <w:tcW w:w="1400" w:type="dxa"/>
            <w:vAlign w:val="bottom"/>
          </w:tcPr>
          <w:p>
            <w:pPr>
              <w:jc w:val="center"/>
              <w:spacing w:after="0"/>
              <w:rPr>
                <w:sz w:val="20"/>
                <w:szCs w:val="20"/>
                <w:color w:val="auto"/>
              </w:rPr>
            </w:pPr>
            <w:r>
              <w:rPr>
                <w:rFonts w:ascii="Arial" w:cs="Arial" w:eastAsia="Arial" w:hAnsi="Arial"/>
                <w:sz w:val="13"/>
                <w:szCs w:val="13"/>
                <w:color w:val="auto"/>
                <w:w w:val="86"/>
              </w:rPr>
              <w:t>6.15</w:t>
            </w:r>
          </w:p>
        </w:tc>
        <w:tc>
          <w:tcPr>
            <w:tcW w:w="1500" w:type="dxa"/>
            <w:vAlign w:val="bottom"/>
          </w:tcPr>
          <w:p>
            <w:pPr>
              <w:jc w:val="center"/>
              <w:spacing w:after="0"/>
              <w:rPr>
                <w:sz w:val="20"/>
                <w:szCs w:val="20"/>
                <w:color w:val="auto"/>
              </w:rPr>
            </w:pPr>
            <w:r>
              <w:rPr>
                <w:rFonts w:ascii="Arial" w:cs="Arial" w:eastAsia="Arial" w:hAnsi="Arial"/>
                <w:sz w:val="13"/>
                <w:szCs w:val="13"/>
                <w:color w:val="auto"/>
                <w:w w:val="90"/>
              </w:rPr>
              <w:t>83,376</w:t>
            </w:r>
          </w:p>
        </w:tc>
        <w:tc>
          <w:tcPr>
            <w:tcW w:w="0" w:type="dxa"/>
            <w:vAlign w:val="bottom"/>
          </w:tcPr>
          <w:p>
            <w:pPr>
              <w:spacing w:after="0"/>
              <w:rPr>
                <w:sz w:val="1"/>
                <w:szCs w:val="1"/>
                <w:color w:val="auto"/>
              </w:rPr>
            </w:pPr>
          </w:p>
        </w:tc>
      </w:tr>
      <w:tr>
        <w:trPr>
          <w:trHeight w:val="304"/>
        </w:trPr>
        <w:tc>
          <w:tcPr>
            <w:tcW w:w="2400" w:type="dxa"/>
            <w:vAlign w:val="bottom"/>
          </w:tcPr>
          <w:p>
            <w:pPr>
              <w:spacing w:after="0"/>
              <w:rPr>
                <w:sz w:val="20"/>
                <w:szCs w:val="20"/>
                <w:color w:val="auto"/>
              </w:rPr>
            </w:pPr>
            <w:r>
              <w:rPr>
                <w:rFonts w:ascii="Arial" w:cs="Arial" w:eastAsia="Arial" w:hAnsi="Arial"/>
                <w:sz w:val="13"/>
                <w:szCs w:val="13"/>
                <w:color w:val="auto"/>
              </w:rPr>
              <w:t>Marthes Solamuthu</w:t>
            </w:r>
          </w:p>
        </w:tc>
        <w:tc>
          <w:tcPr>
            <w:tcW w:w="1940" w:type="dxa"/>
            <w:vAlign w:val="bottom"/>
          </w:tcPr>
          <w:p>
            <w:pPr>
              <w:jc w:val="center"/>
              <w:ind w:left="435"/>
              <w:spacing w:after="0"/>
              <w:rPr>
                <w:sz w:val="20"/>
                <w:szCs w:val="20"/>
                <w:color w:val="auto"/>
              </w:rPr>
            </w:pPr>
            <w:r>
              <w:rPr>
                <w:rFonts w:ascii="Arial" w:cs="Arial" w:eastAsia="Arial" w:hAnsi="Arial"/>
                <w:sz w:val="13"/>
                <w:szCs w:val="13"/>
                <w:color w:val="auto"/>
                <w:w w:val="91"/>
              </w:rPr>
              <w:t>-</w:t>
            </w:r>
          </w:p>
        </w:tc>
        <w:tc>
          <w:tcPr>
            <w:tcW w:w="1260" w:type="dxa"/>
            <w:vAlign w:val="bottom"/>
          </w:tcPr>
          <w:p>
            <w:pPr>
              <w:jc w:val="center"/>
              <w:spacing w:after="0"/>
              <w:rPr>
                <w:sz w:val="20"/>
                <w:szCs w:val="20"/>
                <w:color w:val="auto"/>
              </w:rPr>
            </w:pPr>
            <w:r>
              <w:rPr>
                <w:rFonts w:ascii="Arial" w:cs="Arial" w:eastAsia="Arial" w:hAnsi="Arial"/>
                <w:sz w:val="13"/>
                <w:szCs w:val="13"/>
                <w:color w:val="auto"/>
                <w:w w:val="90"/>
              </w:rPr>
              <w:t>77,500</w:t>
            </w:r>
          </w:p>
        </w:tc>
        <w:tc>
          <w:tcPr>
            <w:tcW w:w="1360" w:type="dxa"/>
            <w:vAlign w:val="bottom"/>
          </w:tcPr>
          <w:p>
            <w:pPr>
              <w:jc w:val="center"/>
              <w:spacing w:after="0"/>
              <w:rPr>
                <w:sz w:val="20"/>
                <w:szCs w:val="20"/>
                <w:color w:val="auto"/>
              </w:rPr>
            </w:pPr>
            <w:r>
              <w:rPr>
                <w:rFonts w:ascii="Arial" w:cs="Arial" w:eastAsia="Arial" w:hAnsi="Arial"/>
                <w:sz w:val="13"/>
                <w:szCs w:val="13"/>
                <w:color w:val="auto"/>
                <w:w w:val="89"/>
              </w:rPr>
              <w:t>108,500</w:t>
            </w:r>
          </w:p>
        </w:tc>
        <w:tc>
          <w:tcPr>
            <w:tcW w:w="1620" w:type="dxa"/>
            <w:vAlign w:val="bottom"/>
          </w:tcPr>
          <w:p>
            <w:pPr>
              <w:jc w:val="center"/>
              <w:spacing w:after="0"/>
              <w:rPr>
                <w:sz w:val="20"/>
                <w:szCs w:val="20"/>
                <w:color w:val="auto"/>
              </w:rPr>
            </w:pPr>
            <w:r>
              <w:rPr>
                <w:rFonts w:ascii="Arial" w:cs="Arial" w:eastAsia="Arial" w:hAnsi="Arial"/>
                <w:sz w:val="13"/>
                <w:szCs w:val="13"/>
                <w:color w:val="auto"/>
                <w:w w:val="91"/>
              </w:rPr>
              <w:t>-</w:t>
            </w:r>
          </w:p>
        </w:tc>
        <w:tc>
          <w:tcPr>
            <w:tcW w:w="1400" w:type="dxa"/>
            <w:vAlign w:val="bottom"/>
          </w:tcPr>
          <w:p>
            <w:pPr>
              <w:jc w:val="center"/>
              <w:spacing w:after="0"/>
              <w:rPr>
                <w:sz w:val="20"/>
                <w:szCs w:val="20"/>
                <w:color w:val="auto"/>
              </w:rPr>
            </w:pPr>
            <w:r>
              <w:rPr>
                <w:rFonts w:ascii="Arial" w:cs="Arial" w:eastAsia="Arial" w:hAnsi="Arial"/>
                <w:sz w:val="13"/>
                <w:szCs w:val="13"/>
                <w:color w:val="auto"/>
                <w:w w:val="91"/>
              </w:rPr>
              <w:t>-</w:t>
            </w:r>
          </w:p>
        </w:tc>
        <w:tc>
          <w:tcPr>
            <w:tcW w:w="1500" w:type="dxa"/>
            <w:vAlign w:val="bottom"/>
          </w:tcPr>
          <w:p>
            <w:pPr>
              <w:jc w:val="center"/>
              <w:spacing w:after="0"/>
              <w:rPr>
                <w:sz w:val="20"/>
                <w:szCs w:val="20"/>
                <w:color w:val="auto"/>
              </w:rPr>
            </w:pPr>
            <w:r>
              <w:rPr>
                <w:rFonts w:ascii="Arial" w:cs="Arial" w:eastAsia="Arial" w:hAnsi="Arial"/>
                <w:sz w:val="13"/>
                <w:szCs w:val="13"/>
                <w:color w:val="auto"/>
                <w:w w:val="91"/>
              </w:rPr>
              <w:t>-</w:t>
            </w:r>
          </w:p>
        </w:tc>
        <w:tc>
          <w:tcPr>
            <w:tcW w:w="0" w:type="dxa"/>
            <w:vAlign w:val="bottom"/>
          </w:tcPr>
          <w:p>
            <w:pPr>
              <w:spacing w:after="0"/>
              <w:rPr>
                <w:sz w:val="1"/>
                <w:szCs w:val="1"/>
                <w:color w:val="auto"/>
              </w:rPr>
            </w:pPr>
          </w:p>
        </w:tc>
      </w:tr>
      <w:tr>
        <w:trPr>
          <w:trHeight w:val="164"/>
        </w:trPr>
        <w:tc>
          <w:tcPr>
            <w:tcW w:w="2400" w:type="dxa"/>
            <w:vAlign w:val="bottom"/>
          </w:tcPr>
          <w:p>
            <w:pPr>
              <w:spacing w:after="0"/>
              <w:rPr>
                <w:sz w:val="14"/>
                <w:szCs w:val="14"/>
                <w:color w:val="auto"/>
              </w:rPr>
            </w:pPr>
          </w:p>
        </w:tc>
        <w:tc>
          <w:tcPr>
            <w:tcW w:w="1940" w:type="dxa"/>
            <w:vAlign w:val="bottom"/>
          </w:tcPr>
          <w:p>
            <w:pPr>
              <w:jc w:val="center"/>
              <w:ind w:left="455"/>
              <w:spacing w:after="0"/>
              <w:rPr>
                <w:sz w:val="20"/>
                <w:szCs w:val="20"/>
                <w:color w:val="auto"/>
              </w:rPr>
            </w:pPr>
            <w:r>
              <w:rPr>
                <w:rFonts w:ascii="Arial" w:cs="Arial" w:eastAsia="Arial" w:hAnsi="Arial"/>
                <w:sz w:val="13"/>
                <w:szCs w:val="13"/>
                <w:color w:val="auto"/>
                <w:w w:val="90"/>
              </w:rPr>
              <w:t>August 14, 2007</w:t>
            </w:r>
          </w:p>
        </w:tc>
        <w:tc>
          <w:tcPr>
            <w:tcW w:w="1260" w:type="dxa"/>
            <w:vAlign w:val="bottom"/>
          </w:tcPr>
          <w:p>
            <w:pPr>
              <w:jc w:val="center"/>
              <w:spacing w:after="0"/>
              <w:rPr>
                <w:sz w:val="20"/>
                <w:szCs w:val="20"/>
                <w:color w:val="auto"/>
              </w:rPr>
            </w:pPr>
            <w:r>
              <w:rPr>
                <w:rFonts w:ascii="Arial" w:cs="Arial" w:eastAsia="Arial" w:hAnsi="Arial"/>
                <w:sz w:val="13"/>
                <w:szCs w:val="13"/>
                <w:color w:val="auto"/>
                <w:w w:val="91"/>
              </w:rPr>
              <w:t>-</w:t>
            </w:r>
          </w:p>
        </w:tc>
        <w:tc>
          <w:tcPr>
            <w:tcW w:w="1360" w:type="dxa"/>
            <w:vAlign w:val="bottom"/>
          </w:tcPr>
          <w:p>
            <w:pPr>
              <w:jc w:val="center"/>
              <w:spacing w:after="0"/>
              <w:rPr>
                <w:sz w:val="20"/>
                <w:szCs w:val="20"/>
                <w:color w:val="auto"/>
              </w:rPr>
            </w:pPr>
            <w:r>
              <w:rPr>
                <w:rFonts w:ascii="Arial" w:cs="Arial" w:eastAsia="Arial" w:hAnsi="Arial"/>
                <w:sz w:val="13"/>
                <w:szCs w:val="13"/>
                <w:color w:val="auto"/>
                <w:w w:val="91"/>
              </w:rPr>
              <w:t>-</w:t>
            </w:r>
          </w:p>
        </w:tc>
        <w:tc>
          <w:tcPr>
            <w:tcW w:w="1620" w:type="dxa"/>
            <w:vAlign w:val="bottom"/>
          </w:tcPr>
          <w:p>
            <w:pPr>
              <w:jc w:val="center"/>
              <w:ind w:right="35"/>
              <w:spacing w:after="0"/>
              <w:rPr>
                <w:sz w:val="20"/>
                <w:szCs w:val="20"/>
                <w:color w:val="auto"/>
              </w:rPr>
            </w:pPr>
            <w:r>
              <w:rPr>
                <w:rFonts w:ascii="Arial" w:cs="Arial" w:eastAsia="Arial" w:hAnsi="Arial"/>
                <w:sz w:val="13"/>
                <w:szCs w:val="13"/>
                <w:color w:val="auto"/>
                <w:w w:val="90"/>
              </w:rPr>
              <w:t>50,000</w:t>
            </w:r>
          </w:p>
        </w:tc>
        <w:tc>
          <w:tcPr>
            <w:tcW w:w="1400" w:type="dxa"/>
            <w:vAlign w:val="bottom"/>
          </w:tcPr>
          <w:p>
            <w:pPr>
              <w:jc w:val="center"/>
              <w:spacing w:after="0"/>
              <w:rPr>
                <w:sz w:val="20"/>
                <w:szCs w:val="20"/>
                <w:color w:val="auto"/>
              </w:rPr>
            </w:pPr>
            <w:r>
              <w:rPr>
                <w:rFonts w:ascii="Arial" w:cs="Arial" w:eastAsia="Arial" w:hAnsi="Arial"/>
                <w:sz w:val="13"/>
                <w:szCs w:val="13"/>
                <w:color w:val="auto"/>
                <w:w w:val="86"/>
              </w:rPr>
              <w:t>6.15</w:t>
            </w:r>
          </w:p>
        </w:tc>
        <w:tc>
          <w:tcPr>
            <w:tcW w:w="1500" w:type="dxa"/>
            <w:vAlign w:val="bottom"/>
          </w:tcPr>
          <w:p>
            <w:pPr>
              <w:jc w:val="center"/>
              <w:ind w:right="15"/>
              <w:spacing w:after="0"/>
              <w:rPr>
                <w:sz w:val="20"/>
                <w:szCs w:val="20"/>
                <w:color w:val="auto"/>
              </w:rPr>
            </w:pPr>
            <w:r>
              <w:rPr>
                <w:rFonts w:ascii="Arial" w:cs="Arial" w:eastAsia="Arial" w:hAnsi="Arial"/>
                <w:sz w:val="13"/>
                <w:szCs w:val="13"/>
                <w:color w:val="auto"/>
                <w:w w:val="89"/>
              </w:rPr>
              <w:t>166,752</w:t>
            </w:r>
          </w:p>
        </w:tc>
        <w:tc>
          <w:tcPr>
            <w:tcW w:w="0" w:type="dxa"/>
            <w:vAlign w:val="bottom"/>
          </w:tcPr>
          <w:p>
            <w:pPr>
              <w:spacing w:after="0"/>
              <w:rPr>
                <w:sz w:val="1"/>
                <w:szCs w:val="1"/>
                <w:color w:val="auto"/>
              </w:rPr>
            </w:pPr>
          </w:p>
        </w:tc>
      </w:tr>
      <w:tr>
        <w:trPr>
          <w:trHeight w:val="304"/>
        </w:trPr>
        <w:tc>
          <w:tcPr>
            <w:tcW w:w="2400" w:type="dxa"/>
            <w:vAlign w:val="bottom"/>
          </w:tcPr>
          <w:p>
            <w:pPr>
              <w:spacing w:after="0"/>
              <w:rPr>
                <w:sz w:val="20"/>
                <w:szCs w:val="20"/>
                <w:color w:val="auto"/>
              </w:rPr>
            </w:pPr>
            <w:r>
              <w:rPr>
                <w:rFonts w:ascii="Arial" w:cs="Arial" w:eastAsia="Arial" w:hAnsi="Arial"/>
                <w:sz w:val="13"/>
                <w:szCs w:val="13"/>
                <w:color w:val="auto"/>
              </w:rPr>
              <w:t>Steven P. Andresen (6)</w:t>
            </w:r>
          </w:p>
        </w:tc>
        <w:tc>
          <w:tcPr>
            <w:tcW w:w="1940" w:type="dxa"/>
            <w:vAlign w:val="bottom"/>
          </w:tcPr>
          <w:p>
            <w:pPr>
              <w:jc w:val="center"/>
              <w:ind w:left="435"/>
              <w:spacing w:after="0"/>
              <w:rPr>
                <w:sz w:val="20"/>
                <w:szCs w:val="20"/>
                <w:color w:val="auto"/>
              </w:rPr>
            </w:pPr>
            <w:r>
              <w:rPr>
                <w:rFonts w:ascii="Arial" w:cs="Arial" w:eastAsia="Arial" w:hAnsi="Arial"/>
                <w:sz w:val="13"/>
                <w:szCs w:val="13"/>
                <w:color w:val="auto"/>
                <w:w w:val="91"/>
              </w:rPr>
              <w:t>-</w:t>
            </w:r>
          </w:p>
        </w:tc>
        <w:tc>
          <w:tcPr>
            <w:tcW w:w="1260" w:type="dxa"/>
            <w:vAlign w:val="bottom"/>
          </w:tcPr>
          <w:p>
            <w:pPr>
              <w:jc w:val="center"/>
              <w:spacing w:after="0"/>
              <w:rPr>
                <w:sz w:val="20"/>
                <w:szCs w:val="20"/>
                <w:color w:val="auto"/>
              </w:rPr>
            </w:pPr>
            <w:r>
              <w:rPr>
                <w:rFonts w:ascii="Arial" w:cs="Arial" w:eastAsia="Arial" w:hAnsi="Arial"/>
                <w:sz w:val="13"/>
                <w:szCs w:val="13"/>
                <w:color w:val="auto"/>
                <w:w w:val="90"/>
              </w:rPr>
              <w:t>70,000</w:t>
            </w:r>
          </w:p>
        </w:tc>
        <w:tc>
          <w:tcPr>
            <w:tcW w:w="1360" w:type="dxa"/>
            <w:vAlign w:val="bottom"/>
          </w:tcPr>
          <w:p>
            <w:pPr>
              <w:jc w:val="center"/>
              <w:spacing w:after="0"/>
              <w:rPr>
                <w:sz w:val="20"/>
                <w:szCs w:val="20"/>
                <w:color w:val="auto"/>
              </w:rPr>
            </w:pPr>
            <w:r>
              <w:rPr>
                <w:rFonts w:ascii="Arial" w:cs="Arial" w:eastAsia="Arial" w:hAnsi="Arial"/>
                <w:sz w:val="13"/>
                <w:szCs w:val="13"/>
                <w:color w:val="auto"/>
                <w:w w:val="90"/>
              </w:rPr>
              <w:t>98,000</w:t>
            </w:r>
          </w:p>
        </w:tc>
        <w:tc>
          <w:tcPr>
            <w:tcW w:w="1620" w:type="dxa"/>
            <w:vAlign w:val="bottom"/>
          </w:tcPr>
          <w:p>
            <w:pPr>
              <w:jc w:val="center"/>
              <w:spacing w:after="0"/>
              <w:rPr>
                <w:sz w:val="20"/>
                <w:szCs w:val="20"/>
                <w:color w:val="auto"/>
              </w:rPr>
            </w:pPr>
            <w:r>
              <w:rPr>
                <w:rFonts w:ascii="Arial" w:cs="Arial" w:eastAsia="Arial" w:hAnsi="Arial"/>
                <w:sz w:val="13"/>
                <w:szCs w:val="13"/>
                <w:color w:val="auto"/>
                <w:w w:val="91"/>
              </w:rPr>
              <w:t>-</w:t>
            </w:r>
          </w:p>
        </w:tc>
        <w:tc>
          <w:tcPr>
            <w:tcW w:w="1400" w:type="dxa"/>
            <w:vAlign w:val="bottom"/>
          </w:tcPr>
          <w:p>
            <w:pPr>
              <w:jc w:val="center"/>
              <w:spacing w:after="0"/>
              <w:rPr>
                <w:sz w:val="20"/>
                <w:szCs w:val="20"/>
                <w:color w:val="auto"/>
              </w:rPr>
            </w:pPr>
            <w:r>
              <w:rPr>
                <w:rFonts w:ascii="Arial" w:cs="Arial" w:eastAsia="Arial" w:hAnsi="Arial"/>
                <w:sz w:val="13"/>
                <w:szCs w:val="13"/>
                <w:color w:val="auto"/>
                <w:w w:val="91"/>
              </w:rPr>
              <w:t>-</w:t>
            </w:r>
          </w:p>
        </w:tc>
        <w:tc>
          <w:tcPr>
            <w:tcW w:w="1500" w:type="dxa"/>
            <w:vAlign w:val="bottom"/>
          </w:tcPr>
          <w:p>
            <w:pPr>
              <w:jc w:val="center"/>
              <w:spacing w:after="0"/>
              <w:rPr>
                <w:sz w:val="20"/>
                <w:szCs w:val="20"/>
                <w:color w:val="auto"/>
              </w:rPr>
            </w:pPr>
            <w:r>
              <w:rPr>
                <w:rFonts w:ascii="Arial" w:cs="Arial" w:eastAsia="Arial" w:hAnsi="Arial"/>
                <w:sz w:val="13"/>
                <w:szCs w:val="13"/>
                <w:color w:val="auto"/>
                <w:w w:val="91"/>
              </w:rPr>
              <w:t>-</w:t>
            </w:r>
          </w:p>
        </w:tc>
        <w:tc>
          <w:tcPr>
            <w:tcW w:w="0" w:type="dxa"/>
            <w:vAlign w:val="bottom"/>
          </w:tcPr>
          <w:p>
            <w:pPr>
              <w:spacing w:after="0"/>
              <w:rPr>
                <w:sz w:val="1"/>
                <w:szCs w:val="1"/>
                <w:color w:val="auto"/>
              </w:rPr>
            </w:pPr>
          </w:p>
        </w:tc>
      </w:tr>
      <w:tr>
        <w:trPr>
          <w:trHeight w:val="164"/>
        </w:trPr>
        <w:tc>
          <w:tcPr>
            <w:tcW w:w="2400" w:type="dxa"/>
            <w:vAlign w:val="bottom"/>
            <w:vMerge w:val="restart"/>
          </w:tcPr>
          <w:p>
            <w:pPr>
              <w:ind w:left="40"/>
              <w:spacing w:after="0"/>
              <w:rPr>
                <w:sz w:val="20"/>
                <w:szCs w:val="20"/>
                <w:color w:val="auto"/>
              </w:rPr>
            </w:pPr>
            <w:r>
              <w:rPr>
                <w:rFonts w:ascii="Arial" w:cs="Arial" w:eastAsia="Arial" w:hAnsi="Arial"/>
                <w:sz w:val="13"/>
                <w:szCs w:val="13"/>
                <w:color w:val="auto"/>
              </w:rPr>
              <w:t>_______________</w:t>
            </w:r>
          </w:p>
        </w:tc>
        <w:tc>
          <w:tcPr>
            <w:tcW w:w="1940" w:type="dxa"/>
            <w:vAlign w:val="bottom"/>
          </w:tcPr>
          <w:p>
            <w:pPr>
              <w:jc w:val="center"/>
              <w:ind w:left="455"/>
              <w:spacing w:after="0"/>
              <w:rPr>
                <w:sz w:val="20"/>
                <w:szCs w:val="20"/>
                <w:color w:val="auto"/>
              </w:rPr>
            </w:pPr>
            <w:r>
              <w:rPr>
                <w:rFonts w:ascii="Arial" w:cs="Arial" w:eastAsia="Arial" w:hAnsi="Arial"/>
                <w:sz w:val="13"/>
                <w:szCs w:val="13"/>
                <w:color w:val="auto"/>
                <w:w w:val="90"/>
              </w:rPr>
              <w:t>August 14, 2007</w:t>
            </w:r>
          </w:p>
        </w:tc>
        <w:tc>
          <w:tcPr>
            <w:tcW w:w="1260" w:type="dxa"/>
            <w:vAlign w:val="bottom"/>
          </w:tcPr>
          <w:p>
            <w:pPr>
              <w:jc w:val="center"/>
              <w:spacing w:after="0"/>
              <w:rPr>
                <w:sz w:val="20"/>
                <w:szCs w:val="20"/>
                <w:color w:val="auto"/>
              </w:rPr>
            </w:pPr>
            <w:r>
              <w:rPr>
                <w:rFonts w:ascii="Arial" w:cs="Arial" w:eastAsia="Arial" w:hAnsi="Arial"/>
                <w:sz w:val="13"/>
                <w:szCs w:val="13"/>
                <w:color w:val="auto"/>
                <w:w w:val="91"/>
              </w:rPr>
              <w:t>-</w:t>
            </w:r>
          </w:p>
        </w:tc>
        <w:tc>
          <w:tcPr>
            <w:tcW w:w="1360" w:type="dxa"/>
            <w:vAlign w:val="bottom"/>
          </w:tcPr>
          <w:p>
            <w:pPr>
              <w:jc w:val="center"/>
              <w:spacing w:after="0"/>
              <w:rPr>
                <w:sz w:val="20"/>
                <w:szCs w:val="20"/>
                <w:color w:val="auto"/>
              </w:rPr>
            </w:pPr>
            <w:r>
              <w:rPr>
                <w:rFonts w:ascii="Arial" w:cs="Arial" w:eastAsia="Arial" w:hAnsi="Arial"/>
                <w:sz w:val="13"/>
                <w:szCs w:val="13"/>
                <w:color w:val="auto"/>
                <w:w w:val="91"/>
              </w:rPr>
              <w:t>-</w:t>
            </w:r>
          </w:p>
        </w:tc>
        <w:tc>
          <w:tcPr>
            <w:tcW w:w="1620" w:type="dxa"/>
            <w:vAlign w:val="bottom"/>
          </w:tcPr>
          <w:p>
            <w:pPr>
              <w:jc w:val="center"/>
              <w:spacing w:after="0"/>
              <w:rPr>
                <w:sz w:val="20"/>
                <w:szCs w:val="20"/>
                <w:color w:val="auto"/>
              </w:rPr>
            </w:pPr>
            <w:r>
              <w:rPr>
                <w:rFonts w:ascii="Arial" w:cs="Arial" w:eastAsia="Arial" w:hAnsi="Arial"/>
                <w:sz w:val="13"/>
                <w:szCs w:val="13"/>
                <w:color w:val="auto"/>
                <w:w w:val="90"/>
              </w:rPr>
              <w:t>40,000</w:t>
            </w:r>
          </w:p>
        </w:tc>
        <w:tc>
          <w:tcPr>
            <w:tcW w:w="1400" w:type="dxa"/>
            <w:vAlign w:val="bottom"/>
          </w:tcPr>
          <w:p>
            <w:pPr>
              <w:jc w:val="center"/>
              <w:spacing w:after="0"/>
              <w:rPr>
                <w:sz w:val="20"/>
                <w:szCs w:val="20"/>
                <w:color w:val="auto"/>
              </w:rPr>
            </w:pPr>
            <w:r>
              <w:rPr>
                <w:rFonts w:ascii="Arial" w:cs="Arial" w:eastAsia="Arial" w:hAnsi="Arial"/>
                <w:sz w:val="13"/>
                <w:szCs w:val="13"/>
                <w:color w:val="auto"/>
                <w:w w:val="86"/>
              </w:rPr>
              <w:t>6.15</w:t>
            </w:r>
          </w:p>
        </w:tc>
        <w:tc>
          <w:tcPr>
            <w:tcW w:w="1500" w:type="dxa"/>
            <w:vAlign w:val="bottom"/>
          </w:tcPr>
          <w:p>
            <w:pPr>
              <w:jc w:val="center"/>
              <w:ind w:right="15"/>
              <w:spacing w:after="0"/>
              <w:rPr>
                <w:sz w:val="20"/>
                <w:szCs w:val="20"/>
                <w:color w:val="auto"/>
              </w:rPr>
            </w:pPr>
            <w:r>
              <w:rPr>
                <w:rFonts w:ascii="Arial" w:cs="Arial" w:eastAsia="Arial" w:hAnsi="Arial"/>
                <w:sz w:val="13"/>
                <w:szCs w:val="13"/>
                <w:color w:val="auto"/>
                <w:w w:val="89"/>
              </w:rPr>
              <w:t>133,402</w:t>
            </w:r>
          </w:p>
        </w:tc>
        <w:tc>
          <w:tcPr>
            <w:tcW w:w="0" w:type="dxa"/>
            <w:vAlign w:val="bottom"/>
          </w:tcPr>
          <w:p>
            <w:pPr>
              <w:spacing w:after="0"/>
              <w:rPr>
                <w:sz w:val="1"/>
                <w:szCs w:val="1"/>
                <w:color w:val="auto"/>
              </w:rPr>
            </w:pPr>
          </w:p>
        </w:tc>
      </w:tr>
      <w:tr>
        <w:trPr>
          <w:trHeight w:val="156"/>
        </w:trPr>
        <w:tc>
          <w:tcPr>
            <w:tcW w:w="2400" w:type="dxa"/>
            <w:vAlign w:val="bottom"/>
            <w:vMerge w:val="continue"/>
          </w:tcPr>
          <w:p>
            <w:pPr>
              <w:spacing w:after="0"/>
              <w:rPr>
                <w:sz w:val="13"/>
                <w:szCs w:val="13"/>
                <w:color w:val="auto"/>
              </w:rPr>
            </w:pPr>
          </w:p>
        </w:tc>
        <w:tc>
          <w:tcPr>
            <w:tcW w:w="194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162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167" w:lineRule="exact"/>
        <w:rPr>
          <w:sz w:val="20"/>
          <w:szCs w:val="20"/>
          <w:color w:val="auto"/>
        </w:rPr>
      </w:pPr>
    </w:p>
    <w:p>
      <w:pPr>
        <w:ind w:left="462" w:right="20" w:hanging="462"/>
        <w:spacing w:after="0" w:line="315" w:lineRule="auto"/>
        <w:tabs>
          <w:tab w:leader="none" w:pos="462" w:val="left"/>
        </w:tabs>
        <w:numPr>
          <w:ilvl w:val="0"/>
          <w:numId w:val="9"/>
        </w:numPr>
        <w:rPr>
          <w:rFonts w:ascii="Arial" w:cs="Arial" w:eastAsia="Arial" w:hAnsi="Arial"/>
          <w:sz w:val="12"/>
          <w:szCs w:val="12"/>
          <w:color w:val="auto"/>
        </w:rPr>
      </w:pPr>
      <w:r>
        <w:rPr>
          <w:rFonts w:ascii="Arial" w:cs="Arial" w:eastAsia="Arial" w:hAnsi="Arial"/>
          <w:sz w:val="12"/>
          <w:szCs w:val="12"/>
          <w:color w:val="auto"/>
        </w:rPr>
        <w:t>Listed target amounts reflect possible incentive performance bonuses applicable to fiscal 2008 to be paid upon individual’s meeting specific performance criteria. Actual performance based bonuses paid and accrued for fiscal 2008 are listed in the “Non-Equity Incentive Plan Compensation” column in the 2008 “Summary Compensation Table”. The threshold (minimum) payout for each award is $0.</w:t>
      </w:r>
    </w:p>
    <w:p>
      <w:pPr>
        <w:spacing w:after="0" w:line="124" w:lineRule="exact"/>
        <w:rPr>
          <w:rFonts w:ascii="Arial" w:cs="Arial" w:eastAsia="Arial" w:hAnsi="Arial"/>
          <w:sz w:val="12"/>
          <w:szCs w:val="12"/>
          <w:color w:val="auto"/>
        </w:rPr>
      </w:pPr>
    </w:p>
    <w:p>
      <w:pPr>
        <w:ind w:left="462" w:right="20" w:hanging="462"/>
        <w:spacing w:after="0" w:line="272" w:lineRule="auto"/>
        <w:tabs>
          <w:tab w:leader="none" w:pos="462" w:val="left"/>
        </w:tabs>
        <w:numPr>
          <w:ilvl w:val="0"/>
          <w:numId w:val="9"/>
        </w:numPr>
        <w:rPr>
          <w:rFonts w:ascii="Arial" w:cs="Arial" w:eastAsia="Arial" w:hAnsi="Arial"/>
          <w:sz w:val="13"/>
          <w:szCs w:val="13"/>
          <w:color w:val="auto"/>
        </w:rPr>
      </w:pPr>
      <w:r>
        <w:rPr>
          <w:rFonts w:ascii="Arial" w:cs="Arial" w:eastAsia="Arial" w:hAnsi="Arial"/>
          <w:sz w:val="13"/>
          <w:szCs w:val="13"/>
          <w:color w:val="auto"/>
        </w:rPr>
        <w:t>Listed maximum amounts reflect estimated incentive performance maximum bonuses applicable to fiscal 2008 to be paid upon individual exceeding specific performance criteria. Actual performance based bonuses earned for fiscal 2008 are listed in the “Non-Equity Incentive Plan Compensation” column in the 2008 “Summary Compensation Table.”</w:t>
      </w:r>
    </w:p>
    <w:p>
      <w:pPr>
        <w:spacing w:after="0" w:line="148" w:lineRule="exact"/>
        <w:rPr>
          <w:rFonts w:ascii="Arial" w:cs="Arial" w:eastAsia="Arial" w:hAnsi="Arial"/>
          <w:sz w:val="13"/>
          <w:szCs w:val="13"/>
          <w:color w:val="auto"/>
        </w:rPr>
      </w:pPr>
    </w:p>
    <w:p>
      <w:pPr>
        <w:ind w:left="462" w:hanging="462"/>
        <w:spacing w:after="0"/>
        <w:tabs>
          <w:tab w:leader="none" w:pos="462" w:val="left"/>
        </w:tabs>
        <w:numPr>
          <w:ilvl w:val="0"/>
          <w:numId w:val="9"/>
        </w:numPr>
        <w:rPr>
          <w:rFonts w:ascii="Arial" w:cs="Arial" w:eastAsia="Arial" w:hAnsi="Arial"/>
          <w:sz w:val="13"/>
          <w:szCs w:val="13"/>
          <w:color w:val="auto"/>
        </w:rPr>
      </w:pPr>
      <w:r>
        <w:rPr>
          <w:rFonts w:ascii="Arial" w:cs="Arial" w:eastAsia="Arial" w:hAnsi="Arial"/>
          <w:sz w:val="13"/>
          <w:szCs w:val="13"/>
          <w:color w:val="auto"/>
        </w:rPr>
        <w:t>Stock options fully vest three years from the date of grant.</w:t>
      </w:r>
    </w:p>
    <w:p>
      <w:pPr>
        <w:spacing w:after="0" w:line="181" w:lineRule="exact"/>
        <w:rPr>
          <w:rFonts w:ascii="Arial" w:cs="Arial" w:eastAsia="Arial" w:hAnsi="Arial"/>
          <w:sz w:val="13"/>
          <w:szCs w:val="13"/>
          <w:color w:val="auto"/>
        </w:rPr>
      </w:pPr>
    </w:p>
    <w:p>
      <w:pPr>
        <w:ind w:left="462" w:hanging="462"/>
        <w:spacing w:after="0"/>
        <w:tabs>
          <w:tab w:leader="none" w:pos="462" w:val="left"/>
        </w:tabs>
        <w:numPr>
          <w:ilvl w:val="0"/>
          <w:numId w:val="9"/>
        </w:numPr>
        <w:rPr>
          <w:rFonts w:ascii="Arial" w:cs="Arial" w:eastAsia="Arial" w:hAnsi="Arial"/>
          <w:sz w:val="13"/>
          <w:szCs w:val="13"/>
          <w:color w:val="auto"/>
        </w:rPr>
      </w:pPr>
      <w:r>
        <w:rPr>
          <w:rFonts w:ascii="Arial" w:cs="Arial" w:eastAsia="Arial" w:hAnsi="Arial"/>
          <w:sz w:val="13"/>
          <w:szCs w:val="13"/>
          <w:color w:val="auto"/>
        </w:rPr>
        <w:t>The exercise price per share under each stock option is the closing price of our common stock on the date of grant.</w:t>
      </w:r>
    </w:p>
    <w:p>
      <w:pPr>
        <w:spacing w:after="0" w:line="181" w:lineRule="exact"/>
        <w:rPr>
          <w:rFonts w:ascii="Arial" w:cs="Arial" w:eastAsia="Arial" w:hAnsi="Arial"/>
          <w:sz w:val="13"/>
          <w:szCs w:val="13"/>
          <w:color w:val="auto"/>
        </w:rPr>
      </w:pPr>
    </w:p>
    <w:p>
      <w:pPr>
        <w:ind w:left="462" w:right="20" w:hanging="462"/>
        <w:spacing w:after="0" w:line="272" w:lineRule="auto"/>
        <w:tabs>
          <w:tab w:leader="none" w:pos="462" w:val="left"/>
        </w:tabs>
        <w:numPr>
          <w:ilvl w:val="0"/>
          <w:numId w:val="9"/>
        </w:numPr>
        <w:rPr>
          <w:rFonts w:ascii="Arial" w:cs="Arial" w:eastAsia="Arial" w:hAnsi="Arial"/>
          <w:sz w:val="13"/>
          <w:szCs w:val="13"/>
          <w:color w:val="auto"/>
        </w:rPr>
      </w:pPr>
      <w:r>
        <w:rPr>
          <w:rFonts w:ascii="Arial" w:cs="Arial" w:eastAsia="Arial" w:hAnsi="Arial"/>
          <w:sz w:val="13"/>
          <w:szCs w:val="13"/>
          <w:color w:val="auto"/>
        </w:rPr>
        <w:t>Fair value of the options as computed under SFAS 123(R) and the expense attributable to stock awards. Generally, we expense these amounts in our financial statements over the term of the award’s vesting schedule.</w:t>
      </w:r>
    </w:p>
    <w:p>
      <w:pPr>
        <w:spacing w:after="0" w:line="148" w:lineRule="exact"/>
        <w:rPr>
          <w:rFonts w:ascii="Arial" w:cs="Arial" w:eastAsia="Arial" w:hAnsi="Arial"/>
          <w:sz w:val="13"/>
          <w:szCs w:val="13"/>
          <w:color w:val="auto"/>
        </w:rPr>
      </w:pPr>
    </w:p>
    <w:p>
      <w:pPr>
        <w:ind w:left="462" w:hanging="462"/>
        <w:spacing w:after="0"/>
        <w:tabs>
          <w:tab w:leader="none" w:pos="462" w:val="left"/>
        </w:tabs>
        <w:numPr>
          <w:ilvl w:val="0"/>
          <w:numId w:val="9"/>
        </w:numPr>
        <w:rPr>
          <w:rFonts w:ascii="Arial" w:cs="Arial" w:eastAsia="Arial" w:hAnsi="Arial"/>
          <w:sz w:val="13"/>
          <w:szCs w:val="13"/>
          <w:color w:val="auto"/>
        </w:rPr>
      </w:pPr>
      <w:r>
        <w:rPr>
          <w:rFonts w:ascii="Arial" w:cs="Arial" w:eastAsia="Arial" w:hAnsi="Arial"/>
          <w:sz w:val="13"/>
          <w:szCs w:val="13"/>
          <w:color w:val="auto"/>
        </w:rPr>
        <w:t>Mr. Andresen terminated his employment with us during February 2008.</w:t>
      </w:r>
    </w:p>
    <w:p>
      <w:pPr>
        <w:spacing w:after="0" w:line="353" w:lineRule="exact"/>
        <w:rPr>
          <w:sz w:val="20"/>
          <w:szCs w:val="20"/>
          <w:color w:val="auto"/>
        </w:rPr>
      </w:pPr>
    </w:p>
    <w:p>
      <w:pPr>
        <w:ind w:left="2"/>
        <w:spacing w:after="0"/>
        <w:rPr>
          <w:sz w:val="20"/>
          <w:szCs w:val="20"/>
          <w:color w:val="auto"/>
        </w:rPr>
      </w:pPr>
      <w:r>
        <w:rPr>
          <w:rFonts w:ascii="Arial" w:cs="Arial" w:eastAsia="Arial" w:hAnsi="Arial"/>
          <w:sz w:val="13"/>
          <w:szCs w:val="13"/>
          <w:b w:val="1"/>
          <w:bCs w:val="1"/>
          <w:color w:val="auto"/>
        </w:rPr>
        <w:t>Additional Narrative Disclosure to the Summary Compensation Table and Grants of Plan-Based Awards Table</w:t>
      </w:r>
    </w:p>
    <w:p>
      <w:pPr>
        <w:spacing w:after="0" w:line="186" w:lineRule="exact"/>
        <w:rPr>
          <w:sz w:val="20"/>
          <w:szCs w:val="20"/>
          <w:color w:val="auto"/>
        </w:rPr>
      </w:pPr>
    </w:p>
    <w:p>
      <w:pPr>
        <w:jc w:val="both"/>
        <w:ind w:left="2" w:right="20" w:firstLine="467"/>
        <w:spacing w:after="0" w:line="285" w:lineRule="auto"/>
        <w:rPr>
          <w:sz w:val="20"/>
          <w:szCs w:val="20"/>
          <w:color w:val="auto"/>
        </w:rPr>
      </w:pPr>
      <w:r>
        <w:rPr>
          <w:rFonts w:ascii="Arial" w:cs="Arial" w:eastAsia="Arial" w:hAnsi="Arial"/>
          <w:sz w:val="12"/>
          <w:szCs w:val="12"/>
          <w:color w:val="auto"/>
        </w:rPr>
        <w:t>The Compensation Committee establishes the criteria, and directs the implementation, of all compensation program elements for the executive officers. Generally, the base salary for each named executive officer is set at the beginning of each fiscal year by our Board of Directors after review of the recommendation of the Compensation Committee. At its August 2008 meeting, the Compensation Committee authorized the increase in base salary of two of our named executive officers; Zee Hakimoglu’s base salary was increased from $200,000 to $220,000 and Tracy Bathurst’s salary was increased from $140,000 to $145,000. Additionally, Ms. Hakimoglu became eligible for our incentive performance bonus plan. She had formerly been granted additional stock options in lieu of being eligible for incentive performance bonuses.</w:t>
      </w:r>
    </w:p>
    <w:p>
      <w:pPr>
        <w:spacing w:after="0" w:line="200" w:lineRule="exact"/>
        <w:rPr>
          <w:sz w:val="20"/>
          <w:szCs w:val="20"/>
          <w:color w:val="auto"/>
        </w:rPr>
      </w:pPr>
    </w:p>
    <w:p>
      <w:pPr>
        <w:spacing w:after="0" w:line="226" w:lineRule="exact"/>
        <w:rPr>
          <w:sz w:val="20"/>
          <w:szCs w:val="20"/>
          <w:color w:val="auto"/>
        </w:rPr>
      </w:pPr>
    </w:p>
    <w:p>
      <w:pPr>
        <w:jc w:val="center"/>
        <w:ind w:right="18"/>
        <w:spacing w:after="0"/>
        <w:rPr>
          <w:sz w:val="20"/>
          <w:szCs w:val="20"/>
          <w:color w:val="auto"/>
        </w:rPr>
      </w:pPr>
      <w:r>
        <w:rPr>
          <w:rFonts w:ascii="Arial" w:cs="Arial" w:eastAsia="Arial" w:hAnsi="Arial"/>
          <w:sz w:val="13"/>
          <w:szCs w:val="13"/>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55880</wp:posOffset>
            </wp:positionV>
            <wp:extent cx="7291070" cy="1905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91070" cy="19050"/>
                    </a:xfrm>
                    <a:prstGeom prst="rect">
                      <a:avLst/>
                    </a:prstGeom>
                    <a:noFill/>
                  </pic:spPr>
                </pic:pic>
              </a:graphicData>
            </a:graphic>
          </wp:anchor>
        </w:drawing>
      </w:r>
    </w:p>
    <w:p>
      <w:pPr>
        <w:sectPr>
          <w:pgSz w:w="11900" w:h="16838" w:orient="portrait"/>
          <w:cols w:equalWidth="0" w:num="1">
            <w:col w:w="11482"/>
          </w:cols>
          <w:pgMar w:left="218" w:top="409" w:right="199" w:bottom="1440" w:gutter="0" w:footer="0" w:header="0"/>
        </w:sectPr>
      </w:pPr>
    </w:p>
    <w:bookmarkStart w:id="13" w:name="page14"/>
    <w:bookmarkEnd w:id="13"/>
    <w:tbl>
      <w:tblPr>
        <w:tblLayout w:type="fixed"/>
        <w:tblInd w:w="2" w:type="dxa"/>
        <w:tblCellMar>
          <w:top w:w="0" w:type="dxa"/>
          <w:left w:w="0" w:type="dxa"/>
          <w:bottom w:w="0" w:type="dxa"/>
          <w:right w:w="0" w:type="dxa"/>
        </w:tblCellMar>
      </w:tblPr>
      <w:tr>
        <w:trPr>
          <w:trHeight w:val="168"/>
        </w:trPr>
        <w:tc>
          <w:tcPr>
            <w:tcW w:w="3220" w:type="dxa"/>
            <w:vAlign w:val="bottom"/>
          </w:tcPr>
          <w:p>
            <w:pPr>
              <w:spacing w:after="0"/>
              <w:rPr>
                <w:sz w:val="14"/>
                <w:szCs w:val="14"/>
                <w:color w:val="auto"/>
              </w:rPr>
            </w:pPr>
          </w:p>
        </w:tc>
        <w:tc>
          <w:tcPr>
            <w:tcW w:w="5500" w:type="dxa"/>
            <w:vAlign w:val="bottom"/>
            <w:gridSpan w:val="2"/>
          </w:tcPr>
          <w:p>
            <w:pPr>
              <w:ind w:left="760"/>
              <w:spacing w:after="0"/>
              <w:rPr>
                <w:sz w:val="20"/>
                <w:szCs w:val="20"/>
                <w:color w:val="auto"/>
              </w:rPr>
            </w:pPr>
            <w:r>
              <w:rPr>
                <w:rFonts w:ascii="Arial" w:cs="Arial" w:eastAsia="Arial" w:hAnsi="Arial"/>
                <w:sz w:val="13"/>
                <w:szCs w:val="13"/>
                <w:b w:val="1"/>
                <w:bCs w:val="1"/>
                <w:color w:val="auto"/>
              </w:rPr>
              <w:t>OUTSTANDING EQUITY AWARDS AT FISCAL YEAR END</w:t>
            </w:r>
          </w:p>
        </w:tc>
        <w:tc>
          <w:tcPr>
            <w:tcW w:w="7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31"/>
        </w:trPr>
        <w:tc>
          <w:tcPr>
            <w:tcW w:w="7080" w:type="dxa"/>
            <w:vAlign w:val="bottom"/>
            <w:gridSpan w:val="2"/>
          </w:tcPr>
          <w:p>
            <w:pPr>
              <w:ind w:left="460"/>
              <w:spacing w:after="0"/>
              <w:rPr>
                <w:sz w:val="20"/>
                <w:szCs w:val="20"/>
                <w:color w:val="auto"/>
              </w:rPr>
            </w:pPr>
            <w:r>
              <w:rPr>
                <w:rFonts w:ascii="Arial" w:cs="Arial" w:eastAsia="Arial" w:hAnsi="Arial"/>
                <w:sz w:val="13"/>
                <w:szCs w:val="13"/>
                <w:color w:val="auto"/>
                <w:w w:val="91"/>
              </w:rPr>
              <w:t>The following table provides information on the holdings of stock options by the named executive officers as of June 30, 2008.</w:t>
            </w:r>
          </w:p>
        </w:tc>
        <w:tc>
          <w:tcPr>
            <w:tcW w:w="16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2"/>
        </w:trPr>
        <w:tc>
          <w:tcPr>
            <w:tcW w:w="3220" w:type="dxa"/>
            <w:vAlign w:val="bottom"/>
          </w:tcPr>
          <w:p>
            <w:pPr>
              <w:spacing w:after="0"/>
              <w:rPr>
                <w:sz w:val="24"/>
                <w:szCs w:val="24"/>
                <w:color w:val="auto"/>
              </w:rPr>
            </w:pPr>
          </w:p>
        </w:tc>
        <w:tc>
          <w:tcPr>
            <w:tcW w:w="5500" w:type="dxa"/>
            <w:vAlign w:val="bottom"/>
            <w:tcBorders>
              <w:bottom w:val="single" w:sz="8" w:color="auto"/>
            </w:tcBorders>
            <w:gridSpan w:val="2"/>
          </w:tcPr>
          <w:p>
            <w:pPr>
              <w:ind w:left="1500"/>
              <w:spacing w:after="0"/>
              <w:rPr>
                <w:sz w:val="20"/>
                <w:szCs w:val="20"/>
                <w:color w:val="auto"/>
              </w:rPr>
            </w:pPr>
            <w:r>
              <w:rPr>
                <w:rFonts w:ascii="Arial" w:cs="Arial" w:eastAsia="Arial" w:hAnsi="Arial"/>
                <w:sz w:val="13"/>
                <w:szCs w:val="13"/>
                <w:b w:val="1"/>
                <w:bCs w:val="1"/>
                <w:color w:val="auto"/>
              </w:rPr>
              <w:t>Number of Securities Underlying Options (#)</w:t>
            </w:r>
          </w:p>
        </w:tc>
        <w:tc>
          <w:tcPr>
            <w:tcW w:w="1300" w:type="dxa"/>
            <w:vAlign w:val="bottom"/>
            <w:gridSpan w:val="2"/>
          </w:tcPr>
          <w:p>
            <w:pPr>
              <w:jc w:val="center"/>
              <w:ind w:left="15"/>
              <w:spacing w:after="0"/>
              <w:rPr>
                <w:sz w:val="20"/>
                <w:szCs w:val="20"/>
                <w:color w:val="auto"/>
              </w:rPr>
            </w:pPr>
            <w:r>
              <w:rPr>
                <w:rFonts w:ascii="Arial" w:cs="Arial" w:eastAsia="Arial" w:hAnsi="Arial"/>
                <w:sz w:val="13"/>
                <w:szCs w:val="13"/>
                <w:b w:val="1"/>
                <w:bCs w:val="1"/>
                <w:color w:val="auto"/>
                <w:w w:val="90"/>
              </w:rPr>
              <w:t>Option</w:t>
            </w:r>
          </w:p>
        </w:tc>
        <w:tc>
          <w:tcPr>
            <w:tcW w:w="1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5"/>
        </w:trPr>
        <w:tc>
          <w:tcPr>
            <w:tcW w:w="3220" w:type="dxa"/>
            <w:vAlign w:val="bottom"/>
            <w:tcBorders>
              <w:bottom w:val="single" w:sz="8" w:color="auto"/>
            </w:tcBorders>
          </w:tcPr>
          <w:p>
            <w:pPr>
              <w:ind w:left="1440"/>
              <w:spacing w:after="0"/>
              <w:rPr>
                <w:sz w:val="20"/>
                <w:szCs w:val="20"/>
                <w:color w:val="auto"/>
              </w:rPr>
            </w:pPr>
            <w:r>
              <w:rPr>
                <w:rFonts w:ascii="Arial" w:cs="Arial" w:eastAsia="Arial" w:hAnsi="Arial"/>
                <w:sz w:val="13"/>
                <w:szCs w:val="13"/>
                <w:b w:val="1"/>
                <w:bCs w:val="1"/>
                <w:color w:val="auto"/>
              </w:rPr>
              <w:t>Name</w:t>
            </w:r>
          </w:p>
        </w:tc>
        <w:tc>
          <w:tcPr>
            <w:tcW w:w="3860" w:type="dxa"/>
            <w:vAlign w:val="bottom"/>
            <w:tcBorders>
              <w:bottom w:val="single" w:sz="8" w:color="auto"/>
            </w:tcBorders>
          </w:tcPr>
          <w:p>
            <w:pPr>
              <w:jc w:val="center"/>
              <w:ind w:right="595"/>
              <w:spacing w:after="0"/>
              <w:rPr>
                <w:sz w:val="20"/>
                <w:szCs w:val="20"/>
                <w:color w:val="auto"/>
              </w:rPr>
            </w:pPr>
            <w:r>
              <w:rPr>
                <w:rFonts w:ascii="Arial" w:cs="Arial" w:eastAsia="Arial" w:hAnsi="Arial"/>
                <w:sz w:val="13"/>
                <w:szCs w:val="13"/>
                <w:b w:val="1"/>
                <w:bCs w:val="1"/>
                <w:color w:val="auto"/>
                <w:w w:val="88"/>
              </w:rPr>
              <w:t>Exercisable</w:t>
            </w:r>
          </w:p>
        </w:tc>
        <w:tc>
          <w:tcPr>
            <w:tcW w:w="1640" w:type="dxa"/>
            <w:vAlign w:val="bottom"/>
            <w:tcBorders>
              <w:bottom w:val="single" w:sz="8" w:color="auto"/>
            </w:tcBorders>
          </w:tcPr>
          <w:p>
            <w:pPr>
              <w:jc w:val="center"/>
              <w:ind w:right="575"/>
              <w:spacing w:after="0"/>
              <w:rPr>
                <w:sz w:val="20"/>
                <w:szCs w:val="20"/>
                <w:color w:val="auto"/>
              </w:rPr>
            </w:pPr>
            <w:r>
              <w:rPr>
                <w:rFonts w:ascii="Arial" w:cs="Arial" w:eastAsia="Arial" w:hAnsi="Arial"/>
                <w:sz w:val="13"/>
                <w:szCs w:val="13"/>
                <w:b w:val="1"/>
                <w:bCs w:val="1"/>
                <w:color w:val="auto"/>
                <w:w w:val="89"/>
              </w:rPr>
              <w:t>Unexercisable (1)</w:t>
            </w:r>
          </w:p>
        </w:tc>
        <w:tc>
          <w:tcPr>
            <w:tcW w:w="1300" w:type="dxa"/>
            <w:vAlign w:val="bottom"/>
            <w:tcBorders>
              <w:bottom w:val="single" w:sz="8" w:color="auto"/>
            </w:tcBorders>
            <w:gridSpan w:val="2"/>
          </w:tcPr>
          <w:p>
            <w:pPr>
              <w:jc w:val="center"/>
              <w:ind w:left="15"/>
              <w:spacing w:after="0"/>
              <w:rPr>
                <w:sz w:val="20"/>
                <w:szCs w:val="20"/>
                <w:color w:val="auto"/>
              </w:rPr>
            </w:pPr>
            <w:r>
              <w:rPr>
                <w:rFonts w:ascii="Arial" w:cs="Arial" w:eastAsia="Arial" w:hAnsi="Arial"/>
                <w:sz w:val="13"/>
                <w:szCs w:val="13"/>
                <w:b w:val="1"/>
                <w:bCs w:val="1"/>
                <w:color w:val="auto"/>
                <w:w w:val="90"/>
              </w:rPr>
              <w:t>Exercise Price ($)</w:t>
            </w: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w w:val="99"/>
              </w:rPr>
              <w:t>Option Expiration Date</w:t>
            </w:r>
          </w:p>
        </w:tc>
        <w:tc>
          <w:tcPr>
            <w:tcW w:w="0" w:type="dxa"/>
            <w:vAlign w:val="bottom"/>
          </w:tcPr>
          <w:p>
            <w:pPr>
              <w:spacing w:after="0"/>
              <w:rPr>
                <w:sz w:val="1"/>
                <w:szCs w:val="1"/>
                <w:color w:val="auto"/>
              </w:rPr>
            </w:pPr>
          </w:p>
        </w:tc>
      </w:tr>
      <w:tr>
        <w:trPr>
          <w:trHeight w:val="146"/>
        </w:trPr>
        <w:tc>
          <w:tcPr>
            <w:tcW w:w="3220" w:type="dxa"/>
            <w:vAlign w:val="bottom"/>
          </w:tcPr>
          <w:p>
            <w:pPr>
              <w:spacing w:after="0" w:line="147" w:lineRule="exact"/>
              <w:rPr>
                <w:sz w:val="20"/>
                <w:szCs w:val="20"/>
                <w:color w:val="auto"/>
              </w:rPr>
            </w:pPr>
            <w:r>
              <w:rPr>
                <w:rFonts w:ascii="Arial" w:cs="Arial" w:eastAsia="Arial" w:hAnsi="Arial"/>
                <w:sz w:val="13"/>
                <w:szCs w:val="13"/>
                <w:color w:val="auto"/>
              </w:rPr>
              <w:t>Zee Hakimoglu</w:t>
            </w:r>
          </w:p>
        </w:tc>
        <w:tc>
          <w:tcPr>
            <w:tcW w:w="3860" w:type="dxa"/>
            <w:vAlign w:val="bottom"/>
          </w:tcPr>
          <w:p>
            <w:pPr>
              <w:jc w:val="center"/>
              <w:ind w:right="875"/>
              <w:spacing w:after="0" w:line="147" w:lineRule="exact"/>
              <w:rPr>
                <w:sz w:val="20"/>
                <w:szCs w:val="20"/>
                <w:color w:val="auto"/>
              </w:rPr>
            </w:pPr>
            <w:r>
              <w:rPr>
                <w:rFonts w:ascii="Arial" w:cs="Arial" w:eastAsia="Arial" w:hAnsi="Arial"/>
                <w:sz w:val="13"/>
                <w:szCs w:val="13"/>
                <w:color w:val="auto"/>
                <w:w w:val="90"/>
              </w:rPr>
              <w:t>50,000</w:t>
            </w:r>
          </w:p>
        </w:tc>
        <w:tc>
          <w:tcPr>
            <w:tcW w:w="1640" w:type="dxa"/>
            <w:vAlign w:val="bottom"/>
          </w:tcPr>
          <w:p>
            <w:pPr>
              <w:jc w:val="center"/>
              <w:ind w:right="575"/>
              <w:spacing w:after="0" w:line="147" w:lineRule="exact"/>
              <w:rPr>
                <w:sz w:val="20"/>
                <w:szCs w:val="20"/>
                <w:color w:val="auto"/>
              </w:rPr>
            </w:pPr>
            <w:r>
              <w:rPr>
                <w:rFonts w:ascii="Arial" w:cs="Arial" w:eastAsia="Arial" w:hAnsi="Arial"/>
                <w:sz w:val="13"/>
                <w:szCs w:val="13"/>
                <w:color w:val="auto"/>
                <w:w w:val="91"/>
              </w:rPr>
              <w:t>-</w:t>
            </w:r>
          </w:p>
        </w:tc>
        <w:tc>
          <w:tcPr>
            <w:tcW w:w="740" w:type="dxa"/>
            <w:vAlign w:val="bottom"/>
          </w:tcPr>
          <w:p>
            <w:pPr>
              <w:jc w:val="center"/>
              <w:ind w:left="595"/>
              <w:spacing w:after="0" w:line="147" w:lineRule="exact"/>
              <w:rPr>
                <w:sz w:val="20"/>
                <w:szCs w:val="20"/>
                <w:color w:val="auto"/>
              </w:rPr>
            </w:pPr>
            <w:r>
              <w:rPr>
                <w:rFonts w:ascii="Arial" w:cs="Arial" w:eastAsia="Arial" w:hAnsi="Arial"/>
                <w:sz w:val="13"/>
                <w:szCs w:val="13"/>
                <w:color w:val="auto"/>
              </w:rPr>
              <w:t>$</w:t>
            </w:r>
          </w:p>
        </w:tc>
        <w:tc>
          <w:tcPr>
            <w:tcW w:w="560" w:type="dxa"/>
            <w:vAlign w:val="bottom"/>
          </w:tcPr>
          <w:p>
            <w:pPr>
              <w:jc w:val="right"/>
              <w:ind w:right="175"/>
              <w:spacing w:after="0" w:line="147" w:lineRule="exact"/>
              <w:rPr>
                <w:sz w:val="20"/>
                <w:szCs w:val="20"/>
                <w:color w:val="auto"/>
              </w:rPr>
            </w:pPr>
            <w:r>
              <w:rPr>
                <w:rFonts w:ascii="Arial" w:cs="Arial" w:eastAsia="Arial" w:hAnsi="Arial"/>
                <w:sz w:val="13"/>
                <w:szCs w:val="13"/>
                <w:color w:val="auto"/>
              </w:rPr>
              <w:t>6.40</w:t>
            </w:r>
          </w:p>
        </w:tc>
        <w:tc>
          <w:tcPr>
            <w:tcW w:w="1460" w:type="dxa"/>
            <w:vAlign w:val="bottom"/>
          </w:tcPr>
          <w:p>
            <w:pPr>
              <w:jc w:val="right"/>
              <w:ind w:right="95"/>
              <w:spacing w:after="0" w:line="147" w:lineRule="exact"/>
              <w:rPr>
                <w:sz w:val="20"/>
                <w:szCs w:val="20"/>
                <w:color w:val="auto"/>
              </w:rPr>
            </w:pPr>
            <w:r>
              <w:rPr>
                <w:rFonts w:ascii="Arial" w:cs="Arial" w:eastAsia="Arial" w:hAnsi="Arial"/>
                <w:sz w:val="13"/>
                <w:szCs w:val="13"/>
                <w:color w:val="auto"/>
              </w:rPr>
              <w:t>3/24/2014</w:t>
            </w:r>
          </w:p>
        </w:tc>
        <w:tc>
          <w:tcPr>
            <w:tcW w:w="0" w:type="dxa"/>
            <w:vAlign w:val="bottom"/>
          </w:tcPr>
          <w:p>
            <w:pPr>
              <w:spacing w:after="0"/>
              <w:rPr>
                <w:sz w:val="1"/>
                <w:szCs w:val="1"/>
                <w:color w:val="auto"/>
              </w:rPr>
            </w:pPr>
          </w:p>
        </w:tc>
      </w:tr>
      <w:tr>
        <w:trPr>
          <w:trHeight w:val="156"/>
        </w:trPr>
        <w:tc>
          <w:tcPr>
            <w:tcW w:w="3220" w:type="dxa"/>
            <w:vAlign w:val="bottom"/>
          </w:tcPr>
          <w:p>
            <w:pPr>
              <w:spacing w:after="0"/>
              <w:rPr>
                <w:sz w:val="13"/>
                <w:szCs w:val="13"/>
                <w:color w:val="auto"/>
              </w:rPr>
            </w:pPr>
          </w:p>
        </w:tc>
        <w:tc>
          <w:tcPr>
            <w:tcW w:w="3860" w:type="dxa"/>
            <w:vAlign w:val="bottom"/>
          </w:tcPr>
          <w:p>
            <w:pPr>
              <w:jc w:val="center"/>
              <w:ind w:right="855"/>
              <w:spacing w:after="0"/>
              <w:rPr>
                <w:sz w:val="20"/>
                <w:szCs w:val="20"/>
                <w:color w:val="auto"/>
              </w:rPr>
            </w:pPr>
            <w:r>
              <w:rPr>
                <w:rFonts w:ascii="Arial" w:cs="Arial" w:eastAsia="Arial" w:hAnsi="Arial"/>
                <w:sz w:val="13"/>
                <w:szCs w:val="13"/>
                <w:color w:val="auto"/>
                <w:w w:val="89"/>
              </w:rPr>
              <w:t>100,000</w:t>
            </w:r>
          </w:p>
        </w:tc>
        <w:tc>
          <w:tcPr>
            <w:tcW w:w="1640" w:type="dxa"/>
            <w:vAlign w:val="bottom"/>
          </w:tcPr>
          <w:p>
            <w:pPr>
              <w:jc w:val="center"/>
              <w:ind w:right="575"/>
              <w:spacing w:after="0"/>
              <w:rPr>
                <w:sz w:val="20"/>
                <w:szCs w:val="20"/>
                <w:color w:val="auto"/>
              </w:rPr>
            </w:pPr>
            <w:r>
              <w:rPr>
                <w:rFonts w:ascii="Arial" w:cs="Arial" w:eastAsia="Arial" w:hAnsi="Arial"/>
                <w:sz w:val="13"/>
                <w:szCs w:val="13"/>
                <w:color w:val="auto"/>
                <w:w w:val="91"/>
              </w:rPr>
              <w:t>-</w:t>
            </w:r>
          </w:p>
        </w:tc>
        <w:tc>
          <w:tcPr>
            <w:tcW w:w="740" w:type="dxa"/>
            <w:vAlign w:val="bottom"/>
          </w:tcPr>
          <w:p>
            <w:pPr>
              <w:spacing w:after="0"/>
              <w:rPr>
                <w:sz w:val="13"/>
                <w:szCs w:val="13"/>
                <w:color w:val="auto"/>
              </w:rPr>
            </w:pPr>
          </w:p>
        </w:tc>
        <w:tc>
          <w:tcPr>
            <w:tcW w:w="560" w:type="dxa"/>
            <w:vAlign w:val="bottom"/>
          </w:tcPr>
          <w:p>
            <w:pPr>
              <w:jc w:val="right"/>
              <w:ind w:right="175"/>
              <w:spacing w:after="0"/>
              <w:rPr>
                <w:sz w:val="20"/>
                <w:szCs w:val="20"/>
                <w:color w:val="auto"/>
              </w:rPr>
            </w:pPr>
            <w:r>
              <w:rPr>
                <w:rFonts w:ascii="Arial" w:cs="Arial" w:eastAsia="Arial" w:hAnsi="Arial"/>
                <w:sz w:val="13"/>
                <w:szCs w:val="13"/>
                <w:color w:val="auto"/>
              </w:rPr>
              <w:t>5.55</w:t>
            </w:r>
          </w:p>
        </w:tc>
        <w:tc>
          <w:tcPr>
            <w:tcW w:w="1460" w:type="dxa"/>
            <w:vAlign w:val="bottom"/>
          </w:tcPr>
          <w:p>
            <w:pPr>
              <w:jc w:val="right"/>
              <w:ind w:right="95"/>
              <w:spacing w:after="0"/>
              <w:rPr>
                <w:sz w:val="20"/>
                <w:szCs w:val="20"/>
                <w:color w:val="auto"/>
              </w:rPr>
            </w:pPr>
            <w:r>
              <w:rPr>
                <w:rFonts w:ascii="Arial" w:cs="Arial" w:eastAsia="Arial" w:hAnsi="Arial"/>
                <w:sz w:val="13"/>
                <w:szCs w:val="13"/>
                <w:color w:val="auto"/>
              </w:rPr>
              <w:t>7/26/2014</w:t>
            </w:r>
          </w:p>
        </w:tc>
        <w:tc>
          <w:tcPr>
            <w:tcW w:w="0" w:type="dxa"/>
            <w:vAlign w:val="bottom"/>
          </w:tcPr>
          <w:p>
            <w:pPr>
              <w:spacing w:after="0"/>
              <w:rPr>
                <w:sz w:val="1"/>
                <w:szCs w:val="1"/>
                <w:color w:val="auto"/>
              </w:rPr>
            </w:pPr>
          </w:p>
        </w:tc>
      </w:tr>
      <w:tr>
        <w:trPr>
          <w:trHeight w:val="156"/>
        </w:trPr>
        <w:tc>
          <w:tcPr>
            <w:tcW w:w="3220" w:type="dxa"/>
            <w:vAlign w:val="bottom"/>
          </w:tcPr>
          <w:p>
            <w:pPr>
              <w:spacing w:after="0"/>
              <w:rPr>
                <w:sz w:val="13"/>
                <w:szCs w:val="13"/>
                <w:color w:val="auto"/>
              </w:rPr>
            </w:pPr>
          </w:p>
        </w:tc>
        <w:tc>
          <w:tcPr>
            <w:tcW w:w="3860" w:type="dxa"/>
            <w:vAlign w:val="bottom"/>
          </w:tcPr>
          <w:p>
            <w:pPr>
              <w:jc w:val="center"/>
              <w:ind w:right="875"/>
              <w:spacing w:after="0"/>
              <w:rPr>
                <w:sz w:val="20"/>
                <w:szCs w:val="20"/>
                <w:color w:val="auto"/>
              </w:rPr>
            </w:pPr>
            <w:r>
              <w:rPr>
                <w:rFonts w:ascii="Arial" w:cs="Arial" w:eastAsia="Arial" w:hAnsi="Arial"/>
                <w:sz w:val="13"/>
                <w:szCs w:val="13"/>
                <w:color w:val="auto"/>
                <w:w w:val="90"/>
              </w:rPr>
              <w:t>87,500</w:t>
            </w:r>
          </w:p>
        </w:tc>
        <w:tc>
          <w:tcPr>
            <w:tcW w:w="1640" w:type="dxa"/>
            <w:vAlign w:val="bottom"/>
          </w:tcPr>
          <w:p>
            <w:pPr>
              <w:jc w:val="center"/>
              <w:ind w:right="735"/>
              <w:spacing w:after="0"/>
              <w:rPr>
                <w:sz w:val="20"/>
                <w:szCs w:val="20"/>
                <w:color w:val="auto"/>
              </w:rPr>
            </w:pPr>
            <w:r>
              <w:rPr>
                <w:rFonts w:ascii="Arial" w:cs="Arial" w:eastAsia="Arial" w:hAnsi="Arial"/>
                <w:sz w:val="13"/>
                <w:szCs w:val="13"/>
                <w:color w:val="auto"/>
                <w:w w:val="90"/>
              </w:rPr>
              <w:t>62,500</w:t>
            </w:r>
          </w:p>
        </w:tc>
        <w:tc>
          <w:tcPr>
            <w:tcW w:w="740" w:type="dxa"/>
            <w:vAlign w:val="bottom"/>
          </w:tcPr>
          <w:p>
            <w:pPr>
              <w:spacing w:after="0"/>
              <w:rPr>
                <w:sz w:val="13"/>
                <w:szCs w:val="13"/>
                <w:color w:val="auto"/>
              </w:rPr>
            </w:pPr>
          </w:p>
        </w:tc>
        <w:tc>
          <w:tcPr>
            <w:tcW w:w="560" w:type="dxa"/>
            <w:vAlign w:val="bottom"/>
          </w:tcPr>
          <w:p>
            <w:pPr>
              <w:jc w:val="right"/>
              <w:ind w:right="175"/>
              <w:spacing w:after="0"/>
              <w:rPr>
                <w:sz w:val="20"/>
                <w:szCs w:val="20"/>
                <w:color w:val="auto"/>
              </w:rPr>
            </w:pPr>
            <w:r>
              <w:rPr>
                <w:rFonts w:ascii="Arial" w:cs="Arial" w:eastAsia="Arial" w:hAnsi="Arial"/>
                <w:sz w:val="13"/>
                <w:szCs w:val="13"/>
                <w:color w:val="auto"/>
              </w:rPr>
              <w:t>3.65</w:t>
            </w:r>
          </w:p>
        </w:tc>
        <w:tc>
          <w:tcPr>
            <w:tcW w:w="1460" w:type="dxa"/>
            <w:vAlign w:val="bottom"/>
          </w:tcPr>
          <w:p>
            <w:pPr>
              <w:jc w:val="right"/>
              <w:ind w:right="95"/>
              <w:spacing w:after="0"/>
              <w:rPr>
                <w:sz w:val="20"/>
                <w:szCs w:val="20"/>
                <w:color w:val="auto"/>
              </w:rPr>
            </w:pPr>
            <w:r>
              <w:rPr>
                <w:rFonts w:ascii="Arial" w:cs="Arial" w:eastAsia="Arial" w:hAnsi="Arial"/>
                <w:sz w:val="13"/>
                <w:szCs w:val="13"/>
                <w:color w:val="auto"/>
              </w:rPr>
              <w:t>9/18/2016</w:t>
            </w:r>
          </w:p>
        </w:tc>
        <w:tc>
          <w:tcPr>
            <w:tcW w:w="0" w:type="dxa"/>
            <w:vAlign w:val="bottom"/>
          </w:tcPr>
          <w:p>
            <w:pPr>
              <w:spacing w:after="0"/>
              <w:rPr>
                <w:sz w:val="1"/>
                <w:szCs w:val="1"/>
                <w:color w:val="auto"/>
              </w:rPr>
            </w:pPr>
          </w:p>
        </w:tc>
      </w:tr>
      <w:tr>
        <w:trPr>
          <w:trHeight w:val="164"/>
        </w:trPr>
        <w:tc>
          <w:tcPr>
            <w:tcW w:w="3220" w:type="dxa"/>
            <w:vAlign w:val="bottom"/>
          </w:tcPr>
          <w:p>
            <w:pPr>
              <w:spacing w:after="0"/>
              <w:rPr>
                <w:sz w:val="14"/>
                <w:szCs w:val="14"/>
                <w:color w:val="auto"/>
              </w:rPr>
            </w:pPr>
          </w:p>
        </w:tc>
        <w:tc>
          <w:tcPr>
            <w:tcW w:w="3860" w:type="dxa"/>
            <w:vAlign w:val="bottom"/>
          </w:tcPr>
          <w:p>
            <w:pPr>
              <w:jc w:val="center"/>
              <w:ind w:right="595"/>
              <w:spacing w:after="0"/>
              <w:rPr>
                <w:sz w:val="20"/>
                <w:szCs w:val="20"/>
                <w:color w:val="auto"/>
              </w:rPr>
            </w:pPr>
            <w:r>
              <w:rPr>
                <w:rFonts w:ascii="Arial" w:cs="Arial" w:eastAsia="Arial" w:hAnsi="Arial"/>
                <w:sz w:val="13"/>
                <w:szCs w:val="13"/>
                <w:color w:val="auto"/>
                <w:w w:val="91"/>
              </w:rPr>
              <w:t>-</w:t>
            </w:r>
          </w:p>
        </w:tc>
        <w:tc>
          <w:tcPr>
            <w:tcW w:w="1640" w:type="dxa"/>
            <w:vAlign w:val="bottom"/>
          </w:tcPr>
          <w:p>
            <w:pPr>
              <w:jc w:val="center"/>
              <w:ind w:right="755"/>
              <w:spacing w:after="0"/>
              <w:rPr>
                <w:sz w:val="20"/>
                <w:szCs w:val="20"/>
                <w:color w:val="auto"/>
              </w:rPr>
            </w:pPr>
            <w:r>
              <w:rPr>
                <w:rFonts w:ascii="Arial" w:cs="Arial" w:eastAsia="Arial" w:hAnsi="Arial"/>
                <w:sz w:val="13"/>
                <w:szCs w:val="13"/>
                <w:color w:val="auto"/>
                <w:w w:val="89"/>
              </w:rPr>
              <w:t>150,000</w:t>
            </w:r>
          </w:p>
        </w:tc>
        <w:tc>
          <w:tcPr>
            <w:tcW w:w="740" w:type="dxa"/>
            <w:vAlign w:val="bottom"/>
          </w:tcPr>
          <w:p>
            <w:pPr>
              <w:spacing w:after="0"/>
              <w:rPr>
                <w:sz w:val="14"/>
                <w:szCs w:val="14"/>
                <w:color w:val="auto"/>
              </w:rPr>
            </w:pPr>
          </w:p>
        </w:tc>
        <w:tc>
          <w:tcPr>
            <w:tcW w:w="560" w:type="dxa"/>
            <w:vAlign w:val="bottom"/>
          </w:tcPr>
          <w:p>
            <w:pPr>
              <w:jc w:val="right"/>
              <w:ind w:right="175"/>
              <w:spacing w:after="0"/>
              <w:rPr>
                <w:sz w:val="20"/>
                <w:szCs w:val="20"/>
                <w:color w:val="auto"/>
              </w:rPr>
            </w:pPr>
            <w:r>
              <w:rPr>
                <w:rFonts w:ascii="Arial" w:cs="Arial" w:eastAsia="Arial" w:hAnsi="Arial"/>
                <w:sz w:val="13"/>
                <w:szCs w:val="13"/>
                <w:color w:val="auto"/>
              </w:rPr>
              <w:t>6.15</w:t>
            </w:r>
          </w:p>
        </w:tc>
        <w:tc>
          <w:tcPr>
            <w:tcW w:w="1460" w:type="dxa"/>
            <w:vAlign w:val="bottom"/>
          </w:tcPr>
          <w:p>
            <w:pPr>
              <w:jc w:val="right"/>
              <w:ind w:right="95"/>
              <w:spacing w:after="0"/>
              <w:rPr>
                <w:sz w:val="20"/>
                <w:szCs w:val="20"/>
                <w:color w:val="auto"/>
              </w:rPr>
            </w:pPr>
            <w:r>
              <w:rPr>
                <w:rFonts w:ascii="Arial" w:cs="Arial" w:eastAsia="Arial" w:hAnsi="Arial"/>
                <w:sz w:val="13"/>
                <w:szCs w:val="13"/>
                <w:color w:val="auto"/>
              </w:rPr>
              <w:t>8/14/2017</w:t>
            </w:r>
          </w:p>
        </w:tc>
        <w:tc>
          <w:tcPr>
            <w:tcW w:w="0" w:type="dxa"/>
            <w:vAlign w:val="bottom"/>
          </w:tcPr>
          <w:p>
            <w:pPr>
              <w:spacing w:after="0"/>
              <w:rPr>
                <w:sz w:val="1"/>
                <w:szCs w:val="1"/>
                <w:color w:val="auto"/>
              </w:rPr>
            </w:pPr>
          </w:p>
        </w:tc>
      </w:tr>
      <w:tr>
        <w:trPr>
          <w:trHeight w:val="304"/>
        </w:trPr>
        <w:tc>
          <w:tcPr>
            <w:tcW w:w="3220" w:type="dxa"/>
            <w:vAlign w:val="bottom"/>
          </w:tcPr>
          <w:p>
            <w:pPr>
              <w:spacing w:after="0"/>
              <w:rPr>
                <w:sz w:val="20"/>
                <w:szCs w:val="20"/>
                <w:color w:val="auto"/>
              </w:rPr>
            </w:pPr>
            <w:r>
              <w:rPr>
                <w:rFonts w:ascii="Arial" w:cs="Arial" w:eastAsia="Arial" w:hAnsi="Arial"/>
                <w:sz w:val="13"/>
                <w:szCs w:val="13"/>
                <w:color w:val="auto"/>
              </w:rPr>
              <w:t>Greg A. LeClaire</w:t>
            </w:r>
          </w:p>
        </w:tc>
        <w:tc>
          <w:tcPr>
            <w:tcW w:w="3860" w:type="dxa"/>
            <w:vAlign w:val="bottom"/>
          </w:tcPr>
          <w:p>
            <w:pPr>
              <w:jc w:val="center"/>
              <w:ind w:right="855"/>
              <w:spacing w:after="0"/>
              <w:rPr>
                <w:sz w:val="20"/>
                <w:szCs w:val="20"/>
                <w:color w:val="auto"/>
              </w:rPr>
            </w:pPr>
            <w:r>
              <w:rPr>
                <w:rFonts w:ascii="Arial" w:cs="Arial" w:eastAsia="Arial" w:hAnsi="Arial"/>
                <w:sz w:val="13"/>
                <w:szCs w:val="13"/>
                <w:color w:val="auto"/>
                <w:w w:val="92"/>
              </w:rPr>
              <w:t>7,501</w:t>
            </w:r>
          </w:p>
        </w:tc>
        <w:tc>
          <w:tcPr>
            <w:tcW w:w="1640" w:type="dxa"/>
            <w:vAlign w:val="bottom"/>
          </w:tcPr>
          <w:p>
            <w:pPr>
              <w:jc w:val="center"/>
              <w:ind w:right="735"/>
              <w:spacing w:after="0"/>
              <w:rPr>
                <w:sz w:val="20"/>
                <w:szCs w:val="20"/>
                <w:color w:val="auto"/>
              </w:rPr>
            </w:pPr>
            <w:r>
              <w:rPr>
                <w:rFonts w:ascii="Arial" w:cs="Arial" w:eastAsia="Arial" w:hAnsi="Arial"/>
                <w:sz w:val="13"/>
                <w:szCs w:val="13"/>
                <w:color w:val="auto"/>
                <w:w w:val="90"/>
              </w:rPr>
              <w:t>21,250</w:t>
            </w:r>
          </w:p>
        </w:tc>
        <w:tc>
          <w:tcPr>
            <w:tcW w:w="740" w:type="dxa"/>
            <w:vAlign w:val="bottom"/>
          </w:tcPr>
          <w:p>
            <w:pPr>
              <w:jc w:val="center"/>
              <w:ind w:left="595"/>
              <w:spacing w:after="0"/>
              <w:rPr>
                <w:sz w:val="20"/>
                <w:szCs w:val="20"/>
                <w:color w:val="auto"/>
              </w:rPr>
            </w:pPr>
            <w:r>
              <w:rPr>
                <w:rFonts w:ascii="Arial" w:cs="Arial" w:eastAsia="Arial" w:hAnsi="Arial"/>
                <w:sz w:val="13"/>
                <w:szCs w:val="13"/>
                <w:color w:val="auto"/>
              </w:rPr>
              <w:t>$</w:t>
            </w:r>
          </w:p>
        </w:tc>
        <w:tc>
          <w:tcPr>
            <w:tcW w:w="560" w:type="dxa"/>
            <w:vAlign w:val="bottom"/>
          </w:tcPr>
          <w:p>
            <w:pPr>
              <w:jc w:val="right"/>
              <w:ind w:right="175"/>
              <w:spacing w:after="0"/>
              <w:rPr>
                <w:sz w:val="20"/>
                <w:szCs w:val="20"/>
                <w:color w:val="auto"/>
              </w:rPr>
            </w:pPr>
            <w:r>
              <w:rPr>
                <w:rFonts w:ascii="Arial" w:cs="Arial" w:eastAsia="Arial" w:hAnsi="Arial"/>
                <w:sz w:val="13"/>
                <w:szCs w:val="13"/>
                <w:color w:val="auto"/>
              </w:rPr>
              <w:t>4.20</w:t>
            </w:r>
          </w:p>
        </w:tc>
        <w:tc>
          <w:tcPr>
            <w:tcW w:w="1460" w:type="dxa"/>
            <w:vAlign w:val="bottom"/>
          </w:tcPr>
          <w:p>
            <w:pPr>
              <w:jc w:val="right"/>
              <w:ind w:right="135"/>
              <w:spacing w:after="0"/>
              <w:rPr>
                <w:sz w:val="20"/>
                <w:szCs w:val="20"/>
                <w:color w:val="auto"/>
              </w:rPr>
            </w:pPr>
            <w:r>
              <w:rPr>
                <w:rFonts w:ascii="Arial" w:cs="Arial" w:eastAsia="Arial" w:hAnsi="Arial"/>
                <w:sz w:val="13"/>
                <w:szCs w:val="13"/>
                <w:color w:val="auto"/>
              </w:rPr>
              <w:t>11/20/2016</w:t>
            </w:r>
          </w:p>
        </w:tc>
        <w:tc>
          <w:tcPr>
            <w:tcW w:w="0" w:type="dxa"/>
            <w:vAlign w:val="bottom"/>
          </w:tcPr>
          <w:p>
            <w:pPr>
              <w:spacing w:after="0"/>
              <w:rPr>
                <w:sz w:val="1"/>
                <w:szCs w:val="1"/>
                <w:color w:val="auto"/>
              </w:rPr>
            </w:pPr>
          </w:p>
        </w:tc>
      </w:tr>
      <w:tr>
        <w:trPr>
          <w:trHeight w:val="156"/>
        </w:trPr>
        <w:tc>
          <w:tcPr>
            <w:tcW w:w="3220" w:type="dxa"/>
            <w:vAlign w:val="bottom"/>
          </w:tcPr>
          <w:p>
            <w:pPr>
              <w:spacing w:after="0"/>
              <w:rPr>
                <w:sz w:val="13"/>
                <w:szCs w:val="13"/>
                <w:color w:val="auto"/>
              </w:rPr>
            </w:pPr>
          </w:p>
        </w:tc>
        <w:tc>
          <w:tcPr>
            <w:tcW w:w="3860" w:type="dxa"/>
            <w:vAlign w:val="bottom"/>
          </w:tcPr>
          <w:p>
            <w:pPr>
              <w:jc w:val="center"/>
              <w:ind w:right="855"/>
              <w:spacing w:after="0"/>
              <w:rPr>
                <w:sz w:val="20"/>
                <w:szCs w:val="20"/>
                <w:color w:val="auto"/>
              </w:rPr>
            </w:pPr>
            <w:r>
              <w:rPr>
                <w:rFonts w:ascii="Arial" w:cs="Arial" w:eastAsia="Arial" w:hAnsi="Arial"/>
                <w:sz w:val="13"/>
                <w:szCs w:val="13"/>
                <w:color w:val="auto"/>
                <w:w w:val="92"/>
              </w:rPr>
              <w:t>2,222</w:t>
            </w:r>
          </w:p>
        </w:tc>
        <w:tc>
          <w:tcPr>
            <w:tcW w:w="1640" w:type="dxa"/>
            <w:vAlign w:val="bottom"/>
          </w:tcPr>
          <w:p>
            <w:pPr>
              <w:jc w:val="center"/>
              <w:ind w:right="755"/>
              <w:spacing w:after="0"/>
              <w:rPr>
                <w:sz w:val="20"/>
                <w:szCs w:val="20"/>
                <w:color w:val="auto"/>
              </w:rPr>
            </w:pPr>
            <w:r>
              <w:rPr>
                <w:rFonts w:ascii="Arial" w:cs="Arial" w:eastAsia="Arial" w:hAnsi="Arial"/>
                <w:sz w:val="13"/>
                <w:szCs w:val="13"/>
                <w:color w:val="auto"/>
                <w:w w:val="92"/>
              </w:rPr>
              <w:t>2,778</w:t>
            </w:r>
          </w:p>
        </w:tc>
        <w:tc>
          <w:tcPr>
            <w:tcW w:w="740" w:type="dxa"/>
            <w:vAlign w:val="bottom"/>
          </w:tcPr>
          <w:p>
            <w:pPr>
              <w:spacing w:after="0"/>
              <w:rPr>
                <w:sz w:val="13"/>
                <w:szCs w:val="13"/>
                <w:color w:val="auto"/>
              </w:rPr>
            </w:pPr>
          </w:p>
        </w:tc>
        <w:tc>
          <w:tcPr>
            <w:tcW w:w="560" w:type="dxa"/>
            <w:vAlign w:val="bottom"/>
          </w:tcPr>
          <w:p>
            <w:pPr>
              <w:jc w:val="right"/>
              <w:ind w:right="175"/>
              <w:spacing w:after="0"/>
              <w:rPr>
                <w:sz w:val="20"/>
                <w:szCs w:val="20"/>
                <w:color w:val="auto"/>
              </w:rPr>
            </w:pPr>
            <w:r>
              <w:rPr>
                <w:rFonts w:ascii="Arial" w:cs="Arial" w:eastAsia="Arial" w:hAnsi="Arial"/>
                <w:sz w:val="13"/>
                <w:szCs w:val="13"/>
                <w:color w:val="auto"/>
              </w:rPr>
              <w:t>5.05</w:t>
            </w:r>
          </w:p>
        </w:tc>
        <w:tc>
          <w:tcPr>
            <w:tcW w:w="1460" w:type="dxa"/>
            <w:vAlign w:val="bottom"/>
          </w:tcPr>
          <w:p>
            <w:pPr>
              <w:jc w:val="right"/>
              <w:ind w:right="95"/>
              <w:spacing w:after="0"/>
              <w:rPr>
                <w:sz w:val="20"/>
                <w:szCs w:val="20"/>
                <w:color w:val="auto"/>
              </w:rPr>
            </w:pPr>
            <w:r>
              <w:rPr>
                <w:rFonts w:ascii="Arial" w:cs="Arial" w:eastAsia="Arial" w:hAnsi="Arial"/>
                <w:sz w:val="13"/>
                <w:szCs w:val="13"/>
                <w:color w:val="auto"/>
              </w:rPr>
              <w:t>2/2/2017</w:t>
            </w:r>
          </w:p>
        </w:tc>
        <w:tc>
          <w:tcPr>
            <w:tcW w:w="0" w:type="dxa"/>
            <w:vAlign w:val="bottom"/>
          </w:tcPr>
          <w:p>
            <w:pPr>
              <w:spacing w:after="0"/>
              <w:rPr>
                <w:sz w:val="1"/>
                <w:szCs w:val="1"/>
                <w:color w:val="auto"/>
              </w:rPr>
            </w:pPr>
          </w:p>
        </w:tc>
      </w:tr>
      <w:tr>
        <w:trPr>
          <w:trHeight w:val="164"/>
        </w:trPr>
        <w:tc>
          <w:tcPr>
            <w:tcW w:w="3220" w:type="dxa"/>
            <w:vAlign w:val="bottom"/>
          </w:tcPr>
          <w:p>
            <w:pPr>
              <w:spacing w:after="0"/>
              <w:rPr>
                <w:sz w:val="14"/>
                <w:szCs w:val="14"/>
                <w:color w:val="auto"/>
              </w:rPr>
            </w:pPr>
          </w:p>
        </w:tc>
        <w:tc>
          <w:tcPr>
            <w:tcW w:w="3860" w:type="dxa"/>
            <w:vAlign w:val="bottom"/>
          </w:tcPr>
          <w:p>
            <w:pPr>
              <w:jc w:val="center"/>
              <w:ind w:right="595"/>
              <w:spacing w:after="0"/>
              <w:rPr>
                <w:sz w:val="20"/>
                <w:szCs w:val="20"/>
                <w:color w:val="auto"/>
              </w:rPr>
            </w:pPr>
            <w:r>
              <w:rPr>
                <w:rFonts w:ascii="Arial" w:cs="Arial" w:eastAsia="Arial" w:hAnsi="Arial"/>
                <w:sz w:val="13"/>
                <w:szCs w:val="13"/>
                <w:color w:val="auto"/>
                <w:w w:val="91"/>
              </w:rPr>
              <w:t>-</w:t>
            </w:r>
          </w:p>
        </w:tc>
        <w:tc>
          <w:tcPr>
            <w:tcW w:w="1640" w:type="dxa"/>
            <w:vAlign w:val="bottom"/>
          </w:tcPr>
          <w:p>
            <w:pPr>
              <w:jc w:val="center"/>
              <w:ind w:right="735"/>
              <w:spacing w:after="0"/>
              <w:rPr>
                <w:sz w:val="20"/>
                <w:szCs w:val="20"/>
                <w:color w:val="auto"/>
              </w:rPr>
            </w:pPr>
            <w:r>
              <w:rPr>
                <w:rFonts w:ascii="Arial" w:cs="Arial" w:eastAsia="Arial" w:hAnsi="Arial"/>
                <w:sz w:val="13"/>
                <w:szCs w:val="13"/>
                <w:color w:val="auto"/>
                <w:w w:val="90"/>
              </w:rPr>
              <w:t>50,000</w:t>
            </w:r>
          </w:p>
        </w:tc>
        <w:tc>
          <w:tcPr>
            <w:tcW w:w="740" w:type="dxa"/>
            <w:vAlign w:val="bottom"/>
          </w:tcPr>
          <w:p>
            <w:pPr>
              <w:spacing w:after="0"/>
              <w:rPr>
                <w:sz w:val="14"/>
                <w:szCs w:val="14"/>
                <w:color w:val="auto"/>
              </w:rPr>
            </w:pPr>
          </w:p>
        </w:tc>
        <w:tc>
          <w:tcPr>
            <w:tcW w:w="560" w:type="dxa"/>
            <w:vAlign w:val="bottom"/>
          </w:tcPr>
          <w:p>
            <w:pPr>
              <w:jc w:val="right"/>
              <w:ind w:right="175"/>
              <w:spacing w:after="0"/>
              <w:rPr>
                <w:sz w:val="20"/>
                <w:szCs w:val="20"/>
                <w:color w:val="auto"/>
              </w:rPr>
            </w:pPr>
            <w:r>
              <w:rPr>
                <w:rFonts w:ascii="Arial" w:cs="Arial" w:eastAsia="Arial" w:hAnsi="Arial"/>
                <w:sz w:val="13"/>
                <w:szCs w:val="13"/>
                <w:color w:val="auto"/>
              </w:rPr>
              <w:t>6.15</w:t>
            </w:r>
          </w:p>
        </w:tc>
        <w:tc>
          <w:tcPr>
            <w:tcW w:w="1460" w:type="dxa"/>
            <w:vAlign w:val="bottom"/>
          </w:tcPr>
          <w:p>
            <w:pPr>
              <w:jc w:val="right"/>
              <w:ind w:right="95"/>
              <w:spacing w:after="0"/>
              <w:rPr>
                <w:sz w:val="20"/>
                <w:szCs w:val="20"/>
                <w:color w:val="auto"/>
              </w:rPr>
            </w:pPr>
            <w:r>
              <w:rPr>
                <w:rFonts w:ascii="Arial" w:cs="Arial" w:eastAsia="Arial" w:hAnsi="Arial"/>
                <w:sz w:val="13"/>
                <w:szCs w:val="13"/>
                <w:color w:val="auto"/>
              </w:rPr>
              <w:t>8/14/2017</w:t>
            </w:r>
          </w:p>
        </w:tc>
        <w:tc>
          <w:tcPr>
            <w:tcW w:w="0" w:type="dxa"/>
            <w:vAlign w:val="bottom"/>
          </w:tcPr>
          <w:p>
            <w:pPr>
              <w:spacing w:after="0"/>
              <w:rPr>
                <w:sz w:val="1"/>
                <w:szCs w:val="1"/>
                <w:color w:val="auto"/>
              </w:rPr>
            </w:pPr>
          </w:p>
        </w:tc>
      </w:tr>
      <w:tr>
        <w:trPr>
          <w:trHeight w:val="304"/>
        </w:trPr>
        <w:tc>
          <w:tcPr>
            <w:tcW w:w="3220" w:type="dxa"/>
            <w:vAlign w:val="bottom"/>
          </w:tcPr>
          <w:p>
            <w:pPr>
              <w:spacing w:after="0"/>
              <w:rPr>
                <w:sz w:val="20"/>
                <w:szCs w:val="20"/>
                <w:color w:val="auto"/>
              </w:rPr>
            </w:pPr>
            <w:r>
              <w:rPr>
                <w:rFonts w:ascii="Arial" w:cs="Arial" w:eastAsia="Arial" w:hAnsi="Arial"/>
                <w:sz w:val="13"/>
                <w:szCs w:val="13"/>
                <w:color w:val="auto"/>
              </w:rPr>
              <w:t>Tracy A. Bathurst</w:t>
            </w:r>
          </w:p>
        </w:tc>
        <w:tc>
          <w:tcPr>
            <w:tcW w:w="3860" w:type="dxa"/>
            <w:vAlign w:val="bottom"/>
          </w:tcPr>
          <w:p>
            <w:pPr>
              <w:jc w:val="center"/>
              <w:ind w:right="855"/>
              <w:spacing w:after="0"/>
              <w:rPr>
                <w:sz w:val="20"/>
                <w:szCs w:val="20"/>
                <w:color w:val="auto"/>
              </w:rPr>
            </w:pPr>
            <w:r>
              <w:rPr>
                <w:rFonts w:ascii="Arial" w:cs="Arial" w:eastAsia="Arial" w:hAnsi="Arial"/>
                <w:sz w:val="13"/>
                <w:szCs w:val="13"/>
                <w:color w:val="auto"/>
                <w:w w:val="92"/>
              </w:rPr>
              <w:t>6,750</w:t>
            </w:r>
          </w:p>
        </w:tc>
        <w:tc>
          <w:tcPr>
            <w:tcW w:w="1640" w:type="dxa"/>
            <w:vAlign w:val="bottom"/>
          </w:tcPr>
          <w:p>
            <w:pPr>
              <w:jc w:val="center"/>
              <w:ind w:right="755"/>
              <w:spacing w:after="0"/>
              <w:rPr>
                <w:sz w:val="20"/>
                <w:szCs w:val="20"/>
                <w:color w:val="auto"/>
              </w:rPr>
            </w:pPr>
            <w:r>
              <w:rPr>
                <w:rFonts w:ascii="Arial" w:cs="Arial" w:eastAsia="Arial" w:hAnsi="Arial"/>
                <w:sz w:val="13"/>
                <w:szCs w:val="13"/>
                <w:color w:val="auto"/>
                <w:w w:val="92"/>
              </w:rPr>
              <w:t>3,250</w:t>
            </w:r>
          </w:p>
        </w:tc>
        <w:tc>
          <w:tcPr>
            <w:tcW w:w="1300" w:type="dxa"/>
            <w:vAlign w:val="bottom"/>
            <w:gridSpan w:val="2"/>
          </w:tcPr>
          <w:p>
            <w:pPr>
              <w:jc w:val="right"/>
              <w:ind w:right="175"/>
              <w:spacing w:after="0"/>
              <w:rPr>
                <w:sz w:val="20"/>
                <w:szCs w:val="20"/>
                <w:color w:val="auto"/>
              </w:rPr>
            </w:pPr>
            <w:r>
              <w:rPr>
                <w:rFonts w:ascii="Arial" w:cs="Arial" w:eastAsia="Arial" w:hAnsi="Arial"/>
                <w:sz w:val="13"/>
                <w:szCs w:val="13"/>
                <w:color w:val="auto"/>
              </w:rPr>
              <w:t>$ 14.00</w:t>
            </w:r>
          </w:p>
        </w:tc>
        <w:tc>
          <w:tcPr>
            <w:tcW w:w="1460" w:type="dxa"/>
            <w:vAlign w:val="bottom"/>
          </w:tcPr>
          <w:p>
            <w:pPr>
              <w:jc w:val="right"/>
              <w:ind w:right="95"/>
              <w:spacing w:after="0"/>
              <w:rPr>
                <w:sz w:val="20"/>
                <w:szCs w:val="20"/>
                <w:color w:val="auto"/>
              </w:rPr>
            </w:pPr>
            <w:r>
              <w:rPr>
                <w:rFonts w:ascii="Arial" w:cs="Arial" w:eastAsia="Arial" w:hAnsi="Arial"/>
                <w:sz w:val="13"/>
                <w:szCs w:val="13"/>
                <w:color w:val="auto"/>
              </w:rPr>
              <w:t>12/29/2009</w:t>
            </w:r>
          </w:p>
        </w:tc>
        <w:tc>
          <w:tcPr>
            <w:tcW w:w="0" w:type="dxa"/>
            <w:vAlign w:val="bottom"/>
          </w:tcPr>
          <w:p>
            <w:pPr>
              <w:spacing w:after="0"/>
              <w:rPr>
                <w:sz w:val="1"/>
                <w:szCs w:val="1"/>
                <w:color w:val="auto"/>
              </w:rPr>
            </w:pPr>
          </w:p>
        </w:tc>
      </w:tr>
      <w:tr>
        <w:trPr>
          <w:trHeight w:val="156"/>
        </w:trPr>
        <w:tc>
          <w:tcPr>
            <w:tcW w:w="3220" w:type="dxa"/>
            <w:vAlign w:val="bottom"/>
          </w:tcPr>
          <w:p>
            <w:pPr>
              <w:spacing w:after="0"/>
              <w:rPr>
                <w:sz w:val="13"/>
                <w:szCs w:val="13"/>
                <w:color w:val="auto"/>
              </w:rPr>
            </w:pPr>
          </w:p>
        </w:tc>
        <w:tc>
          <w:tcPr>
            <w:tcW w:w="3860" w:type="dxa"/>
            <w:vAlign w:val="bottom"/>
          </w:tcPr>
          <w:p>
            <w:pPr>
              <w:jc w:val="center"/>
              <w:ind w:right="875"/>
              <w:spacing w:after="0"/>
              <w:rPr>
                <w:sz w:val="20"/>
                <w:szCs w:val="20"/>
                <w:color w:val="auto"/>
              </w:rPr>
            </w:pPr>
            <w:r>
              <w:rPr>
                <w:rFonts w:ascii="Arial" w:cs="Arial" w:eastAsia="Arial" w:hAnsi="Arial"/>
                <w:sz w:val="13"/>
                <w:szCs w:val="13"/>
                <w:color w:val="auto"/>
                <w:w w:val="90"/>
              </w:rPr>
              <w:t>50,000</w:t>
            </w:r>
          </w:p>
        </w:tc>
        <w:tc>
          <w:tcPr>
            <w:tcW w:w="1640" w:type="dxa"/>
            <w:vAlign w:val="bottom"/>
          </w:tcPr>
          <w:p>
            <w:pPr>
              <w:jc w:val="center"/>
              <w:ind w:right="575"/>
              <w:spacing w:after="0"/>
              <w:rPr>
                <w:sz w:val="20"/>
                <w:szCs w:val="20"/>
                <w:color w:val="auto"/>
              </w:rPr>
            </w:pPr>
            <w:r>
              <w:rPr>
                <w:rFonts w:ascii="Arial" w:cs="Arial" w:eastAsia="Arial" w:hAnsi="Arial"/>
                <w:sz w:val="13"/>
                <w:szCs w:val="13"/>
                <w:color w:val="auto"/>
                <w:w w:val="91"/>
              </w:rPr>
              <w:t>-</w:t>
            </w:r>
          </w:p>
        </w:tc>
        <w:tc>
          <w:tcPr>
            <w:tcW w:w="740" w:type="dxa"/>
            <w:vAlign w:val="bottom"/>
          </w:tcPr>
          <w:p>
            <w:pPr>
              <w:spacing w:after="0"/>
              <w:rPr>
                <w:sz w:val="13"/>
                <w:szCs w:val="13"/>
                <w:color w:val="auto"/>
              </w:rPr>
            </w:pPr>
          </w:p>
        </w:tc>
        <w:tc>
          <w:tcPr>
            <w:tcW w:w="560" w:type="dxa"/>
            <w:vAlign w:val="bottom"/>
          </w:tcPr>
          <w:p>
            <w:pPr>
              <w:jc w:val="right"/>
              <w:ind w:right="175"/>
              <w:spacing w:after="0"/>
              <w:rPr>
                <w:sz w:val="20"/>
                <w:szCs w:val="20"/>
                <w:color w:val="auto"/>
              </w:rPr>
            </w:pPr>
            <w:r>
              <w:rPr>
                <w:rFonts w:ascii="Arial" w:cs="Arial" w:eastAsia="Arial" w:hAnsi="Arial"/>
                <w:sz w:val="13"/>
                <w:szCs w:val="13"/>
                <w:color w:val="auto"/>
                <w:w w:val="92"/>
              </w:rPr>
              <w:t>15.25</w:t>
            </w:r>
          </w:p>
        </w:tc>
        <w:tc>
          <w:tcPr>
            <w:tcW w:w="1460" w:type="dxa"/>
            <w:vAlign w:val="bottom"/>
          </w:tcPr>
          <w:p>
            <w:pPr>
              <w:jc w:val="right"/>
              <w:ind w:right="95"/>
              <w:spacing w:after="0"/>
              <w:rPr>
                <w:sz w:val="20"/>
                <w:szCs w:val="20"/>
                <w:color w:val="auto"/>
              </w:rPr>
            </w:pPr>
            <w:r>
              <w:rPr>
                <w:rFonts w:ascii="Arial" w:cs="Arial" w:eastAsia="Arial" w:hAnsi="Arial"/>
                <w:sz w:val="13"/>
                <w:szCs w:val="13"/>
                <w:color w:val="auto"/>
              </w:rPr>
              <w:t>5/17/2010</w:t>
            </w:r>
          </w:p>
        </w:tc>
        <w:tc>
          <w:tcPr>
            <w:tcW w:w="0" w:type="dxa"/>
            <w:vAlign w:val="bottom"/>
          </w:tcPr>
          <w:p>
            <w:pPr>
              <w:spacing w:after="0"/>
              <w:rPr>
                <w:sz w:val="1"/>
                <w:szCs w:val="1"/>
                <w:color w:val="auto"/>
              </w:rPr>
            </w:pPr>
          </w:p>
        </w:tc>
      </w:tr>
      <w:tr>
        <w:trPr>
          <w:trHeight w:val="156"/>
        </w:trPr>
        <w:tc>
          <w:tcPr>
            <w:tcW w:w="3220" w:type="dxa"/>
            <w:vAlign w:val="bottom"/>
          </w:tcPr>
          <w:p>
            <w:pPr>
              <w:spacing w:after="0"/>
              <w:rPr>
                <w:sz w:val="13"/>
                <w:szCs w:val="13"/>
                <w:color w:val="auto"/>
              </w:rPr>
            </w:pPr>
          </w:p>
        </w:tc>
        <w:tc>
          <w:tcPr>
            <w:tcW w:w="3860" w:type="dxa"/>
            <w:vAlign w:val="bottom"/>
          </w:tcPr>
          <w:p>
            <w:pPr>
              <w:jc w:val="center"/>
              <w:ind w:right="855"/>
              <w:spacing w:after="0"/>
              <w:rPr>
                <w:sz w:val="20"/>
                <w:szCs w:val="20"/>
                <w:color w:val="auto"/>
              </w:rPr>
            </w:pPr>
            <w:r>
              <w:rPr>
                <w:rFonts w:ascii="Arial" w:cs="Arial" w:eastAsia="Arial" w:hAnsi="Arial"/>
                <w:sz w:val="13"/>
                <w:szCs w:val="13"/>
                <w:color w:val="auto"/>
                <w:w w:val="92"/>
              </w:rPr>
              <w:t>5,000</w:t>
            </w:r>
          </w:p>
        </w:tc>
        <w:tc>
          <w:tcPr>
            <w:tcW w:w="1640" w:type="dxa"/>
            <w:vAlign w:val="bottom"/>
          </w:tcPr>
          <w:p>
            <w:pPr>
              <w:jc w:val="center"/>
              <w:ind w:right="575"/>
              <w:spacing w:after="0"/>
              <w:rPr>
                <w:sz w:val="20"/>
                <w:szCs w:val="20"/>
                <w:color w:val="auto"/>
              </w:rPr>
            </w:pPr>
            <w:r>
              <w:rPr>
                <w:rFonts w:ascii="Arial" w:cs="Arial" w:eastAsia="Arial" w:hAnsi="Arial"/>
                <w:sz w:val="13"/>
                <w:szCs w:val="13"/>
                <w:color w:val="auto"/>
                <w:w w:val="91"/>
              </w:rPr>
              <w:t>-</w:t>
            </w:r>
          </w:p>
        </w:tc>
        <w:tc>
          <w:tcPr>
            <w:tcW w:w="740" w:type="dxa"/>
            <w:vAlign w:val="bottom"/>
          </w:tcPr>
          <w:p>
            <w:pPr>
              <w:spacing w:after="0"/>
              <w:rPr>
                <w:sz w:val="13"/>
                <w:szCs w:val="13"/>
                <w:color w:val="auto"/>
              </w:rPr>
            </w:pPr>
          </w:p>
        </w:tc>
        <w:tc>
          <w:tcPr>
            <w:tcW w:w="560" w:type="dxa"/>
            <w:vAlign w:val="bottom"/>
          </w:tcPr>
          <w:p>
            <w:pPr>
              <w:jc w:val="right"/>
              <w:ind w:right="175"/>
              <w:spacing w:after="0"/>
              <w:rPr>
                <w:sz w:val="20"/>
                <w:szCs w:val="20"/>
                <w:color w:val="auto"/>
              </w:rPr>
            </w:pPr>
            <w:r>
              <w:rPr>
                <w:rFonts w:ascii="Arial" w:cs="Arial" w:eastAsia="Arial" w:hAnsi="Arial"/>
                <w:sz w:val="13"/>
                <w:szCs w:val="13"/>
                <w:color w:val="auto"/>
              </w:rPr>
              <w:t>6.50</w:t>
            </w:r>
          </w:p>
        </w:tc>
        <w:tc>
          <w:tcPr>
            <w:tcW w:w="1460" w:type="dxa"/>
            <w:vAlign w:val="bottom"/>
          </w:tcPr>
          <w:p>
            <w:pPr>
              <w:jc w:val="right"/>
              <w:ind w:right="95"/>
              <w:spacing w:after="0"/>
              <w:rPr>
                <w:sz w:val="20"/>
                <w:szCs w:val="20"/>
                <w:color w:val="auto"/>
              </w:rPr>
            </w:pPr>
            <w:r>
              <w:rPr>
                <w:rFonts w:ascii="Arial" w:cs="Arial" w:eastAsia="Arial" w:hAnsi="Arial"/>
                <w:sz w:val="13"/>
                <w:szCs w:val="13"/>
                <w:color w:val="auto"/>
              </w:rPr>
              <w:t>4/12/2014</w:t>
            </w:r>
          </w:p>
        </w:tc>
        <w:tc>
          <w:tcPr>
            <w:tcW w:w="0" w:type="dxa"/>
            <w:vAlign w:val="bottom"/>
          </w:tcPr>
          <w:p>
            <w:pPr>
              <w:spacing w:after="0"/>
              <w:rPr>
                <w:sz w:val="1"/>
                <w:szCs w:val="1"/>
                <w:color w:val="auto"/>
              </w:rPr>
            </w:pPr>
          </w:p>
        </w:tc>
      </w:tr>
      <w:tr>
        <w:trPr>
          <w:trHeight w:val="156"/>
        </w:trPr>
        <w:tc>
          <w:tcPr>
            <w:tcW w:w="3220" w:type="dxa"/>
            <w:vAlign w:val="bottom"/>
          </w:tcPr>
          <w:p>
            <w:pPr>
              <w:spacing w:after="0"/>
              <w:rPr>
                <w:sz w:val="13"/>
                <w:szCs w:val="13"/>
                <w:color w:val="auto"/>
              </w:rPr>
            </w:pPr>
          </w:p>
        </w:tc>
        <w:tc>
          <w:tcPr>
            <w:tcW w:w="3860" w:type="dxa"/>
            <w:vAlign w:val="bottom"/>
          </w:tcPr>
          <w:p>
            <w:pPr>
              <w:jc w:val="center"/>
              <w:ind w:right="875"/>
              <w:spacing w:after="0"/>
              <w:rPr>
                <w:sz w:val="20"/>
                <w:szCs w:val="20"/>
                <w:color w:val="auto"/>
              </w:rPr>
            </w:pPr>
            <w:r>
              <w:rPr>
                <w:rFonts w:ascii="Arial" w:cs="Arial" w:eastAsia="Arial" w:hAnsi="Arial"/>
                <w:sz w:val="13"/>
                <w:szCs w:val="13"/>
                <w:color w:val="auto"/>
                <w:w w:val="90"/>
              </w:rPr>
              <w:t>20,000</w:t>
            </w:r>
          </w:p>
        </w:tc>
        <w:tc>
          <w:tcPr>
            <w:tcW w:w="1640" w:type="dxa"/>
            <w:vAlign w:val="bottom"/>
          </w:tcPr>
          <w:p>
            <w:pPr>
              <w:jc w:val="center"/>
              <w:ind w:right="575"/>
              <w:spacing w:after="0"/>
              <w:rPr>
                <w:sz w:val="20"/>
                <w:szCs w:val="20"/>
                <w:color w:val="auto"/>
              </w:rPr>
            </w:pPr>
            <w:r>
              <w:rPr>
                <w:rFonts w:ascii="Arial" w:cs="Arial" w:eastAsia="Arial" w:hAnsi="Arial"/>
                <w:sz w:val="13"/>
                <w:szCs w:val="13"/>
                <w:color w:val="auto"/>
                <w:w w:val="91"/>
              </w:rPr>
              <w:t>-</w:t>
            </w:r>
          </w:p>
        </w:tc>
        <w:tc>
          <w:tcPr>
            <w:tcW w:w="740" w:type="dxa"/>
            <w:vAlign w:val="bottom"/>
          </w:tcPr>
          <w:p>
            <w:pPr>
              <w:spacing w:after="0"/>
              <w:rPr>
                <w:sz w:val="13"/>
                <w:szCs w:val="13"/>
                <w:color w:val="auto"/>
              </w:rPr>
            </w:pPr>
          </w:p>
        </w:tc>
        <w:tc>
          <w:tcPr>
            <w:tcW w:w="560" w:type="dxa"/>
            <w:vAlign w:val="bottom"/>
          </w:tcPr>
          <w:p>
            <w:pPr>
              <w:jc w:val="right"/>
              <w:ind w:right="175"/>
              <w:spacing w:after="0"/>
              <w:rPr>
                <w:sz w:val="20"/>
                <w:szCs w:val="20"/>
                <w:color w:val="auto"/>
              </w:rPr>
            </w:pPr>
            <w:r>
              <w:rPr>
                <w:rFonts w:ascii="Arial" w:cs="Arial" w:eastAsia="Arial" w:hAnsi="Arial"/>
                <w:sz w:val="13"/>
                <w:szCs w:val="13"/>
                <w:color w:val="auto"/>
              </w:rPr>
              <w:t>4.00</w:t>
            </w:r>
          </w:p>
        </w:tc>
        <w:tc>
          <w:tcPr>
            <w:tcW w:w="1460" w:type="dxa"/>
            <w:vAlign w:val="bottom"/>
          </w:tcPr>
          <w:p>
            <w:pPr>
              <w:jc w:val="right"/>
              <w:ind w:right="95"/>
              <w:spacing w:after="0"/>
              <w:rPr>
                <w:sz w:val="20"/>
                <w:szCs w:val="20"/>
                <w:color w:val="auto"/>
              </w:rPr>
            </w:pPr>
            <w:r>
              <w:rPr>
                <w:rFonts w:ascii="Arial" w:cs="Arial" w:eastAsia="Arial" w:hAnsi="Arial"/>
                <w:sz w:val="13"/>
                <w:szCs w:val="13"/>
                <w:color w:val="auto"/>
              </w:rPr>
              <w:t>1/27/2015</w:t>
            </w:r>
          </w:p>
        </w:tc>
        <w:tc>
          <w:tcPr>
            <w:tcW w:w="0" w:type="dxa"/>
            <w:vAlign w:val="bottom"/>
          </w:tcPr>
          <w:p>
            <w:pPr>
              <w:spacing w:after="0"/>
              <w:rPr>
                <w:sz w:val="1"/>
                <w:szCs w:val="1"/>
                <w:color w:val="auto"/>
              </w:rPr>
            </w:pPr>
          </w:p>
        </w:tc>
      </w:tr>
      <w:tr>
        <w:trPr>
          <w:trHeight w:val="156"/>
        </w:trPr>
        <w:tc>
          <w:tcPr>
            <w:tcW w:w="3220" w:type="dxa"/>
            <w:vAlign w:val="bottom"/>
          </w:tcPr>
          <w:p>
            <w:pPr>
              <w:spacing w:after="0"/>
              <w:rPr>
                <w:sz w:val="13"/>
                <w:szCs w:val="13"/>
                <w:color w:val="auto"/>
              </w:rPr>
            </w:pPr>
          </w:p>
        </w:tc>
        <w:tc>
          <w:tcPr>
            <w:tcW w:w="3860" w:type="dxa"/>
            <w:vAlign w:val="bottom"/>
          </w:tcPr>
          <w:p>
            <w:pPr>
              <w:jc w:val="center"/>
              <w:ind w:right="875"/>
              <w:spacing w:after="0"/>
              <w:rPr>
                <w:sz w:val="20"/>
                <w:szCs w:val="20"/>
                <w:color w:val="auto"/>
              </w:rPr>
            </w:pPr>
            <w:r>
              <w:rPr>
                <w:rFonts w:ascii="Arial" w:cs="Arial" w:eastAsia="Arial" w:hAnsi="Arial"/>
                <w:sz w:val="13"/>
                <w:szCs w:val="13"/>
                <w:color w:val="auto"/>
                <w:w w:val="90"/>
              </w:rPr>
              <w:t>14,583</w:t>
            </w:r>
          </w:p>
        </w:tc>
        <w:tc>
          <w:tcPr>
            <w:tcW w:w="1640" w:type="dxa"/>
            <w:vAlign w:val="bottom"/>
          </w:tcPr>
          <w:p>
            <w:pPr>
              <w:jc w:val="center"/>
              <w:ind w:right="735"/>
              <w:spacing w:after="0"/>
              <w:rPr>
                <w:sz w:val="20"/>
                <w:szCs w:val="20"/>
                <w:color w:val="auto"/>
              </w:rPr>
            </w:pPr>
            <w:r>
              <w:rPr>
                <w:rFonts w:ascii="Arial" w:cs="Arial" w:eastAsia="Arial" w:hAnsi="Arial"/>
                <w:sz w:val="13"/>
                <w:szCs w:val="13"/>
                <w:color w:val="auto"/>
                <w:w w:val="90"/>
              </w:rPr>
              <w:t>10,417</w:t>
            </w:r>
          </w:p>
        </w:tc>
        <w:tc>
          <w:tcPr>
            <w:tcW w:w="740" w:type="dxa"/>
            <w:vAlign w:val="bottom"/>
          </w:tcPr>
          <w:p>
            <w:pPr>
              <w:spacing w:after="0"/>
              <w:rPr>
                <w:sz w:val="13"/>
                <w:szCs w:val="13"/>
                <w:color w:val="auto"/>
              </w:rPr>
            </w:pPr>
          </w:p>
        </w:tc>
        <w:tc>
          <w:tcPr>
            <w:tcW w:w="560" w:type="dxa"/>
            <w:vAlign w:val="bottom"/>
          </w:tcPr>
          <w:p>
            <w:pPr>
              <w:jc w:val="right"/>
              <w:ind w:right="175"/>
              <w:spacing w:after="0"/>
              <w:rPr>
                <w:sz w:val="20"/>
                <w:szCs w:val="20"/>
                <w:color w:val="auto"/>
              </w:rPr>
            </w:pPr>
            <w:r>
              <w:rPr>
                <w:rFonts w:ascii="Arial" w:cs="Arial" w:eastAsia="Arial" w:hAnsi="Arial"/>
                <w:sz w:val="13"/>
                <w:szCs w:val="13"/>
                <w:color w:val="auto"/>
              </w:rPr>
              <w:t>3.65</w:t>
            </w:r>
          </w:p>
        </w:tc>
        <w:tc>
          <w:tcPr>
            <w:tcW w:w="1460" w:type="dxa"/>
            <w:vAlign w:val="bottom"/>
          </w:tcPr>
          <w:p>
            <w:pPr>
              <w:jc w:val="right"/>
              <w:ind w:right="95"/>
              <w:spacing w:after="0"/>
              <w:rPr>
                <w:sz w:val="20"/>
                <w:szCs w:val="20"/>
                <w:color w:val="auto"/>
              </w:rPr>
            </w:pPr>
            <w:r>
              <w:rPr>
                <w:rFonts w:ascii="Arial" w:cs="Arial" w:eastAsia="Arial" w:hAnsi="Arial"/>
                <w:sz w:val="13"/>
                <w:szCs w:val="13"/>
                <w:color w:val="auto"/>
              </w:rPr>
              <w:t>9/18/2016</w:t>
            </w:r>
          </w:p>
        </w:tc>
        <w:tc>
          <w:tcPr>
            <w:tcW w:w="0" w:type="dxa"/>
            <w:vAlign w:val="bottom"/>
          </w:tcPr>
          <w:p>
            <w:pPr>
              <w:spacing w:after="0"/>
              <w:rPr>
                <w:sz w:val="1"/>
                <w:szCs w:val="1"/>
                <w:color w:val="auto"/>
              </w:rPr>
            </w:pPr>
          </w:p>
        </w:tc>
      </w:tr>
      <w:tr>
        <w:trPr>
          <w:trHeight w:val="164"/>
        </w:trPr>
        <w:tc>
          <w:tcPr>
            <w:tcW w:w="3220" w:type="dxa"/>
            <w:vAlign w:val="bottom"/>
          </w:tcPr>
          <w:p>
            <w:pPr>
              <w:spacing w:after="0"/>
              <w:rPr>
                <w:sz w:val="14"/>
                <w:szCs w:val="14"/>
                <w:color w:val="auto"/>
              </w:rPr>
            </w:pPr>
          </w:p>
        </w:tc>
        <w:tc>
          <w:tcPr>
            <w:tcW w:w="3860" w:type="dxa"/>
            <w:vAlign w:val="bottom"/>
          </w:tcPr>
          <w:p>
            <w:pPr>
              <w:jc w:val="center"/>
              <w:ind w:right="595"/>
              <w:spacing w:after="0"/>
              <w:rPr>
                <w:sz w:val="20"/>
                <w:szCs w:val="20"/>
                <w:color w:val="auto"/>
              </w:rPr>
            </w:pPr>
            <w:r>
              <w:rPr>
                <w:rFonts w:ascii="Arial" w:cs="Arial" w:eastAsia="Arial" w:hAnsi="Arial"/>
                <w:sz w:val="13"/>
                <w:szCs w:val="13"/>
                <w:color w:val="auto"/>
                <w:w w:val="91"/>
              </w:rPr>
              <w:t>-</w:t>
            </w:r>
          </w:p>
        </w:tc>
        <w:tc>
          <w:tcPr>
            <w:tcW w:w="1640" w:type="dxa"/>
            <w:vAlign w:val="bottom"/>
          </w:tcPr>
          <w:p>
            <w:pPr>
              <w:jc w:val="center"/>
              <w:ind w:right="735"/>
              <w:spacing w:after="0"/>
              <w:rPr>
                <w:sz w:val="20"/>
                <w:szCs w:val="20"/>
                <w:color w:val="auto"/>
              </w:rPr>
            </w:pPr>
            <w:r>
              <w:rPr>
                <w:rFonts w:ascii="Arial" w:cs="Arial" w:eastAsia="Arial" w:hAnsi="Arial"/>
                <w:sz w:val="13"/>
                <w:szCs w:val="13"/>
                <w:color w:val="auto"/>
                <w:w w:val="90"/>
              </w:rPr>
              <w:t>25,000</w:t>
            </w:r>
          </w:p>
        </w:tc>
        <w:tc>
          <w:tcPr>
            <w:tcW w:w="740" w:type="dxa"/>
            <w:vAlign w:val="bottom"/>
          </w:tcPr>
          <w:p>
            <w:pPr>
              <w:spacing w:after="0"/>
              <w:rPr>
                <w:sz w:val="14"/>
                <w:szCs w:val="14"/>
                <w:color w:val="auto"/>
              </w:rPr>
            </w:pPr>
          </w:p>
        </w:tc>
        <w:tc>
          <w:tcPr>
            <w:tcW w:w="560" w:type="dxa"/>
            <w:vAlign w:val="bottom"/>
          </w:tcPr>
          <w:p>
            <w:pPr>
              <w:jc w:val="right"/>
              <w:ind w:right="175"/>
              <w:spacing w:after="0"/>
              <w:rPr>
                <w:sz w:val="20"/>
                <w:szCs w:val="20"/>
                <w:color w:val="auto"/>
              </w:rPr>
            </w:pPr>
            <w:r>
              <w:rPr>
                <w:rFonts w:ascii="Arial" w:cs="Arial" w:eastAsia="Arial" w:hAnsi="Arial"/>
                <w:sz w:val="13"/>
                <w:szCs w:val="13"/>
                <w:color w:val="auto"/>
              </w:rPr>
              <w:t>6.15</w:t>
            </w:r>
          </w:p>
        </w:tc>
        <w:tc>
          <w:tcPr>
            <w:tcW w:w="1460" w:type="dxa"/>
            <w:vAlign w:val="bottom"/>
          </w:tcPr>
          <w:p>
            <w:pPr>
              <w:jc w:val="right"/>
              <w:ind w:right="95"/>
              <w:spacing w:after="0"/>
              <w:rPr>
                <w:sz w:val="20"/>
                <w:szCs w:val="20"/>
                <w:color w:val="auto"/>
              </w:rPr>
            </w:pPr>
            <w:r>
              <w:rPr>
                <w:rFonts w:ascii="Arial" w:cs="Arial" w:eastAsia="Arial" w:hAnsi="Arial"/>
                <w:sz w:val="13"/>
                <w:szCs w:val="13"/>
                <w:color w:val="auto"/>
              </w:rPr>
              <w:t>8/14/2017</w:t>
            </w:r>
          </w:p>
        </w:tc>
        <w:tc>
          <w:tcPr>
            <w:tcW w:w="0" w:type="dxa"/>
            <w:vAlign w:val="bottom"/>
          </w:tcPr>
          <w:p>
            <w:pPr>
              <w:spacing w:after="0"/>
              <w:rPr>
                <w:sz w:val="1"/>
                <w:szCs w:val="1"/>
                <w:color w:val="auto"/>
              </w:rPr>
            </w:pPr>
          </w:p>
        </w:tc>
      </w:tr>
      <w:tr>
        <w:trPr>
          <w:trHeight w:val="304"/>
        </w:trPr>
        <w:tc>
          <w:tcPr>
            <w:tcW w:w="3220" w:type="dxa"/>
            <w:vAlign w:val="bottom"/>
          </w:tcPr>
          <w:p>
            <w:pPr>
              <w:spacing w:after="0"/>
              <w:rPr>
                <w:sz w:val="20"/>
                <w:szCs w:val="20"/>
                <w:color w:val="auto"/>
              </w:rPr>
            </w:pPr>
            <w:r>
              <w:rPr>
                <w:rFonts w:ascii="Arial" w:cs="Arial" w:eastAsia="Arial" w:hAnsi="Arial"/>
                <w:sz w:val="13"/>
                <w:szCs w:val="13"/>
                <w:color w:val="auto"/>
              </w:rPr>
              <w:t>Marthes Solamuthu</w:t>
            </w:r>
          </w:p>
        </w:tc>
        <w:tc>
          <w:tcPr>
            <w:tcW w:w="3860" w:type="dxa"/>
            <w:vAlign w:val="bottom"/>
          </w:tcPr>
          <w:p>
            <w:pPr>
              <w:jc w:val="center"/>
              <w:ind w:right="875"/>
              <w:spacing w:after="0"/>
              <w:rPr>
                <w:sz w:val="20"/>
                <w:szCs w:val="20"/>
                <w:color w:val="auto"/>
              </w:rPr>
            </w:pPr>
            <w:r>
              <w:rPr>
                <w:rFonts w:ascii="Arial" w:cs="Arial" w:eastAsia="Arial" w:hAnsi="Arial"/>
                <w:sz w:val="13"/>
                <w:szCs w:val="13"/>
                <w:color w:val="auto"/>
                <w:w w:val="90"/>
              </w:rPr>
              <w:t>30,555</w:t>
            </w:r>
          </w:p>
        </w:tc>
        <w:tc>
          <w:tcPr>
            <w:tcW w:w="1640" w:type="dxa"/>
            <w:vAlign w:val="bottom"/>
          </w:tcPr>
          <w:p>
            <w:pPr>
              <w:jc w:val="center"/>
              <w:ind w:right="735"/>
              <w:spacing w:after="0"/>
              <w:rPr>
                <w:sz w:val="20"/>
                <w:szCs w:val="20"/>
                <w:color w:val="auto"/>
              </w:rPr>
            </w:pPr>
            <w:r>
              <w:rPr>
                <w:rFonts w:ascii="Arial" w:cs="Arial" w:eastAsia="Arial" w:hAnsi="Arial"/>
                <w:sz w:val="13"/>
                <w:szCs w:val="13"/>
                <w:color w:val="auto"/>
                <w:w w:val="90"/>
              </w:rPr>
              <w:t>19,445</w:t>
            </w:r>
          </w:p>
        </w:tc>
        <w:tc>
          <w:tcPr>
            <w:tcW w:w="740" w:type="dxa"/>
            <w:vAlign w:val="bottom"/>
          </w:tcPr>
          <w:p>
            <w:pPr>
              <w:jc w:val="center"/>
              <w:ind w:left="595"/>
              <w:spacing w:after="0"/>
              <w:rPr>
                <w:sz w:val="20"/>
                <w:szCs w:val="20"/>
                <w:color w:val="auto"/>
              </w:rPr>
            </w:pPr>
            <w:r>
              <w:rPr>
                <w:rFonts w:ascii="Arial" w:cs="Arial" w:eastAsia="Arial" w:hAnsi="Arial"/>
                <w:sz w:val="13"/>
                <w:szCs w:val="13"/>
                <w:color w:val="auto"/>
              </w:rPr>
              <w:t>$</w:t>
            </w:r>
          </w:p>
        </w:tc>
        <w:tc>
          <w:tcPr>
            <w:tcW w:w="560" w:type="dxa"/>
            <w:vAlign w:val="bottom"/>
          </w:tcPr>
          <w:p>
            <w:pPr>
              <w:jc w:val="right"/>
              <w:ind w:right="175"/>
              <w:spacing w:after="0"/>
              <w:rPr>
                <w:sz w:val="20"/>
                <w:szCs w:val="20"/>
                <w:color w:val="auto"/>
              </w:rPr>
            </w:pPr>
            <w:r>
              <w:rPr>
                <w:rFonts w:ascii="Arial" w:cs="Arial" w:eastAsia="Arial" w:hAnsi="Arial"/>
                <w:sz w:val="13"/>
                <w:szCs w:val="13"/>
                <w:color w:val="auto"/>
              </w:rPr>
              <w:t>3.26</w:t>
            </w:r>
          </w:p>
        </w:tc>
        <w:tc>
          <w:tcPr>
            <w:tcW w:w="1460" w:type="dxa"/>
            <w:vAlign w:val="bottom"/>
          </w:tcPr>
          <w:p>
            <w:pPr>
              <w:jc w:val="right"/>
              <w:ind w:right="95"/>
              <w:spacing w:after="0"/>
              <w:rPr>
                <w:sz w:val="20"/>
                <w:szCs w:val="20"/>
                <w:color w:val="auto"/>
              </w:rPr>
            </w:pPr>
            <w:r>
              <w:rPr>
                <w:rFonts w:ascii="Arial" w:cs="Arial" w:eastAsia="Arial" w:hAnsi="Arial"/>
                <w:sz w:val="13"/>
                <w:szCs w:val="13"/>
                <w:color w:val="auto"/>
              </w:rPr>
              <w:t>8/23/2016</w:t>
            </w:r>
          </w:p>
        </w:tc>
        <w:tc>
          <w:tcPr>
            <w:tcW w:w="0" w:type="dxa"/>
            <w:vAlign w:val="bottom"/>
          </w:tcPr>
          <w:p>
            <w:pPr>
              <w:spacing w:after="0"/>
              <w:rPr>
                <w:sz w:val="1"/>
                <w:szCs w:val="1"/>
                <w:color w:val="auto"/>
              </w:rPr>
            </w:pPr>
          </w:p>
        </w:tc>
      </w:tr>
      <w:tr>
        <w:trPr>
          <w:trHeight w:val="164"/>
        </w:trPr>
        <w:tc>
          <w:tcPr>
            <w:tcW w:w="3220" w:type="dxa"/>
            <w:vAlign w:val="bottom"/>
            <w:vMerge w:val="restart"/>
          </w:tcPr>
          <w:p>
            <w:pPr>
              <w:ind w:left="40"/>
              <w:spacing w:after="0"/>
              <w:rPr>
                <w:sz w:val="20"/>
                <w:szCs w:val="20"/>
                <w:color w:val="auto"/>
              </w:rPr>
            </w:pPr>
            <w:r>
              <w:rPr>
                <w:rFonts w:ascii="Arial" w:cs="Arial" w:eastAsia="Arial" w:hAnsi="Arial"/>
                <w:sz w:val="13"/>
                <w:szCs w:val="13"/>
                <w:color w:val="auto"/>
              </w:rPr>
              <w:t>_______________</w:t>
            </w:r>
          </w:p>
        </w:tc>
        <w:tc>
          <w:tcPr>
            <w:tcW w:w="3860" w:type="dxa"/>
            <w:vAlign w:val="bottom"/>
          </w:tcPr>
          <w:p>
            <w:pPr>
              <w:jc w:val="center"/>
              <w:ind w:right="595"/>
              <w:spacing w:after="0"/>
              <w:rPr>
                <w:sz w:val="20"/>
                <w:szCs w:val="20"/>
                <w:color w:val="auto"/>
              </w:rPr>
            </w:pPr>
            <w:r>
              <w:rPr>
                <w:rFonts w:ascii="Arial" w:cs="Arial" w:eastAsia="Arial" w:hAnsi="Arial"/>
                <w:sz w:val="13"/>
                <w:szCs w:val="13"/>
                <w:color w:val="auto"/>
                <w:w w:val="91"/>
              </w:rPr>
              <w:t>-</w:t>
            </w:r>
          </w:p>
        </w:tc>
        <w:tc>
          <w:tcPr>
            <w:tcW w:w="1640" w:type="dxa"/>
            <w:vAlign w:val="bottom"/>
          </w:tcPr>
          <w:p>
            <w:pPr>
              <w:jc w:val="center"/>
              <w:ind w:right="735"/>
              <w:spacing w:after="0"/>
              <w:rPr>
                <w:sz w:val="20"/>
                <w:szCs w:val="20"/>
                <w:color w:val="auto"/>
              </w:rPr>
            </w:pPr>
            <w:r>
              <w:rPr>
                <w:rFonts w:ascii="Arial" w:cs="Arial" w:eastAsia="Arial" w:hAnsi="Arial"/>
                <w:sz w:val="13"/>
                <w:szCs w:val="13"/>
                <w:color w:val="auto"/>
                <w:w w:val="90"/>
              </w:rPr>
              <w:t>50,000</w:t>
            </w:r>
          </w:p>
        </w:tc>
        <w:tc>
          <w:tcPr>
            <w:tcW w:w="740" w:type="dxa"/>
            <w:vAlign w:val="bottom"/>
          </w:tcPr>
          <w:p>
            <w:pPr>
              <w:spacing w:after="0"/>
              <w:rPr>
                <w:sz w:val="14"/>
                <w:szCs w:val="14"/>
                <w:color w:val="auto"/>
              </w:rPr>
            </w:pPr>
          </w:p>
        </w:tc>
        <w:tc>
          <w:tcPr>
            <w:tcW w:w="560" w:type="dxa"/>
            <w:vAlign w:val="bottom"/>
          </w:tcPr>
          <w:p>
            <w:pPr>
              <w:jc w:val="right"/>
              <w:ind w:right="175"/>
              <w:spacing w:after="0"/>
              <w:rPr>
                <w:sz w:val="20"/>
                <w:szCs w:val="20"/>
                <w:color w:val="auto"/>
              </w:rPr>
            </w:pPr>
            <w:r>
              <w:rPr>
                <w:rFonts w:ascii="Arial" w:cs="Arial" w:eastAsia="Arial" w:hAnsi="Arial"/>
                <w:sz w:val="13"/>
                <w:szCs w:val="13"/>
                <w:color w:val="auto"/>
              </w:rPr>
              <w:t>6.15</w:t>
            </w:r>
          </w:p>
        </w:tc>
        <w:tc>
          <w:tcPr>
            <w:tcW w:w="1460" w:type="dxa"/>
            <w:vAlign w:val="bottom"/>
          </w:tcPr>
          <w:p>
            <w:pPr>
              <w:jc w:val="right"/>
              <w:ind w:right="95"/>
              <w:spacing w:after="0"/>
              <w:rPr>
                <w:sz w:val="20"/>
                <w:szCs w:val="20"/>
                <w:color w:val="auto"/>
              </w:rPr>
            </w:pPr>
            <w:r>
              <w:rPr>
                <w:rFonts w:ascii="Arial" w:cs="Arial" w:eastAsia="Arial" w:hAnsi="Arial"/>
                <w:sz w:val="13"/>
                <w:szCs w:val="13"/>
                <w:color w:val="auto"/>
              </w:rPr>
              <w:t>8/14/2017</w:t>
            </w:r>
          </w:p>
        </w:tc>
        <w:tc>
          <w:tcPr>
            <w:tcW w:w="0" w:type="dxa"/>
            <w:vAlign w:val="bottom"/>
          </w:tcPr>
          <w:p>
            <w:pPr>
              <w:spacing w:after="0"/>
              <w:rPr>
                <w:sz w:val="1"/>
                <w:szCs w:val="1"/>
                <w:color w:val="auto"/>
              </w:rPr>
            </w:pPr>
          </w:p>
        </w:tc>
      </w:tr>
      <w:tr>
        <w:trPr>
          <w:trHeight w:val="156"/>
        </w:trPr>
        <w:tc>
          <w:tcPr>
            <w:tcW w:w="3220" w:type="dxa"/>
            <w:vAlign w:val="bottom"/>
            <w:vMerge w:val="continue"/>
          </w:tcPr>
          <w:p>
            <w:pPr>
              <w:spacing w:after="0"/>
              <w:rPr>
                <w:sz w:val="13"/>
                <w:szCs w:val="13"/>
                <w:color w:val="auto"/>
              </w:rPr>
            </w:pPr>
          </w:p>
        </w:tc>
        <w:tc>
          <w:tcPr>
            <w:tcW w:w="3860" w:type="dxa"/>
            <w:vAlign w:val="bottom"/>
          </w:tcPr>
          <w:p>
            <w:pPr>
              <w:spacing w:after="0"/>
              <w:rPr>
                <w:sz w:val="13"/>
                <w:szCs w:val="13"/>
                <w:color w:val="auto"/>
              </w:rPr>
            </w:pPr>
          </w:p>
        </w:tc>
        <w:tc>
          <w:tcPr>
            <w:tcW w:w="16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163" w:lineRule="exact"/>
        <w:rPr>
          <w:sz w:val="20"/>
          <w:szCs w:val="20"/>
          <w:color w:val="auto"/>
        </w:rPr>
      </w:pPr>
    </w:p>
    <w:p>
      <w:pPr>
        <w:ind w:left="2"/>
        <w:spacing w:after="0"/>
        <w:rPr>
          <w:sz w:val="20"/>
          <w:szCs w:val="20"/>
          <w:color w:val="auto"/>
        </w:rPr>
      </w:pPr>
      <w:r>
        <w:rPr>
          <w:rFonts w:ascii="Arial" w:cs="Arial" w:eastAsia="Arial" w:hAnsi="Arial"/>
          <w:sz w:val="13"/>
          <w:szCs w:val="13"/>
          <w:b w:val="1"/>
          <w:bCs w:val="1"/>
          <w:color w:val="auto"/>
        </w:rPr>
        <w:t>(1) Unvested options vest monthly over a three year period beginning on the date of grant.</w:t>
      </w:r>
    </w:p>
    <w:p>
      <w:pPr>
        <w:spacing w:after="0" w:line="182" w:lineRule="exact"/>
        <w:rPr>
          <w:sz w:val="20"/>
          <w:szCs w:val="20"/>
          <w:color w:val="auto"/>
        </w:rPr>
      </w:pPr>
    </w:p>
    <w:p>
      <w:pPr>
        <w:jc w:val="center"/>
        <w:ind w:right="-1"/>
        <w:spacing w:after="0"/>
        <w:rPr>
          <w:sz w:val="20"/>
          <w:szCs w:val="20"/>
          <w:color w:val="auto"/>
        </w:rPr>
      </w:pPr>
      <w:r>
        <w:rPr>
          <w:rFonts w:ascii="Arial" w:cs="Arial" w:eastAsia="Arial" w:hAnsi="Arial"/>
          <w:sz w:val="13"/>
          <w:szCs w:val="13"/>
          <w:b w:val="1"/>
          <w:bCs w:val="1"/>
          <w:color w:val="auto"/>
        </w:rPr>
        <w:t>OPTION EXERCISES AND STOCK VESTED</w:t>
      </w:r>
    </w:p>
    <w:p>
      <w:pPr>
        <w:spacing w:after="0" w:line="186" w:lineRule="exact"/>
        <w:rPr>
          <w:sz w:val="20"/>
          <w:szCs w:val="20"/>
          <w:color w:val="auto"/>
        </w:rPr>
      </w:pPr>
    </w:p>
    <w:p>
      <w:pPr>
        <w:ind w:left="462"/>
        <w:spacing w:after="0"/>
        <w:rPr>
          <w:sz w:val="20"/>
          <w:szCs w:val="20"/>
          <w:color w:val="auto"/>
        </w:rPr>
      </w:pPr>
      <w:r>
        <w:rPr>
          <w:rFonts w:ascii="Arial" w:cs="Arial" w:eastAsia="Arial" w:hAnsi="Arial"/>
          <w:sz w:val="13"/>
          <w:szCs w:val="13"/>
          <w:color w:val="auto"/>
        </w:rPr>
        <w:t>The following table presents information concerning each exercise of stock options during the fiscal year ended June 30, 2008 for each of the named executive officers.</w:t>
      </w:r>
    </w:p>
    <w:p>
      <w:pPr>
        <w:spacing w:after="0" w:line="178" w:lineRule="exact"/>
        <w:rPr>
          <w:sz w:val="20"/>
          <w:szCs w:val="20"/>
          <w:color w:val="auto"/>
        </w:rPr>
      </w:pPr>
    </w:p>
    <w:tbl>
      <w:tblPr>
        <w:tblLayout w:type="fixed"/>
        <w:tblInd w:w="1722" w:type="dxa"/>
        <w:tblCellMar>
          <w:top w:w="0" w:type="dxa"/>
          <w:left w:w="0" w:type="dxa"/>
          <w:bottom w:w="0" w:type="dxa"/>
          <w:right w:w="0" w:type="dxa"/>
        </w:tblCellMar>
      </w:tblPr>
      <w:tr>
        <w:trPr>
          <w:trHeight w:val="156"/>
        </w:trPr>
        <w:tc>
          <w:tcPr>
            <w:tcW w:w="20" w:type="dxa"/>
            <w:vAlign w:val="bottom"/>
          </w:tcPr>
          <w:p>
            <w:pPr>
              <w:spacing w:after="0"/>
              <w:rPr>
                <w:sz w:val="13"/>
                <w:szCs w:val="13"/>
                <w:color w:val="auto"/>
              </w:rPr>
            </w:pPr>
          </w:p>
        </w:tc>
        <w:tc>
          <w:tcPr>
            <w:tcW w:w="3560" w:type="dxa"/>
            <w:vAlign w:val="bottom"/>
          </w:tcPr>
          <w:p>
            <w:pPr>
              <w:spacing w:after="0"/>
              <w:rPr>
                <w:sz w:val="13"/>
                <w:szCs w:val="13"/>
                <w:color w:val="auto"/>
              </w:rPr>
            </w:pPr>
          </w:p>
        </w:tc>
        <w:tc>
          <w:tcPr>
            <w:tcW w:w="2700" w:type="dxa"/>
            <w:vAlign w:val="bottom"/>
          </w:tcPr>
          <w:p>
            <w:pPr>
              <w:jc w:val="center"/>
              <w:ind w:left="995"/>
              <w:spacing w:after="0"/>
              <w:rPr>
                <w:sz w:val="20"/>
                <w:szCs w:val="20"/>
                <w:color w:val="auto"/>
              </w:rPr>
            </w:pPr>
            <w:r>
              <w:rPr>
                <w:rFonts w:ascii="Arial" w:cs="Arial" w:eastAsia="Arial" w:hAnsi="Arial"/>
                <w:sz w:val="13"/>
                <w:szCs w:val="13"/>
                <w:b w:val="1"/>
                <w:bCs w:val="1"/>
                <w:color w:val="auto"/>
                <w:w w:val="90"/>
              </w:rPr>
              <w:t>Number of Shares Acquired</w:t>
            </w:r>
          </w:p>
        </w:tc>
        <w:tc>
          <w:tcPr>
            <w:tcW w:w="1740" w:type="dxa"/>
            <w:vAlign w:val="bottom"/>
          </w:tcPr>
          <w:p>
            <w:pPr>
              <w:ind w:left="60"/>
              <w:spacing w:after="0"/>
              <w:rPr>
                <w:sz w:val="20"/>
                <w:szCs w:val="20"/>
                <w:color w:val="auto"/>
              </w:rPr>
            </w:pPr>
            <w:r>
              <w:rPr>
                <w:rFonts w:ascii="Arial" w:cs="Arial" w:eastAsia="Arial" w:hAnsi="Arial"/>
                <w:sz w:val="13"/>
                <w:szCs w:val="13"/>
                <w:b w:val="1"/>
                <w:bCs w:val="1"/>
                <w:color w:val="auto"/>
                <w:w w:val="88"/>
              </w:rPr>
              <w:t>Value Realized on Exercise ($)</w:t>
            </w:r>
          </w:p>
        </w:tc>
      </w:tr>
      <w:tr>
        <w:trPr>
          <w:trHeight w:val="168"/>
        </w:trPr>
        <w:tc>
          <w:tcPr>
            <w:tcW w:w="20" w:type="dxa"/>
            <w:vAlign w:val="bottom"/>
          </w:tcPr>
          <w:p>
            <w:pPr>
              <w:spacing w:after="0"/>
              <w:rPr>
                <w:sz w:val="14"/>
                <w:szCs w:val="14"/>
                <w:color w:val="auto"/>
              </w:rPr>
            </w:pPr>
          </w:p>
        </w:tc>
        <w:tc>
          <w:tcPr>
            <w:tcW w:w="3560" w:type="dxa"/>
            <w:vAlign w:val="bottom"/>
            <w:tcBorders>
              <w:bottom w:val="single" w:sz="8" w:color="auto"/>
            </w:tcBorders>
          </w:tcPr>
          <w:p>
            <w:pPr>
              <w:ind w:left="2120"/>
              <w:spacing w:after="0"/>
              <w:rPr>
                <w:sz w:val="20"/>
                <w:szCs w:val="20"/>
                <w:color w:val="auto"/>
              </w:rPr>
            </w:pPr>
            <w:r>
              <w:rPr>
                <w:rFonts w:ascii="Arial" w:cs="Arial" w:eastAsia="Arial" w:hAnsi="Arial"/>
                <w:sz w:val="13"/>
                <w:szCs w:val="13"/>
                <w:b w:val="1"/>
                <w:bCs w:val="1"/>
                <w:color w:val="auto"/>
              </w:rPr>
              <w:t>Name</w:t>
            </w:r>
          </w:p>
        </w:tc>
        <w:tc>
          <w:tcPr>
            <w:tcW w:w="2700" w:type="dxa"/>
            <w:vAlign w:val="bottom"/>
            <w:tcBorders>
              <w:bottom w:val="single" w:sz="8" w:color="auto"/>
            </w:tcBorders>
          </w:tcPr>
          <w:p>
            <w:pPr>
              <w:jc w:val="center"/>
              <w:ind w:left="995"/>
              <w:spacing w:after="0"/>
              <w:rPr>
                <w:sz w:val="20"/>
                <w:szCs w:val="20"/>
                <w:color w:val="auto"/>
              </w:rPr>
            </w:pPr>
            <w:r>
              <w:rPr>
                <w:rFonts w:ascii="Arial" w:cs="Arial" w:eastAsia="Arial" w:hAnsi="Arial"/>
                <w:sz w:val="13"/>
                <w:szCs w:val="13"/>
                <w:b w:val="1"/>
                <w:bCs w:val="1"/>
                <w:color w:val="auto"/>
                <w:w w:val="86"/>
              </w:rPr>
              <w:t>on Exercise (#)</w:t>
            </w:r>
          </w:p>
        </w:tc>
        <w:tc>
          <w:tcPr>
            <w:tcW w:w="1740" w:type="dxa"/>
            <w:vAlign w:val="bottom"/>
            <w:tcBorders>
              <w:bottom w:val="single" w:sz="8" w:color="auto"/>
            </w:tcBorders>
          </w:tcPr>
          <w:p>
            <w:pPr>
              <w:jc w:val="right"/>
              <w:ind w:right="715"/>
              <w:spacing w:after="0"/>
              <w:rPr>
                <w:sz w:val="20"/>
                <w:szCs w:val="20"/>
                <w:color w:val="auto"/>
              </w:rPr>
            </w:pPr>
            <w:r>
              <w:rPr>
                <w:rFonts w:ascii="Arial" w:cs="Arial" w:eastAsia="Arial" w:hAnsi="Arial"/>
                <w:sz w:val="13"/>
                <w:szCs w:val="13"/>
                <w:b w:val="1"/>
                <w:bCs w:val="1"/>
                <w:color w:val="auto"/>
              </w:rPr>
              <w:t>(1)</w:t>
            </w:r>
          </w:p>
        </w:tc>
      </w:tr>
      <w:tr>
        <w:trPr>
          <w:trHeight w:val="157"/>
        </w:trPr>
        <w:tc>
          <w:tcPr>
            <w:tcW w:w="20" w:type="dxa"/>
            <w:vAlign w:val="bottom"/>
          </w:tcPr>
          <w:p>
            <w:pPr>
              <w:spacing w:after="0"/>
              <w:rPr>
                <w:sz w:val="13"/>
                <w:szCs w:val="13"/>
                <w:color w:val="auto"/>
              </w:rPr>
            </w:pPr>
          </w:p>
        </w:tc>
        <w:tc>
          <w:tcPr>
            <w:tcW w:w="3560" w:type="dxa"/>
            <w:vAlign w:val="bottom"/>
          </w:tcPr>
          <w:p>
            <w:pPr>
              <w:spacing w:after="0"/>
              <w:rPr>
                <w:sz w:val="20"/>
                <w:szCs w:val="20"/>
                <w:color w:val="auto"/>
              </w:rPr>
            </w:pPr>
            <w:r>
              <w:rPr>
                <w:rFonts w:ascii="Arial" w:cs="Arial" w:eastAsia="Arial" w:hAnsi="Arial"/>
                <w:sz w:val="13"/>
                <w:szCs w:val="13"/>
                <w:color w:val="auto"/>
              </w:rPr>
              <w:t>Greg A. LeClaire</w:t>
            </w:r>
          </w:p>
        </w:tc>
        <w:tc>
          <w:tcPr>
            <w:tcW w:w="2700" w:type="dxa"/>
            <w:vAlign w:val="bottom"/>
          </w:tcPr>
          <w:p>
            <w:pPr>
              <w:jc w:val="center"/>
              <w:ind w:left="995"/>
              <w:spacing w:after="0"/>
              <w:rPr>
                <w:sz w:val="20"/>
                <w:szCs w:val="20"/>
                <w:color w:val="auto"/>
              </w:rPr>
            </w:pPr>
            <w:r>
              <w:rPr>
                <w:rFonts w:ascii="Arial" w:cs="Arial" w:eastAsia="Arial" w:hAnsi="Arial"/>
                <w:sz w:val="13"/>
                <w:szCs w:val="13"/>
                <w:color w:val="auto"/>
                <w:w w:val="90"/>
              </w:rPr>
              <w:t>16,249</w:t>
            </w:r>
          </w:p>
        </w:tc>
        <w:tc>
          <w:tcPr>
            <w:tcW w:w="1740" w:type="dxa"/>
            <w:vAlign w:val="bottom"/>
          </w:tcPr>
          <w:p>
            <w:pPr>
              <w:jc w:val="right"/>
              <w:ind w:right="615"/>
              <w:spacing w:after="0"/>
              <w:rPr>
                <w:sz w:val="20"/>
                <w:szCs w:val="20"/>
                <w:color w:val="auto"/>
              </w:rPr>
            </w:pPr>
            <w:r>
              <w:rPr>
                <w:rFonts w:ascii="Arial" w:cs="Arial" w:eastAsia="Arial" w:hAnsi="Arial"/>
                <w:sz w:val="13"/>
                <w:szCs w:val="13"/>
                <w:color w:val="auto"/>
              </w:rPr>
              <w:t>17,085</w:t>
            </w:r>
          </w:p>
        </w:tc>
      </w:tr>
    </w:tbl>
    <w:p>
      <w:pPr>
        <w:ind w:left="42"/>
        <w:spacing w:after="0"/>
        <w:rPr>
          <w:sz w:val="20"/>
          <w:szCs w:val="20"/>
          <w:color w:val="auto"/>
        </w:rPr>
      </w:pPr>
      <w:r>
        <w:rPr>
          <w:rFonts w:ascii="Arial" w:cs="Arial" w:eastAsia="Arial" w:hAnsi="Arial"/>
          <w:sz w:val="13"/>
          <w:szCs w:val="13"/>
          <w:color w:val="auto"/>
        </w:rPr>
        <w:t>_______________</w:t>
      </w:r>
    </w:p>
    <w:p>
      <w:pPr>
        <w:spacing w:after="0" w:line="172" w:lineRule="exact"/>
        <w:rPr>
          <w:sz w:val="20"/>
          <w:szCs w:val="20"/>
          <w:color w:val="auto"/>
        </w:rPr>
      </w:pPr>
    </w:p>
    <w:p>
      <w:pPr>
        <w:ind w:left="462" w:hanging="462"/>
        <w:spacing w:after="0"/>
        <w:tabs>
          <w:tab w:leader="none" w:pos="462" w:val="left"/>
        </w:tabs>
        <w:numPr>
          <w:ilvl w:val="0"/>
          <w:numId w:val="10"/>
        </w:numPr>
        <w:rPr>
          <w:rFonts w:ascii="Arial" w:cs="Arial" w:eastAsia="Arial" w:hAnsi="Arial"/>
          <w:sz w:val="12"/>
          <w:szCs w:val="12"/>
          <w:color w:val="auto"/>
        </w:rPr>
      </w:pPr>
      <w:r>
        <w:rPr>
          <w:rFonts w:ascii="Arial" w:cs="Arial" w:eastAsia="Arial" w:hAnsi="Arial"/>
          <w:sz w:val="12"/>
          <w:szCs w:val="12"/>
          <w:color w:val="auto"/>
        </w:rPr>
        <w:t>Reflects the difference between the market price of our common stock at the time of exercise on the exercise date and the exercise price of the option, multiplied by the number of options exercised.</w:t>
      </w:r>
    </w:p>
    <w:p>
      <w:pPr>
        <w:spacing w:after="0" w:line="189" w:lineRule="exact"/>
        <w:rPr>
          <w:sz w:val="20"/>
          <w:szCs w:val="20"/>
          <w:color w:val="auto"/>
        </w:rPr>
      </w:pPr>
    </w:p>
    <w:p>
      <w:pPr>
        <w:ind w:left="2"/>
        <w:spacing w:after="0"/>
        <w:rPr>
          <w:sz w:val="20"/>
          <w:szCs w:val="20"/>
          <w:color w:val="auto"/>
        </w:rPr>
      </w:pPr>
      <w:r>
        <w:rPr>
          <w:rFonts w:ascii="Arial" w:cs="Arial" w:eastAsia="Arial" w:hAnsi="Arial"/>
          <w:sz w:val="13"/>
          <w:szCs w:val="13"/>
          <w:b w:val="1"/>
          <w:bCs w:val="1"/>
          <w:color w:val="auto"/>
        </w:rPr>
        <w:t>Potential Payments Upon Termination or Change in Control</w:t>
      </w:r>
    </w:p>
    <w:p>
      <w:pPr>
        <w:spacing w:after="0" w:line="186" w:lineRule="exact"/>
        <w:rPr>
          <w:sz w:val="20"/>
          <w:szCs w:val="20"/>
          <w:color w:val="auto"/>
        </w:rPr>
      </w:pPr>
    </w:p>
    <w:p>
      <w:pPr>
        <w:jc w:val="both"/>
        <w:ind w:left="2" w:right="20" w:firstLine="467"/>
        <w:spacing w:after="0" w:line="272" w:lineRule="auto"/>
        <w:rPr>
          <w:sz w:val="20"/>
          <w:szCs w:val="20"/>
          <w:color w:val="auto"/>
        </w:rPr>
      </w:pPr>
      <w:r>
        <w:rPr>
          <w:rFonts w:ascii="Arial" w:cs="Arial" w:eastAsia="Arial" w:hAnsi="Arial"/>
          <w:sz w:val="13"/>
          <w:szCs w:val="13"/>
          <w:i w:val="1"/>
          <w:iCs w:val="1"/>
          <w:color w:val="auto"/>
        </w:rPr>
        <w:t xml:space="preserve">Employment Agreements. </w:t>
      </w:r>
      <w:r>
        <w:rPr>
          <w:rFonts w:ascii="Arial" w:cs="Arial" w:eastAsia="Arial" w:hAnsi="Arial"/>
          <w:sz w:val="13"/>
          <w:szCs w:val="13"/>
          <w:color w:val="auto"/>
        </w:rPr>
        <w:t>As of the end of our 2008 fiscal year, none of our named executive officers were party to an employment or severance agreement with us, and each named executive officer’s</w:t>
      </w:r>
      <w:r>
        <w:rPr>
          <w:rFonts w:ascii="Arial" w:cs="Arial" w:eastAsia="Arial" w:hAnsi="Arial"/>
          <w:sz w:val="13"/>
          <w:szCs w:val="13"/>
          <w:i w:val="1"/>
          <w:iCs w:val="1"/>
          <w:color w:val="auto"/>
        </w:rPr>
        <w:t xml:space="preserve"> </w:t>
      </w:r>
      <w:r>
        <w:rPr>
          <w:rFonts w:ascii="Arial" w:cs="Arial" w:eastAsia="Arial" w:hAnsi="Arial"/>
          <w:sz w:val="13"/>
          <w:szCs w:val="13"/>
          <w:color w:val="auto"/>
        </w:rPr>
        <w:t>employment was on an “at-will” basis, permitting either us or each officer to terminate his or her employment for any reason or for no reason.</w:t>
      </w:r>
    </w:p>
    <w:p>
      <w:pPr>
        <w:spacing w:after="0" w:line="148" w:lineRule="exact"/>
        <w:rPr>
          <w:sz w:val="20"/>
          <w:szCs w:val="20"/>
          <w:color w:val="auto"/>
        </w:rPr>
      </w:pPr>
    </w:p>
    <w:p>
      <w:pPr>
        <w:jc w:val="both"/>
        <w:ind w:left="2" w:right="20" w:firstLine="467"/>
        <w:spacing w:after="0" w:line="272" w:lineRule="auto"/>
        <w:rPr>
          <w:sz w:val="20"/>
          <w:szCs w:val="20"/>
          <w:color w:val="auto"/>
        </w:rPr>
      </w:pPr>
      <w:r>
        <w:rPr>
          <w:rFonts w:ascii="Arial" w:cs="Arial" w:eastAsia="Arial" w:hAnsi="Arial"/>
          <w:sz w:val="13"/>
          <w:szCs w:val="13"/>
          <w:i w:val="1"/>
          <w:iCs w:val="1"/>
          <w:color w:val="auto"/>
        </w:rPr>
        <w:t>Accelerated Stock Option Vesting Upon a Change in Control</w:t>
      </w:r>
      <w:r>
        <w:rPr>
          <w:rFonts w:ascii="Arial" w:cs="Arial" w:eastAsia="Arial" w:hAnsi="Arial"/>
          <w:sz w:val="13"/>
          <w:szCs w:val="13"/>
          <w:color w:val="auto"/>
        </w:rPr>
        <w:t>. For certain option grants to executive officers and directors, in the event of a change in control, then all of such optionee’s unvested stock options</w:t>
      </w:r>
      <w:r>
        <w:rPr>
          <w:rFonts w:ascii="Arial" w:cs="Arial" w:eastAsia="Arial" w:hAnsi="Arial"/>
          <w:sz w:val="13"/>
          <w:szCs w:val="13"/>
          <w:i w:val="1"/>
          <w:iCs w:val="1"/>
          <w:color w:val="auto"/>
        </w:rPr>
        <w:t xml:space="preserve"> </w:t>
      </w:r>
      <w:r>
        <w:rPr>
          <w:rFonts w:ascii="Arial" w:cs="Arial" w:eastAsia="Arial" w:hAnsi="Arial"/>
          <w:sz w:val="13"/>
          <w:szCs w:val="13"/>
          <w:color w:val="auto"/>
        </w:rPr>
        <w:t>will vest and become exercisable immediately prior to the event or closing of the transaction causing the change in control.</w:t>
      </w:r>
    </w:p>
    <w:p>
      <w:pPr>
        <w:spacing w:after="0" w:line="148" w:lineRule="exact"/>
        <w:rPr>
          <w:sz w:val="20"/>
          <w:szCs w:val="20"/>
          <w:color w:val="auto"/>
        </w:rPr>
      </w:pPr>
    </w:p>
    <w:p>
      <w:pPr>
        <w:jc w:val="both"/>
        <w:ind w:left="2" w:firstLine="467"/>
        <w:spacing w:after="0" w:line="261" w:lineRule="auto"/>
        <w:rPr>
          <w:sz w:val="20"/>
          <w:szCs w:val="20"/>
          <w:color w:val="auto"/>
        </w:rPr>
      </w:pPr>
      <w:r>
        <w:rPr>
          <w:rFonts w:ascii="Arial" w:cs="Arial" w:eastAsia="Arial" w:hAnsi="Arial"/>
          <w:sz w:val="13"/>
          <w:szCs w:val="13"/>
          <w:color w:val="auto"/>
        </w:rPr>
        <w:t>Except as otherwise set forth in an option grant, in the event of a change in control of our company, the Board of Directors has the sole authority to elect that the vesting of each outstanding option automatically accelerate so that each such option shall, immediately prior to the effective date of the corporate transaction, become fully exercisable for all of the shares of common stock at the time subject to such option and may be exercised for any or all of those shares as fully vested shares of common stock.</w:t>
      </w:r>
    </w:p>
    <w:p>
      <w:pPr>
        <w:spacing w:after="0" w:line="200" w:lineRule="exact"/>
        <w:rPr>
          <w:sz w:val="20"/>
          <w:szCs w:val="20"/>
          <w:color w:val="auto"/>
        </w:rPr>
      </w:pPr>
    </w:p>
    <w:p>
      <w:pPr>
        <w:spacing w:after="0" w:line="237" w:lineRule="exact"/>
        <w:rPr>
          <w:sz w:val="20"/>
          <w:szCs w:val="20"/>
          <w:color w:val="auto"/>
        </w:rPr>
      </w:pPr>
    </w:p>
    <w:p>
      <w:pPr>
        <w:jc w:val="center"/>
        <w:ind w:right="18"/>
        <w:spacing w:after="0"/>
        <w:rPr>
          <w:sz w:val="20"/>
          <w:szCs w:val="20"/>
          <w:color w:val="auto"/>
        </w:rPr>
      </w:pPr>
      <w:r>
        <w:rPr>
          <w:rFonts w:ascii="Arial" w:cs="Arial" w:eastAsia="Arial" w:hAnsi="Arial"/>
          <w:sz w:val="13"/>
          <w:szCs w:val="13"/>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55880</wp:posOffset>
            </wp:positionV>
            <wp:extent cx="7291070" cy="1905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91070" cy="19050"/>
                    </a:xfrm>
                    <a:prstGeom prst="rect">
                      <a:avLst/>
                    </a:prstGeom>
                    <a:noFill/>
                  </pic:spPr>
                </pic:pic>
              </a:graphicData>
            </a:graphic>
          </wp:anchor>
        </w:drawing>
      </w:r>
    </w:p>
    <w:p>
      <w:pPr>
        <w:sectPr>
          <w:pgSz w:w="11900" w:h="16838" w:orient="portrait"/>
          <w:cols w:equalWidth="0" w:num="1">
            <w:col w:w="11482"/>
          </w:cols>
          <w:pgMar w:left="218" w:top="409" w:right="199" w:bottom="1440" w:gutter="0" w:footer="0" w:header="0"/>
        </w:sectPr>
      </w:pPr>
    </w:p>
    <w:bookmarkStart w:id="14" w:name="page15"/>
    <w:bookmarkEnd w:id="14"/>
    <w:p>
      <w:pPr>
        <w:jc w:val="center"/>
        <w:ind w:right="-1"/>
        <w:spacing w:after="0"/>
        <w:rPr>
          <w:sz w:val="20"/>
          <w:szCs w:val="20"/>
          <w:color w:val="auto"/>
        </w:rPr>
      </w:pPr>
      <w:r>
        <w:rPr>
          <w:rFonts w:ascii="Arial" w:cs="Arial" w:eastAsia="Arial" w:hAnsi="Arial"/>
          <w:sz w:val="13"/>
          <w:szCs w:val="13"/>
          <w:b w:val="1"/>
          <w:bCs w:val="1"/>
          <w:color w:val="auto"/>
        </w:rPr>
        <w:t>DIRECTOR COMPENSATION</w:t>
      </w:r>
    </w:p>
    <w:p>
      <w:pPr>
        <w:spacing w:after="0" w:line="186" w:lineRule="exact"/>
        <w:rPr>
          <w:sz w:val="20"/>
          <w:szCs w:val="20"/>
          <w:color w:val="auto"/>
        </w:rPr>
      </w:pPr>
    </w:p>
    <w:p>
      <w:pPr>
        <w:ind w:left="462"/>
        <w:spacing w:after="0"/>
        <w:rPr>
          <w:sz w:val="20"/>
          <w:szCs w:val="20"/>
          <w:color w:val="auto"/>
        </w:rPr>
      </w:pPr>
      <w:r>
        <w:rPr>
          <w:rFonts w:ascii="Arial" w:cs="Arial" w:eastAsia="Arial" w:hAnsi="Arial"/>
          <w:sz w:val="12"/>
          <w:szCs w:val="12"/>
          <w:color w:val="auto"/>
        </w:rPr>
        <w:t>The following table summarizes the compensation paid by us to non-employee directors for the year ended June 30, 2008. Ms. Hakimoglu did not receive additional compensation for her service as a director.</w:t>
      </w:r>
    </w:p>
    <w:p>
      <w:pPr>
        <w:spacing w:after="0" w:line="189" w:lineRule="exact"/>
        <w:rPr>
          <w:sz w:val="20"/>
          <w:szCs w:val="20"/>
          <w:color w:val="auto"/>
        </w:rPr>
      </w:pPr>
    </w:p>
    <w:tbl>
      <w:tblPr>
        <w:tblLayout w:type="fixed"/>
        <w:tblInd w:w="1722" w:type="dxa"/>
        <w:tblCellMar>
          <w:top w:w="0" w:type="dxa"/>
          <w:left w:w="0" w:type="dxa"/>
          <w:bottom w:w="0" w:type="dxa"/>
          <w:right w:w="0" w:type="dxa"/>
        </w:tblCellMar>
      </w:tblPr>
      <w:tr>
        <w:trPr>
          <w:trHeight w:val="156"/>
        </w:trPr>
        <w:tc>
          <w:tcPr>
            <w:tcW w:w="20" w:type="dxa"/>
            <w:vAlign w:val="bottom"/>
          </w:tcPr>
          <w:p>
            <w:pPr>
              <w:spacing w:after="0"/>
              <w:rPr>
                <w:sz w:val="13"/>
                <w:szCs w:val="13"/>
                <w:color w:val="auto"/>
              </w:rPr>
            </w:pPr>
          </w:p>
        </w:tc>
        <w:tc>
          <w:tcPr>
            <w:tcW w:w="2100" w:type="dxa"/>
            <w:vAlign w:val="bottom"/>
          </w:tcPr>
          <w:p>
            <w:pPr>
              <w:spacing w:after="0"/>
              <w:rPr>
                <w:sz w:val="13"/>
                <w:szCs w:val="13"/>
                <w:color w:val="auto"/>
              </w:rPr>
            </w:pPr>
          </w:p>
        </w:tc>
        <w:tc>
          <w:tcPr>
            <w:tcW w:w="2240" w:type="dxa"/>
            <w:vAlign w:val="bottom"/>
          </w:tcPr>
          <w:p>
            <w:pPr>
              <w:jc w:val="center"/>
              <w:ind w:left="55"/>
              <w:spacing w:after="0"/>
              <w:rPr>
                <w:sz w:val="20"/>
                <w:szCs w:val="20"/>
                <w:color w:val="auto"/>
              </w:rPr>
            </w:pPr>
            <w:r>
              <w:rPr>
                <w:rFonts w:ascii="Arial" w:cs="Arial" w:eastAsia="Arial" w:hAnsi="Arial"/>
                <w:sz w:val="13"/>
                <w:szCs w:val="13"/>
                <w:b w:val="1"/>
                <w:bCs w:val="1"/>
                <w:color w:val="auto"/>
                <w:w w:val="89"/>
              </w:rPr>
              <w:t>Fees Earned or</w:t>
            </w:r>
          </w:p>
        </w:tc>
        <w:tc>
          <w:tcPr>
            <w:tcW w:w="1800" w:type="dxa"/>
            <w:vAlign w:val="bottom"/>
          </w:tcPr>
          <w:p>
            <w:pPr>
              <w:ind w:left="640"/>
              <w:spacing w:after="0"/>
              <w:rPr>
                <w:sz w:val="20"/>
                <w:szCs w:val="20"/>
                <w:color w:val="auto"/>
              </w:rPr>
            </w:pPr>
            <w:r>
              <w:rPr>
                <w:rFonts w:ascii="Arial" w:cs="Arial" w:eastAsia="Arial" w:hAnsi="Arial"/>
                <w:sz w:val="13"/>
                <w:szCs w:val="13"/>
                <w:b w:val="1"/>
                <w:bCs w:val="1"/>
                <w:color w:val="auto"/>
              </w:rPr>
              <w:t>Option</w:t>
            </w:r>
          </w:p>
        </w:tc>
        <w:tc>
          <w:tcPr>
            <w:tcW w:w="1860" w:type="dxa"/>
            <w:vAlign w:val="bottom"/>
          </w:tcPr>
          <w:p>
            <w:pPr>
              <w:spacing w:after="0"/>
              <w:rPr>
                <w:sz w:val="13"/>
                <w:szCs w:val="13"/>
                <w:color w:val="auto"/>
              </w:rPr>
            </w:pPr>
          </w:p>
        </w:tc>
      </w:tr>
      <w:tr>
        <w:trPr>
          <w:trHeight w:val="156"/>
        </w:trPr>
        <w:tc>
          <w:tcPr>
            <w:tcW w:w="20" w:type="dxa"/>
            <w:vAlign w:val="bottom"/>
          </w:tcPr>
          <w:p>
            <w:pPr>
              <w:spacing w:after="0"/>
              <w:rPr>
                <w:sz w:val="13"/>
                <w:szCs w:val="13"/>
                <w:color w:val="auto"/>
              </w:rPr>
            </w:pPr>
          </w:p>
        </w:tc>
        <w:tc>
          <w:tcPr>
            <w:tcW w:w="2100" w:type="dxa"/>
            <w:vAlign w:val="bottom"/>
          </w:tcPr>
          <w:p>
            <w:pPr>
              <w:spacing w:after="0"/>
              <w:rPr>
                <w:sz w:val="13"/>
                <w:szCs w:val="13"/>
                <w:color w:val="auto"/>
              </w:rPr>
            </w:pPr>
          </w:p>
        </w:tc>
        <w:tc>
          <w:tcPr>
            <w:tcW w:w="2240" w:type="dxa"/>
            <w:vAlign w:val="bottom"/>
          </w:tcPr>
          <w:p>
            <w:pPr>
              <w:jc w:val="center"/>
              <w:ind w:left="55"/>
              <w:spacing w:after="0"/>
              <w:rPr>
                <w:sz w:val="20"/>
                <w:szCs w:val="20"/>
                <w:color w:val="auto"/>
              </w:rPr>
            </w:pPr>
            <w:r>
              <w:rPr>
                <w:rFonts w:ascii="Arial" w:cs="Arial" w:eastAsia="Arial" w:hAnsi="Arial"/>
                <w:sz w:val="13"/>
                <w:szCs w:val="13"/>
                <w:b w:val="1"/>
                <w:bCs w:val="1"/>
                <w:color w:val="auto"/>
                <w:w w:val="92"/>
              </w:rPr>
              <w:t>Paid in Cash</w:t>
            </w:r>
          </w:p>
        </w:tc>
        <w:tc>
          <w:tcPr>
            <w:tcW w:w="1800" w:type="dxa"/>
            <w:vAlign w:val="bottom"/>
          </w:tcPr>
          <w:p>
            <w:pPr>
              <w:ind w:left="620"/>
              <w:spacing w:after="0"/>
              <w:rPr>
                <w:sz w:val="20"/>
                <w:szCs w:val="20"/>
                <w:color w:val="auto"/>
              </w:rPr>
            </w:pPr>
            <w:r>
              <w:rPr>
                <w:rFonts w:ascii="Arial" w:cs="Arial" w:eastAsia="Arial" w:hAnsi="Arial"/>
                <w:sz w:val="13"/>
                <w:szCs w:val="13"/>
                <w:b w:val="1"/>
                <w:bCs w:val="1"/>
                <w:color w:val="auto"/>
              </w:rPr>
              <w:t>Awards</w:t>
            </w:r>
          </w:p>
        </w:tc>
        <w:tc>
          <w:tcPr>
            <w:tcW w:w="1860" w:type="dxa"/>
            <w:vAlign w:val="bottom"/>
          </w:tcPr>
          <w:p>
            <w:pPr>
              <w:ind w:left="780"/>
              <w:spacing w:after="0"/>
              <w:rPr>
                <w:sz w:val="20"/>
                <w:szCs w:val="20"/>
                <w:color w:val="auto"/>
              </w:rPr>
            </w:pPr>
            <w:r>
              <w:rPr>
                <w:rFonts w:ascii="Arial" w:cs="Arial" w:eastAsia="Arial" w:hAnsi="Arial"/>
                <w:sz w:val="13"/>
                <w:szCs w:val="13"/>
                <w:b w:val="1"/>
                <w:bCs w:val="1"/>
                <w:color w:val="auto"/>
              </w:rPr>
              <w:t>Total</w:t>
            </w:r>
          </w:p>
        </w:tc>
      </w:tr>
      <w:tr>
        <w:trPr>
          <w:trHeight w:val="168"/>
        </w:trPr>
        <w:tc>
          <w:tcPr>
            <w:tcW w:w="20" w:type="dxa"/>
            <w:vAlign w:val="bottom"/>
          </w:tcPr>
          <w:p>
            <w:pPr>
              <w:spacing w:after="0"/>
              <w:rPr>
                <w:sz w:val="14"/>
                <w:szCs w:val="14"/>
                <w:color w:val="auto"/>
              </w:rPr>
            </w:pPr>
          </w:p>
        </w:tc>
        <w:tc>
          <w:tcPr>
            <w:tcW w:w="2100" w:type="dxa"/>
            <w:vAlign w:val="bottom"/>
            <w:tcBorders>
              <w:bottom w:val="single" w:sz="8" w:color="auto"/>
            </w:tcBorders>
          </w:tcPr>
          <w:p>
            <w:pPr>
              <w:ind w:left="1000"/>
              <w:spacing w:after="0"/>
              <w:rPr>
                <w:sz w:val="20"/>
                <w:szCs w:val="20"/>
                <w:color w:val="auto"/>
              </w:rPr>
            </w:pPr>
            <w:r>
              <w:rPr>
                <w:rFonts w:ascii="Arial" w:cs="Arial" w:eastAsia="Arial" w:hAnsi="Arial"/>
                <w:sz w:val="13"/>
                <w:szCs w:val="13"/>
                <w:b w:val="1"/>
                <w:bCs w:val="1"/>
                <w:color w:val="auto"/>
              </w:rPr>
              <w:t>Name</w:t>
            </w:r>
          </w:p>
        </w:tc>
        <w:tc>
          <w:tcPr>
            <w:tcW w:w="2240" w:type="dxa"/>
            <w:vAlign w:val="bottom"/>
            <w:tcBorders>
              <w:bottom w:val="single" w:sz="8" w:color="auto"/>
            </w:tcBorders>
          </w:tcPr>
          <w:p>
            <w:pPr>
              <w:jc w:val="center"/>
              <w:ind w:left="75"/>
              <w:spacing w:after="0"/>
              <w:rPr>
                <w:sz w:val="20"/>
                <w:szCs w:val="20"/>
                <w:color w:val="auto"/>
              </w:rPr>
            </w:pPr>
            <w:r>
              <w:rPr>
                <w:rFonts w:ascii="Arial" w:cs="Arial" w:eastAsia="Arial" w:hAnsi="Arial"/>
                <w:sz w:val="13"/>
                <w:szCs w:val="13"/>
                <w:b w:val="1"/>
                <w:bCs w:val="1"/>
                <w:color w:val="auto"/>
                <w:w w:val="95"/>
              </w:rPr>
              <w:t>($) (1)</w:t>
            </w:r>
          </w:p>
        </w:tc>
        <w:tc>
          <w:tcPr>
            <w:tcW w:w="1800" w:type="dxa"/>
            <w:vAlign w:val="bottom"/>
            <w:tcBorders>
              <w:bottom w:val="single" w:sz="8" w:color="auto"/>
            </w:tcBorders>
          </w:tcPr>
          <w:p>
            <w:pPr>
              <w:jc w:val="center"/>
              <w:ind w:right="75"/>
              <w:spacing w:after="0"/>
              <w:rPr>
                <w:sz w:val="20"/>
                <w:szCs w:val="20"/>
                <w:color w:val="auto"/>
              </w:rPr>
            </w:pPr>
            <w:r>
              <w:rPr>
                <w:rFonts w:ascii="Arial" w:cs="Arial" w:eastAsia="Arial" w:hAnsi="Arial"/>
                <w:sz w:val="13"/>
                <w:szCs w:val="13"/>
                <w:b w:val="1"/>
                <w:bCs w:val="1"/>
                <w:color w:val="auto"/>
                <w:w w:val="95"/>
              </w:rPr>
              <w:t>($) (2)</w:t>
            </w:r>
          </w:p>
        </w:tc>
        <w:tc>
          <w:tcPr>
            <w:tcW w:w="186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rPr>
              <w:t>($)</w:t>
            </w:r>
          </w:p>
        </w:tc>
      </w:tr>
      <w:tr>
        <w:trPr>
          <w:trHeight w:val="147"/>
        </w:trPr>
        <w:tc>
          <w:tcPr>
            <w:tcW w:w="20" w:type="dxa"/>
            <w:vAlign w:val="bottom"/>
          </w:tcPr>
          <w:p>
            <w:pPr>
              <w:spacing w:after="0"/>
              <w:rPr>
                <w:sz w:val="12"/>
                <w:szCs w:val="12"/>
                <w:color w:val="auto"/>
              </w:rPr>
            </w:pPr>
          </w:p>
        </w:tc>
        <w:tc>
          <w:tcPr>
            <w:tcW w:w="2100" w:type="dxa"/>
            <w:vAlign w:val="bottom"/>
          </w:tcPr>
          <w:p>
            <w:pPr>
              <w:spacing w:after="0" w:line="147" w:lineRule="exact"/>
              <w:rPr>
                <w:sz w:val="20"/>
                <w:szCs w:val="20"/>
                <w:color w:val="auto"/>
              </w:rPr>
            </w:pPr>
            <w:r>
              <w:rPr>
                <w:rFonts w:ascii="Arial" w:cs="Arial" w:eastAsia="Arial" w:hAnsi="Arial"/>
                <w:sz w:val="13"/>
                <w:szCs w:val="13"/>
                <w:color w:val="auto"/>
              </w:rPr>
              <w:t>Brad R. Baldwin</w:t>
            </w:r>
          </w:p>
        </w:tc>
        <w:tc>
          <w:tcPr>
            <w:tcW w:w="2240" w:type="dxa"/>
            <w:vAlign w:val="bottom"/>
          </w:tcPr>
          <w:p>
            <w:pPr>
              <w:jc w:val="center"/>
              <w:ind w:left="55"/>
              <w:spacing w:after="0" w:line="147" w:lineRule="exact"/>
              <w:rPr>
                <w:sz w:val="20"/>
                <w:szCs w:val="20"/>
                <w:color w:val="auto"/>
              </w:rPr>
            </w:pPr>
            <w:r>
              <w:rPr>
                <w:rFonts w:ascii="Arial" w:cs="Arial" w:eastAsia="Arial" w:hAnsi="Arial"/>
                <w:sz w:val="13"/>
                <w:szCs w:val="13"/>
                <w:color w:val="auto"/>
                <w:w w:val="90"/>
              </w:rPr>
              <w:t>24,000</w:t>
            </w:r>
          </w:p>
        </w:tc>
        <w:tc>
          <w:tcPr>
            <w:tcW w:w="1800" w:type="dxa"/>
            <w:vAlign w:val="bottom"/>
          </w:tcPr>
          <w:p>
            <w:pPr>
              <w:jc w:val="center"/>
              <w:ind w:right="75"/>
              <w:spacing w:after="0" w:line="147" w:lineRule="exact"/>
              <w:rPr>
                <w:sz w:val="20"/>
                <w:szCs w:val="20"/>
                <w:color w:val="auto"/>
              </w:rPr>
            </w:pPr>
            <w:r>
              <w:rPr>
                <w:rFonts w:ascii="Arial" w:cs="Arial" w:eastAsia="Arial" w:hAnsi="Arial"/>
                <w:sz w:val="13"/>
                <w:szCs w:val="13"/>
                <w:color w:val="auto"/>
                <w:w w:val="85"/>
              </w:rPr>
              <w:t>11,405</w:t>
            </w:r>
          </w:p>
        </w:tc>
        <w:tc>
          <w:tcPr>
            <w:tcW w:w="1860" w:type="dxa"/>
            <w:vAlign w:val="bottom"/>
          </w:tcPr>
          <w:p>
            <w:pPr>
              <w:jc w:val="center"/>
              <w:spacing w:after="0" w:line="147" w:lineRule="exact"/>
              <w:rPr>
                <w:sz w:val="20"/>
                <w:szCs w:val="20"/>
                <w:color w:val="auto"/>
              </w:rPr>
            </w:pPr>
            <w:r>
              <w:rPr>
                <w:rFonts w:ascii="Arial" w:cs="Arial" w:eastAsia="Arial" w:hAnsi="Arial"/>
                <w:sz w:val="13"/>
                <w:szCs w:val="13"/>
                <w:color w:val="auto"/>
                <w:w w:val="90"/>
              </w:rPr>
              <w:t>35,405</w:t>
            </w:r>
          </w:p>
        </w:tc>
      </w:tr>
      <w:tr>
        <w:trPr>
          <w:trHeight w:val="156"/>
        </w:trPr>
        <w:tc>
          <w:tcPr>
            <w:tcW w:w="2120" w:type="dxa"/>
            <w:vAlign w:val="bottom"/>
            <w:gridSpan w:val="2"/>
          </w:tcPr>
          <w:p>
            <w:pPr>
              <w:spacing w:after="0"/>
              <w:rPr>
                <w:sz w:val="20"/>
                <w:szCs w:val="20"/>
                <w:color w:val="auto"/>
              </w:rPr>
            </w:pPr>
            <w:r>
              <w:rPr>
                <w:rFonts w:ascii="Arial" w:cs="Arial" w:eastAsia="Arial" w:hAnsi="Arial"/>
                <w:sz w:val="13"/>
                <w:szCs w:val="13"/>
                <w:color w:val="auto"/>
              </w:rPr>
              <w:t>Larry R. Hendricks</w:t>
            </w:r>
          </w:p>
        </w:tc>
        <w:tc>
          <w:tcPr>
            <w:tcW w:w="2240" w:type="dxa"/>
            <w:vAlign w:val="bottom"/>
          </w:tcPr>
          <w:p>
            <w:pPr>
              <w:jc w:val="center"/>
              <w:ind w:left="55"/>
              <w:spacing w:after="0"/>
              <w:rPr>
                <w:sz w:val="20"/>
                <w:szCs w:val="20"/>
                <w:color w:val="auto"/>
              </w:rPr>
            </w:pPr>
            <w:r>
              <w:rPr>
                <w:rFonts w:ascii="Arial" w:cs="Arial" w:eastAsia="Arial" w:hAnsi="Arial"/>
                <w:sz w:val="13"/>
                <w:szCs w:val="13"/>
                <w:color w:val="auto"/>
                <w:w w:val="90"/>
              </w:rPr>
              <w:t>24,000</w:t>
            </w:r>
          </w:p>
        </w:tc>
        <w:tc>
          <w:tcPr>
            <w:tcW w:w="1800" w:type="dxa"/>
            <w:vAlign w:val="bottom"/>
          </w:tcPr>
          <w:p>
            <w:pPr>
              <w:jc w:val="center"/>
              <w:ind w:right="75"/>
              <w:spacing w:after="0"/>
              <w:rPr>
                <w:sz w:val="20"/>
                <w:szCs w:val="20"/>
                <w:color w:val="auto"/>
              </w:rPr>
            </w:pPr>
            <w:r>
              <w:rPr>
                <w:rFonts w:ascii="Arial" w:cs="Arial" w:eastAsia="Arial" w:hAnsi="Arial"/>
                <w:sz w:val="13"/>
                <w:szCs w:val="13"/>
                <w:color w:val="auto"/>
                <w:w w:val="85"/>
              </w:rPr>
              <w:t>11,405</w:t>
            </w:r>
          </w:p>
        </w:tc>
        <w:tc>
          <w:tcPr>
            <w:tcW w:w="1860" w:type="dxa"/>
            <w:vAlign w:val="bottom"/>
          </w:tcPr>
          <w:p>
            <w:pPr>
              <w:jc w:val="center"/>
              <w:spacing w:after="0"/>
              <w:rPr>
                <w:sz w:val="20"/>
                <w:szCs w:val="20"/>
                <w:color w:val="auto"/>
              </w:rPr>
            </w:pPr>
            <w:r>
              <w:rPr>
                <w:rFonts w:ascii="Arial" w:cs="Arial" w:eastAsia="Arial" w:hAnsi="Arial"/>
                <w:sz w:val="13"/>
                <w:szCs w:val="13"/>
                <w:color w:val="auto"/>
                <w:w w:val="90"/>
              </w:rPr>
              <w:t>35,405</w:t>
            </w:r>
          </w:p>
        </w:tc>
      </w:tr>
      <w:tr>
        <w:trPr>
          <w:trHeight w:val="156"/>
        </w:trPr>
        <w:tc>
          <w:tcPr>
            <w:tcW w:w="2120" w:type="dxa"/>
            <w:vAlign w:val="bottom"/>
            <w:gridSpan w:val="2"/>
          </w:tcPr>
          <w:p>
            <w:pPr>
              <w:spacing w:after="0"/>
              <w:rPr>
                <w:sz w:val="20"/>
                <w:szCs w:val="20"/>
                <w:color w:val="auto"/>
              </w:rPr>
            </w:pPr>
            <w:r>
              <w:rPr>
                <w:rFonts w:ascii="Arial" w:cs="Arial" w:eastAsia="Arial" w:hAnsi="Arial"/>
                <w:sz w:val="13"/>
                <w:szCs w:val="13"/>
                <w:color w:val="auto"/>
              </w:rPr>
              <w:t>Scott M. Huntsman</w:t>
            </w:r>
          </w:p>
        </w:tc>
        <w:tc>
          <w:tcPr>
            <w:tcW w:w="2240" w:type="dxa"/>
            <w:vAlign w:val="bottom"/>
          </w:tcPr>
          <w:p>
            <w:pPr>
              <w:jc w:val="center"/>
              <w:ind w:left="55"/>
              <w:spacing w:after="0"/>
              <w:rPr>
                <w:sz w:val="20"/>
                <w:szCs w:val="20"/>
                <w:color w:val="auto"/>
              </w:rPr>
            </w:pPr>
            <w:r>
              <w:rPr>
                <w:rFonts w:ascii="Arial" w:cs="Arial" w:eastAsia="Arial" w:hAnsi="Arial"/>
                <w:sz w:val="13"/>
                <w:szCs w:val="13"/>
                <w:color w:val="auto"/>
                <w:w w:val="90"/>
              </w:rPr>
              <w:t>24,000</w:t>
            </w:r>
          </w:p>
        </w:tc>
        <w:tc>
          <w:tcPr>
            <w:tcW w:w="1800" w:type="dxa"/>
            <w:vAlign w:val="bottom"/>
          </w:tcPr>
          <w:p>
            <w:pPr>
              <w:jc w:val="center"/>
              <w:ind w:right="75"/>
              <w:spacing w:after="0"/>
              <w:rPr>
                <w:sz w:val="20"/>
                <w:szCs w:val="20"/>
                <w:color w:val="auto"/>
              </w:rPr>
            </w:pPr>
            <w:r>
              <w:rPr>
                <w:rFonts w:ascii="Arial" w:cs="Arial" w:eastAsia="Arial" w:hAnsi="Arial"/>
                <w:sz w:val="13"/>
                <w:szCs w:val="13"/>
                <w:color w:val="auto"/>
                <w:w w:val="85"/>
              </w:rPr>
              <w:t>11,405</w:t>
            </w:r>
          </w:p>
        </w:tc>
        <w:tc>
          <w:tcPr>
            <w:tcW w:w="1860" w:type="dxa"/>
            <w:vAlign w:val="bottom"/>
          </w:tcPr>
          <w:p>
            <w:pPr>
              <w:jc w:val="center"/>
              <w:spacing w:after="0"/>
              <w:rPr>
                <w:sz w:val="20"/>
                <w:szCs w:val="20"/>
                <w:color w:val="auto"/>
              </w:rPr>
            </w:pPr>
            <w:r>
              <w:rPr>
                <w:rFonts w:ascii="Arial" w:cs="Arial" w:eastAsia="Arial" w:hAnsi="Arial"/>
                <w:sz w:val="13"/>
                <w:szCs w:val="13"/>
                <w:color w:val="auto"/>
                <w:w w:val="90"/>
              </w:rPr>
              <w:t>35,405</w:t>
            </w:r>
          </w:p>
        </w:tc>
      </w:tr>
      <w:tr>
        <w:trPr>
          <w:trHeight w:val="164"/>
        </w:trPr>
        <w:tc>
          <w:tcPr>
            <w:tcW w:w="2120" w:type="dxa"/>
            <w:vAlign w:val="bottom"/>
            <w:gridSpan w:val="2"/>
          </w:tcPr>
          <w:p>
            <w:pPr>
              <w:spacing w:after="0"/>
              <w:rPr>
                <w:sz w:val="20"/>
                <w:szCs w:val="20"/>
                <w:color w:val="auto"/>
              </w:rPr>
            </w:pPr>
            <w:r>
              <w:rPr>
                <w:rFonts w:ascii="Arial" w:cs="Arial" w:eastAsia="Arial" w:hAnsi="Arial"/>
                <w:sz w:val="13"/>
                <w:szCs w:val="13"/>
                <w:color w:val="auto"/>
              </w:rPr>
              <w:t>Harry Spielberg (4)</w:t>
            </w:r>
          </w:p>
        </w:tc>
        <w:tc>
          <w:tcPr>
            <w:tcW w:w="2240" w:type="dxa"/>
            <w:vAlign w:val="bottom"/>
          </w:tcPr>
          <w:p>
            <w:pPr>
              <w:jc w:val="center"/>
              <w:ind w:left="55"/>
              <w:spacing w:after="0"/>
              <w:rPr>
                <w:sz w:val="20"/>
                <w:szCs w:val="20"/>
                <w:color w:val="auto"/>
              </w:rPr>
            </w:pPr>
            <w:r>
              <w:rPr>
                <w:rFonts w:ascii="Arial" w:cs="Arial" w:eastAsia="Arial" w:hAnsi="Arial"/>
                <w:sz w:val="13"/>
                <w:szCs w:val="13"/>
                <w:color w:val="auto"/>
                <w:w w:val="85"/>
              </w:rPr>
              <w:t>9,333</w:t>
            </w:r>
          </w:p>
        </w:tc>
        <w:tc>
          <w:tcPr>
            <w:tcW w:w="1800" w:type="dxa"/>
            <w:vAlign w:val="bottom"/>
          </w:tcPr>
          <w:p>
            <w:pPr>
              <w:jc w:val="center"/>
              <w:ind w:right="75"/>
              <w:spacing w:after="0"/>
              <w:rPr>
                <w:sz w:val="20"/>
                <w:szCs w:val="20"/>
                <w:color w:val="auto"/>
              </w:rPr>
            </w:pPr>
            <w:r>
              <w:rPr>
                <w:rFonts w:ascii="Arial" w:cs="Arial" w:eastAsia="Arial" w:hAnsi="Arial"/>
                <w:sz w:val="13"/>
                <w:szCs w:val="13"/>
                <w:color w:val="auto"/>
                <w:w w:val="92"/>
              </w:rPr>
              <w:t>4,766</w:t>
            </w:r>
          </w:p>
        </w:tc>
        <w:tc>
          <w:tcPr>
            <w:tcW w:w="1860" w:type="dxa"/>
            <w:vAlign w:val="bottom"/>
          </w:tcPr>
          <w:p>
            <w:pPr>
              <w:jc w:val="center"/>
              <w:spacing w:after="0"/>
              <w:rPr>
                <w:sz w:val="20"/>
                <w:szCs w:val="20"/>
                <w:color w:val="auto"/>
              </w:rPr>
            </w:pPr>
            <w:r>
              <w:rPr>
                <w:rFonts w:ascii="Arial" w:cs="Arial" w:eastAsia="Arial" w:hAnsi="Arial"/>
                <w:sz w:val="13"/>
                <w:szCs w:val="13"/>
                <w:color w:val="auto"/>
                <w:w w:val="90"/>
              </w:rPr>
              <w:t>14,099</w:t>
            </w:r>
          </w:p>
        </w:tc>
      </w:tr>
    </w:tbl>
    <w:p>
      <w:pPr>
        <w:ind w:left="2"/>
        <w:spacing w:after="0"/>
        <w:rPr>
          <w:sz w:val="20"/>
          <w:szCs w:val="20"/>
          <w:color w:val="auto"/>
        </w:rPr>
      </w:pPr>
      <w:r>
        <w:rPr>
          <w:rFonts w:ascii="Arial" w:cs="Arial" w:eastAsia="Arial" w:hAnsi="Arial"/>
          <w:sz w:val="13"/>
          <w:szCs w:val="13"/>
          <w:color w:val="auto"/>
        </w:rPr>
        <w:t>_______________</w:t>
      </w:r>
    </w:p>
    <w:p>
      <w:pPr>
        <w:spacing w:after="0" w:line="174" w:lineRule="exact"/>
        <w:rPr>
          <w:sz w:val="20"/>
          <w:szCs w:val="20"/>
          <w:color w:val="auto"/>
        </w:rPr>
      </w:pPr>
    </w:p>
    <w:p>
      <w:pPr>
        <w:ind w:left="462" w:hanging="462"/>
        <w:spacing w:after="0"/>
        <w:tabs>
          <w:tab w:leader="none" w:pos="462" w:val="left"/>
        </w:tabs>
        <w:numPr>
          <w:ilvl w:val="0"/>
          <w:numId w:val="11"/>
        </w:numPr>
        <w:rPr>
          <w:rFonts w:ascii="Arial" w:cs="Arial" w:eastAsia="Arial" w:hAnsi="Arial"/>
          <w:sz w:val="13"/>
          <w:szCs w:val="13"/>
          <w:color w:val="auto"/>
        </w:rPr>
      </w:pPr>
      <w:r>
        <w:rPr>
          <w:rFonts w:ascii="Arial" w:cs="Arial" w:eastAsia="Arial" w:hAnsi="Arial"/>
          <w:sz w:val="13"/>
          <w:szCs w:val="13"/>
          <w:color w:val="auto"/>
        </w:rPr>
        <w:t>The base annual director’s fee for fiscal 2008 was $24,000.</w:t>
      </w:r>
    </w:p>
    <w:p>
      <w:pPr>
        <w:spacing w:after="0" w:line="181" w:lineRule="exact"/>
        <w:rPr>
          <w:rFonts w:ascii="Arial" w:cs="Arial" w:eastAsia="Arial" w:hAnsi="Arial"/>
          <w:sz w:val="13"/>
          <w:szCs w:val="13"/>
          <w:color w:val="auto"/>
        </w:rPr>
      </w:pPr>
    </w:p>
    <w:p>
      <w:pPr>
        <w:jc w:val="both"/>
        <w:ind w:left="462" w:hanging="462"/>
        <w:spacing w:after="0" w:line="261" w:lineRule="auto"/>
        <w:tabs>
          <w:tab w:leader="none" w:pos="462" w:val="left"/>
        </w:tabs>
        <w:numPr>
          <w:ilvl w:val="0"/>
          <w:numId w:val="11"/>
        </w:numPr>
        <w:rPr>
          <w:rFonts w:ascii="Arial" w:cs="Arial" w:eastAsia="Arial" w:hAnsi="Arial"/>
          <w:sz w:val="13"/>
          <w:szCs w:val="13"/>
          <w:color w:val="auto"/>
        </w:rPr>
      </w:pPr>
      <w:r>
        <w:rPr>
          <w:rFonts w:ascii="Arial" w:cs="Arial" w:eastAsia="Arial" w:hAnsi="Arial"/>
          <w:sz w:val="13"/>
          <w:szCs w:val="13"/>
          <w:color w:val="auto"/>
        </w:rPr>
        <w:t>The amounts shown in the “Option Awards” column reflect the dollar amount recognized for financial statement reporting purposes for the year ended June 30, 2008 in accordance with SFAS 123(R), and thus included amounts for awards granted in years prior to fiscal 2008. The grant date fair value of each equity award is computed in accordance with FAS 123R. No options were granted to non-employee directors during fiscal 2008.</w:t>
      </w:r>
    </w:p>
    <w:p>
      <w:pPr>
        <w:spacing w:after="0" w:line="155" w:lineRule="exact"/>
        <w:rPr>
          <w:rFonts w:ascii="Arial" w:cs="Arial" w:eastAsia="Arial" w:hAnsi="Arial"/>
          <w:sz w:val="13"/>
          <w:szCs w:val="13"/>
          <w:color w:val="auto"/>
        </w:rPr>
      </w:pPr>
    </w:p>
    <w:p>
      <w:pPr>
        <w:ind w:left="462" w:hanging="462"/>
        <w:spacing w:after="0" w:line="272" w:lineRule="auto"/>
        <w:tabs>
          <w:tab w:leader="none" w:pos="462" w:val="left"/>
        </w:tabs>
        <w:numPr>
          <w:ilvl w:val="0"/>
          <w:numId w:val="11"/>
        </w:numPr>
        <w:rPr>
          <w:rFonts w:ascii="Arial" w:cs="Arial" w:eastAsia="Arial" w:hAnsi="Arial"/>
          <w:sz w:val="13"/>
          <w:szCs w:val="13"/>
          <w:color w:val="auto"/>
        </w:rPr>
      </w:pPr>
      <w:r>
        <w:rPr>
          <w:rFonts w:ascii="Arial" w:cs="Arial" w:eastAsia="Arial" w:hAnsi="Arial"/>
          <w:sz w:val="13"/>
          <w:szCs w:val="13"/>
          <w:color w:val="auto"/>
        </w:rPr>
        <w:t>As of the end of fiscal year 2008, each non-employee director had outstanding options for the following number of Company shares: Mr. Baldwin, 135,000; Mr. Hendricks, 60,000; Mr. Huntsman, 60,000 and Mr. Spielberg, 0.</w:t>
      </w:r>
    </w:p>
    <w:p>
      <w:pPr>
        <w:spacing w:after="0" w:line="148" w:lineRule="exact"/>
        <w:rPr>
          <w:rFonts w:ascii="Arial" w:cs="Arial" w:eastAsia="Arial" w:hAnsi="Arial"/>
          <w:sz w:val="13"/>
          <w:szCs w:val="13"/>
          <w:color w:val="auto"/>
        </w:rPr>
      </w:pPr>
    </w:p>
    <w:p>
      <w:pPr>
        <w:ind w:left="462" w:hanging="462"/>
        <w:spacing w:after="0"/>
        <w:tabs>
          <w:tab w:leader="none" w:pos="462" w:val="left"/>
        </w:tabs>
        <w:numPr>
          <w:ilvl w:val="0"/>
          <w:numId w:val="11"/>
        </w:numPr>
        <w:rPr>
          <w:rFonts w:ascii="Arial" w:cs="Arial" w:eastAsia="Arial" w:hAnsi="Arial"/>
          <w:sz w:val="13"/>
          <w:szCs w:val="13"/>
          <w:color w:val="auto"/>
        </w:rPr>
      </w:pPr>
      <w:r>
        <w:rPr>
          <w:rFonts w:ascii="Arial" w:cs="Arial" w:eastAsia="Arial" w:hAnsi="Arial"/>
          <w:sz w:val="13"/>
          <w:szCs w:val="13"/>
          <w:color w:val="auto"/>
        </w:rPr>
        <w:t>On November 20, 2007 Mr. Spielberg no longer served as a director of the Company</w:t>
      </w:r>
    </w:p>
    <w:p>
      <w:pPr>
        <w:spacing w:after="0" w:line="182" w:lineRule="exact"/>
        <w:rPr>
          <w:sz w:val="20"/>
          <w:szCs w:val="20"/>
          <w:color w:val="auto"/>
        </w:rPr>
      </w:pPr>
    </w:p>
    <w:p>
      <w:pPr>
        <w:ind w:left="2"/>
        <w:spacing w:after="0"/>
        <w:rPr>
          <w:sz w:val="20"/>
          <w:szCs w:val="20"/>
          <w:color w:val="auto"/>
        </w:rPr>
      </w:pPr>
      <w:r>
        <w:rPr>
          <w:rFonts w:ascii="Arial" w:cs="Arial" w:eastAsia="Arial" w:hAnsi="Arial"/>
          <w:sz w:val="13"/>
          <w:szCs w:val="13"/>
          <w:color w:val="auto"/>
        </w:rPr>
        <w:t>All directors are also reimbursed by us for their out-of-pocket travel and related expenses incurred in attending all Board of Directors and committee meetings.</w:t>
      </w:r>
    </w:p>
    <w:p>
      <w:pPr>
        <w:spacing w:after="0" w:line="200" w:lineRule="exact"/>
        <w:rPr>
          <w:sz w:val="20"/>
          <w:szCs w:val="20"/>
          <w:color w:val="auto"/>
        </w:rPr>
      </w:pPr>
    </w:p>
    <w:p>
      <w:pPr>
        <w:spacing w:after="0" w:line="264" w:lineRule="exact"/>
        <w:rPr>
          <w:sz w:val="20"/>
          <w:szCs w:val="20"/>
          <w:color w:val="auto"/>
        </w:rPr>
      </w:pPr>
    </w:p>
    <w:p>
      <w:pPr>
        <w:jc w:val="center"/>
        <w:ind w:right="-1"/>
        <w:spacing w:after="0"/>
        <w:rPr>
          <w:sz w:val="20"/>
          <w:szCs w:val="20"/>
          <w:color w:val="auto"/>
        </w:rPr>
      </w:pPr>
      <w:r>
        <w:rPr>
          <w:rFonts w:ascii="Arial" w:cs="Arial" w:eastAsia="Arial" w:hAnsi="Arial"/>
          <w:sz w:val="13"/>
          <w:szCs w:val="13"/>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55880</wp:posOffset>
            </wp:positionV>
            <wp:extent cx="7291070" cy="1905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91070" cy="19050"/>
                    </a:xfrm>
                    <a:prstGeom prst="rect">
                      <a:avLst/>
                    </a:prstGeom>
                    <a:noFill/>
                  </pic:spPr>
                </pic:pic>
              </a:graphicData>
            </a:graphic>
          </wp:anchor>
        </w:drawing>
      </w:r>
    </w:p>
    <w:p>
      <w:pPr>
        <w:sectPr>
          <w:pgSz w:w="11900" w:h="16838" w:orient="portrait"/>
          <w:cols w:equalWidth="0" w:num="1">
            <w:col w:w="11462"/>
          </w:cols>
          <w:pgMar w:left="218" w:top="409" w:right="219" w:bottom="1440" w:gutter="0" w:footer="0" w:header="0"/>
        </w:sectPr>
      </w:pPr>
    </w:p>
    <w:bookmarkStart w:id="15" w:name="page16"/>
    <w:bookmarkEnd w:id="15"/>
    <w:p>
      <w:pPr>
        <w:jc w:val="center"/>
        <w:spacing w:after="0"/>
        <w:rPr>
          <w:sz w:val="20"/>
          <w:szCs w:val="20"/>
          <w:color w:val="auto"/>
        </w:rPr>
      </w:pPr>
      <w:r>
        <w:rPr>
          <w:rFonts w:ascii="Arial" w:cs="Arial" w:eastAsia="Arial" w:hAnsi="Arial"/>
          <w:sz w:val="13"/>
          <w:szCs w:val="13"/>
          <w:b w:val="1"/>
          <w:bCs w:val="1"/>
          <w:color w:val="auto"/>
        </w:rPr>
        <w:t>CERTAIN RELATIONSHIPS AND RELATED TRANSACTIONS</w:t>
      </w:r>
    </w:p>
    <w:p>
      <w:pPr>
        <w:spacing w:after="0" w:line="186" w:lineRule="exact"/>
        <w:rPr>
          <w:sz w:val="20"/>
          <w:szCs w:val="20"/>
          <w:color w:val="auto"/>
        </w:rPr>
      </w:pPr>
    </w:p>
    <w:p>
      <w:pPr>
        <w:jc w:val="both"/>
        <w:ind w:firstLine="467"/>
        <w:spacing w:after="0" w:line="254" w:lineRule="auto"/>
        <w:rPr>
          <w:sz w:val="20"/>
          <w:szCs w:val="20"/>
          <w:color w:val="auto"/>
        </w:rPr>
      </w:pPr>
      <w:r>
        <w:rPr>
          <w:rFonts w:ascii="Arial" w:cs="Arial" w:eastAsia="Arial" w:hAnsi="Arial"/>
          <w:sz w:val="13"/>
          <w:szCs w:val="13"/>
          <w:color w:val="auto"/>
        </w:rPr>
        <w:t>We recognize that transactions between us and any of our directors or executives can present potential or actual conflicts of interest and create the appearance that our decisions are based on considerations other than the best interests of our company and stockholders. Therefore, as a general matter and in accordance with our Code of Ethics, it is our preference to avoid such transactions. Nevertheless, we recognize that there are situations where such transactions may be in, or may not be inconsistent with, the best interests of our company. Therefore, we intend to adopt a policy which requires our Audit Committee to review and, if appropriate, to approve or ratify any such transactions. Pursuant to the policy, the committee will review any transaction in which we are or will be a participant and the amount involved exceeds $120,000, and in which any of our directors or executives had, has or will have a direct or indirect material interest. After its review the committee will only approve or ratify those transactions that are in, or are not inconsistent with, the best interests of our company and our stockholders, as the committee determines in good faith.</w:t>
      </w:r>
    </w:p>
    <w:p>
      <w:pPr>
        <w:spacing w:after="0" w:line="157" w:lineRule="exact"/>
        <w:rPr>
          <w:sz w:val="20"/>
          <w:szCs w:val="20"/>
          <w:color w:val="auto"/>
        </w:rPr>
      </w:pPr>
    </w:p>
    <w:p>
      <w:pPr>
        <w:jc w:val="both"/>
        <w:ind w:firstLine="467"/>
        <w:spacing w:after="0" w:line="281" w:lineRule="auto"/>
        <w:rPr>
          <w:sz w:val="20"/>
          <w:szCs w:val="20"/>
          <w:color w:val="auto"/>
        </w:rPr>
      </w:pPr>
      <w:r>
        <w:rPr>
          <w:rFonts w:ascii="Arial" w:cs="Arial" w:eastAsia="Arial" w:hAnsi="Arial"/>
          <w:sz w:val="12"/>
          <w:szCs w:val="12"/>
          <w:b w:val="1"/>
          <w:bCs w:val="1"/>
          <w:color w:val="auto"/>
        </w:rPr>
        <w:t xml:space="preserve">Related Party Transactions. </w:t>
      </w:r>
      <w:r>
        <w:rPr>
          <w:rFonts w:ascii="Arial" w:cs="Arial" w:eastAsia="Arial" w:hAnsi="Arial"/>
          <w:sz w:val="12"/>
          <w:szCs w:val="12"/>
          <w:color w:val="auto"/>
        </w:rPr>
        <w:t>Edward D. Bagley, former Chairman of the Board and greater than ten percent shareholder serves as a consultant to our company. During the fiscal year ended June 30, 2008 Mr.</w:t>
      </w:r>
      <w:r>
        <w:rPr>
          <w:rFonts w:ascii="Arial" w:cs="Arial" w:eastAsia="Arial" w:hAnsi="Arial"/>
          <w:sz w:val="12"/>
          <w:szCs w:val="12"/>
          <w:b w:val="1"/>
          <w:bCs w:val="1"/>
          <w:color w:val="auto"/>
        </w:rPr>
        <w:t xml:space="preserve"> </w:t>
      </w:r>
      <w:r>
        <w:rPr>
          <w:rFonts w:ascii="Arial" w:cs="Arial" w:eastAsia="Arial" w:hAnsi="Arial"/>
          <w:sz w:val="12"/>
          <w:szCs w:val="12"/>
          <w:color w:val="auto"/>
        </w:rPr>
        <w:t>Bagley received consulting fees of $48,000. Mr. Bagley is eligible to participate in our equity incentive programs and pursuant to his consulting agreement with us will be granted stock options commensurate with grants of stock options made to our directors. No grants of stock options were made to Mr. Bagley during the year ended June 30, 2008. Additionally, in connection with the insurance coverage action described under the caption “Item 3, Legal Proceedings” of our Form 10-K for the year ended June 30, 2008, we and our counsel entered into a Joint Prosecution and Defense Agreement dated as of April 1, 2004 with Edward D. Bagley, former Chairman of the Board of Directors, and his counsel, which generally provides that we and Mr. Bagley will jointly prosecute their claims against the carriers of certain prior period directors’ and officers’ liability insurance policies and jointly defend the claims made by the insurance carriers in order to reduce litigation expenses.</w:t>
      </w:r>
    </w:p>
    <w:p>
      <w:pPr>
        <w:spacing w:after="0" w:line="141" w:lineRule="exact"/>
        <w:rPr>
          <w:sz w:val="20"/>
          <w:szCs w:val="20"/>
          <w:color w:val="auto"/>
        </w:rPr>
      </w:pPr>
    </w:p>
    <w:p>
      <w:pPr>
        <w:jc w:val="both"/>
        <w:ind w:firstLine="467"/>
        <w:spacing w:after="0" w:line="274" w:lineRule="auto"/>
        <w:rPr>
          <w:sz w:val="20"/>
          <w:szCs w:val="20"/>
          <w:color w:val="auto"/>
        </w:rPr>
      </w:pPr>
      <w:r>
        <w:rPr>
          <w:rFonts w:ascii="Arial" w:cs="Arial" w:eastAsia="Arial" w:hAnsi="Arial"/>
          <w:sz w:val="12"/>
          <w:szCs w:val="12"/>
          <w:b w:val="1"/>
          <w:bCs w:val="1"/>
          <w:color w:val="auto"/>
        </w:rPr>
        <w:t xml:space="preserve">Indemnification of Officers and Directors. </w:t>
      </w:r>
      <w:r>
        <w:rPr>
          <w:rFonts w:ascii="Arial" w:cs="Arial" w:eastAsia="Arial" w:hAnsi="Arial"/>
          <w:sz w:val="12"/>
          <w:szCs w:val="12"/>
          <w:color w:val="auto"/>
        </w:rPr>
        <w:t>Our bylaws and the Utah Revised Business Corporation Act provide for indemnification of directors and officers against reasonable expenses incurred by such</w:t>
      </w:r>
      <w:r>
        <w:rPr>
          <w:rFonts w:ascii="Arial" w:cs="Arial" w:eastAsia="Arial" w:hAnsi="Arial"/>
          <w:sz w:val="12"/>
          <w:szCs w:val="12"/>
          <w:b w:val="1"/>
          <w:bCs w:val="1"/>
          <w:color w:val="auto"/>
        </w:rPr>
        <w:t xml:space="preserve"> </w:t>
      </w:r>
      <w:r>
        <w:rPr>
          <w:rFonts w:ascii="Arial" w:cs="Arial" w:eastAsia="Arial" w:hAnsi="Arial"/>
          <w:sz w:val="12"/>
          <w:szCs w:val="12"/>
          <w:color w:val="auto"/>
        </w:rPr>
        <w:t>persons in connection with civil or criminal actions or proceedings to which they have been made parties because they are or were directors or officers of our company or its subsidiaries. Indemnification is permitted if the person satisfies the required standards of conduct. Certain of the litigation matters described in “Item 3. Legal Proceedings” of our Form 10-K for the year ended June 30, 2008 involved certain of our former directors and officers, each of whom are covered by the aforementioned indemnity and if applicable, certain prior period insurance policies On July 25, 2007, the U.S. Attorney’s Office for the District of Utah indicted two of our former officers, Frances Flood and Susie Strohm, for allegedly causing us to issue materially misstated financial statements for our 2001 and 2002 fiscal years. On January 31, 2008, the U.S. Attorney’s Office filed a Second Superseding Indictment further alleging perjury in connection with the prior investigation by the SEC into the alleged misstatements. We are cooperating fully with the U.S. Attorney’s Office in this matter and have been advised that we are neither a target nor a subject of the investigation or indictment. In December 2003, ClearOne entered into indemnification agreements with each former officer, requiring payment of all reasonable attorney’s fees and costs incurred in defending against the charges in certain circumstances consistent with and subject to limitations under applicable law. To date, we have paid approximately $1.8 million in attorney’s fees and costs to defend against the charges. As of August 21, 2008, these former officers have requested advancement of an additional $365,000 in legal fees and costs incurred as of that date, which amounts we have not paid. On August 21, 2008, Ms. Strohm and her counsel filed a lawsuit in the Third Judicial District Court in Salt Lake City, Utah seeking a declaratory judgment and injunctive relief to compel us to continue to advance Ms. Strohm’s attorney’s fees and costs to defend against the charges, plus interest for amounts previously requested and not paid. Also on August 21, 2008, Ms. Flood filed a lawsuit in Federal District Court for the District of Utah, seeking similar relief. We understand that the trial date has been moved from October 20, 2008 to February 2, 2009. We have accrued for legal fees and costs of the probable amount the Company was able to estimate of its contingent liability under the indemnification agreements at June 30, 2008. In accordance with Statement of Financial Accounting Standards No. 5, “Accounting for Contingencies”, we have accrued a total of $3.3 million, the balance of which was about $1.5 million at June 30, 2008 representing the probable amount that, as of the date of the financial statements, could be reasonably estimated of our contingent liability, through trial, under the indemnification agreements if required under applicable law. The accrual is management’s best estimate of our contingent liability as of the date of the issuance of its financial statements. In accordance with SFAS No. 5, we will adjust our contingent liability, as necessary, to reflect the probable amount that can be reasonably estimated. Our actual liability may be higher or lower than management’s estimate upon final resolution of the matter. We will adjust our contingent liability, as needed, so that it remains an estimable and probable amount of our contingent financial liability as of the date of issuance of the applicable financial statements.</w:t>
      </w: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55880</wp:posOffset>
            </wp:positionV>
            <wp:extent cx="7291070" cy="1905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91070" cy="19050"/>
                    </a:xfrm>
                    <a:prstGeom prst="rect">
                      <a:avLst/>
                    </a:prstGeom>
                    <a:noFill/>
                  </pic:spPr>
                </pic:pic>
              </a:graphicData>
            </a:graphic>
          </wp:anchor>
        </w:drawing>
      </w:r>
    </w:p>
    <w:p>
      <w:pPr>
        <w:sectPr>
          <w:pgSz w:w="11900" w:h="16838" w:orient="portrait"/>
          <w:cols w:equalWidth="0" w:num="1">
            <w:col w:w="11460"/>
          </w:cols>
          <w:pgMar w:left="220" w:top="409" w:right="219" w:bottom="1440" w:gutter="0" w:footer="0" w:header="0"/>
        </w:sectPr>
      </w:pPr>
    </w:p>
    <w:bookmarkStart w:id="16" w:name="page17"/>
    <w:bookmarkEnd w:id="16"/>
    <w:p>
      <w:pPr>
        <w:jc w:val="center"/>
        <w:spacing w:after="0"/>
        <w:rPr>
          <w:sz w:val="20"/>
          <w:szCs w:val="20"/>
          <w:color w:val="auto"/>
        </w:rPr>
      </w:pPr>
      <w:r>
        <w:rPr>
          <w:rFonts w:ascii="Arial" w:cs="Arial" w:eastAsia="Arial" w:hAnsi="Arial"/>
          <w:sz w:val="13"/>
          <w:szCs w:val="13"/>
          <w:b w:val="1"/>
          <w:bCs w:val="1"/>
          <w:color w:val="auto"/>
        </w:rPr>
        <w:t>AUDIT COMMITTEE REPORT</w:t>
      </w:r>
    </w:p>
    <w:p>
      <w:pPr>
        <w:spacing w:after="0" w:line="186" w:lineRule="exact"/>
        <w:rPr>
          <w:sz w:val="20"/>
          <w:szCs w:val="20"/>
          <w:color w:val="auto"/>
        </w:rPr>
      </w:pPr>
    </w:p>
    <w:p>
      <w:pPr>
        <w:jc w:val="both"/>
        <w:ind w:firstLine="467"/>
        <w:spacing w:after="0" w:line="315" w:lineRule="auto"/>
        <w:rPr>
          <w:sz w:val="20"/>
          <w:szCs w:val="20"/>
          <w:color w:val="auto"/>
        </w:rPr>
      </w:pPr>
      <w:r>
        <w:rPr>
          <w:rFonts w:ascii="Arial" w:cs="Arial" w:eastAsia="Arial" w:hAnsi="Arial"/>
          <w:sz w:val="12"/>
          <w:szCs w:val="12"/>
          <w:color w:val="auto"/>
        </w:rPr>
        <w:t>The Audit Committee of the Board of Directors is comprised of three directors, all of whom are independent as defined in Nasdaq and SEC rules and regulations. The members of the Audit Committee are Scott M. Huntsman, Brad R. Baldwin, and Larry R. Hendricks. Scott M. Huntsman is the Board of Directors’ designated “audit committee financial expert” as that term is defined in SEC rules.</w:t>
      </w:r>
    </w:p>
    <w:p>
      <w:pPr>
        <w:spacing w:after="0" w:line="125" w:lineRule="exact"/>
        <w:rPr>
          <w:sz w:val="20"/>
          <w:szCs w:val="20"/>
          <w:color w:val="auto"/>
        </w:rPr>
      </w:pPr>
    </w:p>
    <w:p>
      <w:pPr>
        <w:jc w:val="both"/>
        <w:ind w:firstLine="467"/>
        <w:spacing w:after="0" w:line="257" w:lineRule="auto"/>
        <w:rPr>
          <w:sz w:val="20"/>
          <w:szCs w:val="20"/>
          <w:color w:val="auto"/>
        </w:rPr>
      </w:pPr>
      <w:r>
        <w:rPr>
          <w:rFonts w:ascii="Arial" w:cs="Arial" w:eastAsia="Arial" w:hAnsi="Arial"/>
          <w:sz w:val="13"/>
          <w:szCs w:val="13"/>
          <w:color w:val="auto"/>
        </w:rPr>
        <w:t>Management is responsible for our internal controls and the financial reporting process. Our independent registered public accounting firm is responsible for performing an audit of our financial statements in accordance with generally accepted auditing standards in the United States of America and for expressing an opinion on those financial statements based on its audit. The Audit Committee reviews these processes on behalf of the Board of Directors. The Audit Committee has reviewed and discussed with our management and our independent registered public accounting firm the audited financial statements contained in our Annual Report on Form 10-K for the year ended June 30, 2008.</w:t>
      </w:r>
    </w:p>
    <w:p>
      <w:pPr>
        <w:spacing w:after="0" w:line="158" w:lineRule="exact"/>
        <w:rPr>
          <w:sz w:val="20"/>
          <w:szCs w:val="20"/>
          <w:color w:val="auto"/>
        </w:rPr>
      </w:pPr>
    </w:p>
    <w:p>
      <w:pPr>
        <w:jc w:val="both"/>
        <w:ind w:firstLine="467"/>
        <w:spacing w:after="0" w:line="293" w:lineRule="auto"/>
        <w:rPr>
          <w:sz w:val="20"/>
          <w:szCs w:val="20"/>
          <w:color w:val="auto"/>
        </w:rPr>
      </w:pPr>
      <w:r>
        <w:rPr>
          <w:rFonts w:ascii="Arial" w:cs="Arial" w:eastAsia="Arial" w:hAnsi="Arial"/>
          <w:sz w:val="12"/>
          <w:szCs w:val="12"/>
          <w:color w:val="auto"/>
        </w:rPr>
        <w:t>Additionally, the Audit Committee has discussed with the principal accountants the auditors’ independence from management and our company including the matters in the written disclosure and the letter required by the Independence Standards Board Standard No. 1 (Independence Discussions with Audit Committees) and considered the compatibility of nonaudit services with the accountants’ independence. The Audit Committee also discussed with the principal accountants any matters required to be discussed by Statement on Auditing Standards No. 61, as amended (Communications with Audit Committees).</w:t>
      </w:r>
    </w:p>
    <w:p>
      <w:pPr>
        <w:spacing w:after="0" w:line="137" w:lineRule="exact"/>
        <w:rPr>
          <w:sz w:val="20"/>
          <w:szCs w:val="20"/>
          <w:color w:val="auto"/>
        </w:rPr>
      </w:pPr>
    </w:p>
    <w:p>
      <w:pPr>
        <w:jc w:val="both"/>
        <w:ind w:firstLine="467"/>
        <w:spacing w:after="0" w:line="272" w:lineRule="auto"/>
        <w:rPr>
          <w:sz w:val="20"/>
          <w:szCs w:val="20"/>
          <w:color w:val="auto"/>
        </w:rPr>
      </w:pPr>
      <w:r>
        <w:rPr>
          <w:rFonts w:ascii="Arial" w:cs="Arial" w:eastAsia="Arial" w:hAnsi="Arial"/>
          <w:sz w:val="13"/>
          <w:szCs w:val="13"/>
          <w:color w:val="auto"/>
        </w:rPr>
        <w:t>In reliance on the reviews and discussions referred to above, the Audit Committee recommended to the Board of Directors (and the Board has approved) that the audited financial statements be included in the Annual Report on Form 10-K for the year ended June 30, 2008 for filing with the Securities and Exchange Commission.</w:t>
      </w:r>
    </w:p>
    <w:p>
      <w:pPr>
        <w:spacing w:after="0" w:line="148" w:lineRule="exact"/>
        <w:rPr>
          <w:sz w:val="20"/>
          <w:szCs w:val="20"/>
          <w:color w:val="auto"/>
        </w:rPr>
      </w:pPr>
    </w:p>
    <w:p>
      <w:pPr>
        <w:ind w:left="460"/>
        <w:spacing w:after="0"/>
        <w:rPr>
          <w:sz w:val="20"/>
          <w:szCs w:val="20"/>
          <w:color w:val="auto"/>
        </w:rPr>
      </w:pPr>
      <w:r>
        <w:rPr>
          <w:rFonts w:ascii="Arial" w:cs="Arial" w:eastAsia="Arial" w:hAnsi="Arial"/>
          <w:sz w:val="13"/>
          <w:szCs w:val="13"/>
          <w:color w:val="auto"/>
        </w:rPr>
        <w:t>Respectfully submitted by the members of the Audit Committee.</w:t>
      </w:r>
    </w:p>
    <w:p>
      <w:pPr>
        <w:spacing w:after="0" w:line="182" w:lineRule="exact"/>
        <w:rPr>
          <w:sz w:val="20"/>
          <w:szCs w:val="20"/>
          <w:color w:val="auto"/>
        </w:rPr>
      </w:pPr>
    </w:p>
    <w:p>
      <w:pPr>
        <w:ind w:left="460"/>
        <w:spacing w:after="0"/>
        <w:rPr>
          <w:sz w:val="20"/>
          <w:szCs w:val="20"/>
          <w:color w:val="auto"/>
        </w:rPr>
      </w:pPr>
      <w:r>
        <w:rPr>
          <w:rFonts w:ascii="Arial" w:cs="Arial" w:eastAsia="Arial" w:hAnsi="Arial"/>
          <w:sz w:val="13"/>
          <w:szCs w:val="13"/>
          <w:color w:val="auto"/>
        </w:rPr>
        <w:t>Scott M. Huntsman (Chair)</w:t>
      </w:r>
    </w:p>
    <w:p>
      <w:pPr>
        <w:spacing w:after="0" w:line="14" w:lineRule="exact"/>
        <w:rPr>
          <w:sz w:val="20"/>
          <w:szCs w:val="20"/>
          <w:color w:val="auto"/>
        </w:rPr>
      </w:pPr>
    </w:p>
    <w:p>
      <w:pPr>
        <w:ind w:left="460"/>
        <w:spacing w:after="0"/>
        <w:rPr>
          <w:sz w:val="20"/>
          <w:szCs w:val="20"/>
          <w:color w:val="auto"/>
        </w:rPr>
      </w:pPr>
      <w:r>
        <w:rPr>
          <w:rFonts w:ascii="Arial" w:cs="Arial" w:eastAsia="Arial" w:hAnsi="Arial"/>
          <w:sz w:val="13"/>
          <w:szCs w:val="13"/>
          <w:color w:val="auto"/>
        </w:rPr>
        <w:t>Brad R. Baldwin</w:t>
      </w:r>
    </w:p>
    <w:p>
      <w:pPr>
        <w:spacing w:after="0" w:line="6" w:lineRule="exact"/>
        <w:rPr>
          <w:sz w:val="20"/>
          <w:szCs w:val="20"/>
          <w:color w:val="auto"/>
        </w:rPr>
      </w:pPr>
    </w:p>
    <w:p>
      <w:pPr>
        <w:ind w:left="460"/>
        <w:spacing w:after="0"/>
        <w:rPr>
          <w:sz w:val="20"/>
          <w:szCs w:val="20"/>
          <w:color w:val="auto"/>
        </w:rPr>
      </w:pPr>
      <w:r>
        <w:rPr>
          <w:rFonts w:ascii="Arial" w:cs="Arial" w:eastAsia="Arial" w:hAnsi="Arial"/>
          <w:sz w:val="13"/>
          <w:szCs w:val="13"/>
          <w:color w:val="auto"/>
        </w:rPr>
        <w:t>Larry R. Hendricks</w:t>
      </w: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55880</wp:posOffset>
            </wp:positionV>
            <wp:extent cx="7291070" cy="1905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91070" cy="19050"/>
                    </a:xfrm>
                    <a:prstGeom prst="rect">
                      <a:avLst/>
                    </a:prstGeom>
                    <a:noFill/>
                  </pic:spPr>
                </pic:pic>
              </a:graphicData>
            </a:graphic>
          </wp:anchor>
        </w:drawing>
      </w:r>
    </w:p>
    <w:p>
      <w:pPr>
        <w:sectPr>
          <w:pgSz w:w="11900" w:h="16838" w:orient="portrait"/>
          <w:cols w:equalWidth="0" w:num="1">
            <w:col w:w="11460"/>
          </w:cols>
          <w:pgMar w:left="220" w:top="409" w:right="219" w:bottom="1440" w:gutter="0" w:footer="0" w:header="0"/>
        </w:sectPr>
      </w:pPr>
    </w:p>
    <w:bookmarkStart w:id="17" w:name="page18"/>
    <w:bookmarkEnd w:id="17"/>
    <w:p>
      <w:pPr>
        <w:jc w:val="center"/>
        <w:ind w:right="-1"/>
        <w:spacing w:after="0"/>
        <w:rPr>
          <w:sz w:val="20"/>
          <w:szCs w:val="20"/>
          <w:color w:val="auto"/>
        </w:rPr>
      </w:pPr>
      <w:r>
        <w:rPr>
          <w:rFonts w:ascii="Arial" w:cs="Arial" w:eastAsia="Arial" w:hAnsi="Arial"/>
          <w:sz w:val="13"/>
          <w:szCs w:val="13"/>
          <w:b w:val="1"/>
          <w:bCs w:val="1"/>
          <w:color w:val="auto"/>
        </w:rPr>
        <w:t>SECURITY OWNERSHIP OF CERTAIN</w:t>
      </w:r>
    </w:p>
    <w:p>
      <w:pPr>
        <w:spacing w:after="0" w:line="182" w:lineRule="exact"/>
        <w:rPr>
          <w:sz w:val="20"/>
          <w:szCs w:val="20"/>
          <w:color w:val="auto"/>
        </w:rPr>
      </w:pPr>
    </w:p>
    <w:p>
      <w:pPr>
        <w:jc w:val="center"/>
        <w:ind w:right="-1"/>
        <w:spacing w:after="0"/>
        <w:rPr>
          <w:sz w:val="20"/>
          <w:szCs w:val="20"/>
          <w:color w:val="auto"/>
        </w:rPr>
      </w:pPr>
      <w:r>
        <w:rPr>
          <w:rFonts w:ascii="Arial" w:cs="Arial" w:eastAsia="Arial" w:hAnsi="Arial"/>
          <w:sz w:val="13"/>
          <w:szCs w:val="13"/>
          <w:b w:val="1"/>
          <w:bCs w:val="1"/>
          <w:color w:val="auto"/>
        </w:rPr>
        <w:t>BENEFICIAL OWNERS AND MANAGEMENT</w:t>
      </w:r>
    </w:p>
    <w:p>
      <w:pPr>
        <w:spacing w:after="0" w:line="186" w:lineRule="exact"/>
        <w:rPr>
          <w:sz w:val="20"/>
          <w:szCs w:val="20"/>
          <w:color w:val="auto"/>
        </w:rPr>
      </w:pPr>
    </w:p>
    <w:p>
      <w:pPr>
        <w:ind w:left="2" w:firstLine="467"/>
        <w:spacing w:after="0" w:line="272" w:lineRule="auto"/>
        <w:rPr>
          <w:sz w:val="20"/>
          <w:szCs w:val="20"/>
          <w:color w:val="auto"/>
        </w:rPr>
      </w:pPr>
      <w:r>
        <w:rPr>
          <w:rFonts w:ascii="Arial" w:cs="Arial" w:eastAsia="Arial" w:hAnsi="Arial"/>
          <w:sz w:val="13"/>
          <w:szCs w:val="13"/>
          <w:color w:val="auto"/>
        </w:rPr>
        <w:t>The following table sets forth certain information regarding ownership of our common stock as of September 29, 2008 by (i) each director, (ii) the named executive officers, (iii) all of our named executive officers and directors as a group, and (iv) each person known to us to be the beneficial owner of more than 5% of our outstanding common stock.</w:t>
      </w:r>
    </w:p>
    <w:p>
      <w:pPr>
        <w:spacing w:after="0" w:line="134" w:lineRule="exact"/>
        <w:rPr>
          <w:sz w:val="20"/>
          <w:szCs w:val="20"/>
          <w:color w:val="auto"/>
        </w:rPr>
      </w:pPr>
    </w:p>
    <w:tbl>
      <w:tblPr>
        <w:tblLayout w:type="fixed"/>
        <w:tblInd w:w="1142" w:type="dxa"/>
        <w:tblCellMar>
          <w:top w:w="0" w:type="dxa"/>
          <w:left w:w="0" w:type="dxa"/>
          <w:bottom w:w="0" w:type="dxa"/>
          <w:right w:w="0" w:type="dxa"/>
        </w:tblCellMar>
      </w:tblPr>
      <w:tr>
        <w:trPr>
          <w:trHeight w:val="149"/>
        </w:trPr>
        <w:tc>
          <w:tcPr>
            <w:tcW w:w="1920" w:type="dxa"/>
            <w:vAlign w:val="bottom"/>
          </w:tcPr>
          <w:p>
            <w:pPr>
              <w:spacing w:after="0"/>
              <w:rPr>
                <w:sz w:val="13"/>
                <w:szCs w:val="13"/>
                <w:color w:val="auto"/>
              </w:rPr>
            </w:pPr>
          </w:p>
        </w:tc>
        <w:tc>
          <w:tcPr>
            <w:tcW w:w="32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500" w:type="dxa"/>
            <w:vAlign w:val="bottom"/>
            <w:tcBorders>
              <w:bottom w:val="single" w:sz="8" w:color="auto"/>
            </w:tcBorders>
            <w:gridSpan w:val="2"/>
          </w:tcPr>
          <w:p>
            <w:pPr>
              <w:spacing w:after="0"/>
              <w:rPr>
                <w:sz w:val="20"/>
                <w:szCs w:val="20"/>
                <w:color w:val="auto"/>
              </w:rPr>
            </w:pPr>
            <w:r>
              <w:rPr>
                <w:rFonts w:ascii="Arial" w:cs="Arial" w:eastAsia="Arial" w:hAnsi="Arial"/>
                <w:sz w:val="13"/>
                <w:szCs w:val="13"/>
                <w:b w:val="1"/>
                <w:bCs w:val="1"/>
                <w:color w:val="auto"/>
                <w:w w:val="89"/>
              </w:rPr>
              <w:t>Shares Beneficially Owned</w:t>
            </w:r>
          </w:p>
        </w:tc>
        <w:tc>
          <w:tcPr>
            <w:tcW w:w="3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600" w:type="dxa"/>
            <w:vAlign w:val="bottom"/>
          </w:tcPr>
          <w:p>
            <w:pPr>
              <w:spacing w:after="0"/>
              <w:rPr>
                <w:sz w:val="13"/>
                <w:szCs w:val="13"/>
                <w:color w:val="auto"/>
              </w:rPr>
            </w:pPr>
          </w:p>
        </w:tc>
      </w:tr>
      <w:tr>
        <w:trPr>
          <w:trHeight w:val="146"/>
        </w:trPr>
        <w:tc>
          <w:tcPr>
            <w:tcW w:w="1920" w:type="dxa"/>
            <w:vAlign w:val="bottom"/>
          </w:tcPr>
          <w:p>
            <w:pPr>
              <w:spacing w:after="0" w:line="136" w:lineRule="exact"/>
              <w:rPr>
                <w:sz w:val="20"/>
                <w:szCs w:val="20"/>
                <w:color w:val="auto"/>
              </w:rPr>
            </w:pPr>
            <w:r>
              <w:rPr>
                <w:rFonts w:ascii="Arial" w:cs="Arial" w:eastAsia="Arial" w:hAnsi="Arial"/>
                <w:sz w:val="13"/>
                <w:szCs w:val="13"/>
                <w:b w:val="1"/>
                <w:bCs w:val="1"/>
                <w:color w:val="auto"/>
              </w:rPr>
              <w:t>Name of Beneficial Owner(1)</w:t>
            </w:r>
          </w:p>
        </w:tc>
        <w:tc>
          <w:tcPr>
            <w:tcW w:w="3280" w:type="dxa"/>
            <w:vAlign w:val="bottom"/>
          </w:tcPr>
          <w:p>
            <w:pPr>
              <w:spacing w:after="0"/>
              <w:rPr>
                <w:sz w:val="12"/>
                <w:szCs w:val="12"/>
                <w:color w:val="auto"/>
              </w:rPr>
            </w:pPr>
          </w:p>
        </w:tc>
        <w:tc>
          <w:tcPr>
            <w:tcW w:w="2360" w:type="dxa"/>
            <w:vAlign w:val="bottom"/>
            <w:gridSpan w:val="4"/>
          </w:tcPr>
          <w:p>
            <w:pPr>
              <w:spacing w:after="0" w:line="136" w:lineRule="exact"/>
              <w:rPr>
                <w:sz w:val="20"/>
                <w:szCs w:val="20"/>
                <w:color w:val="auto"/>
              </w:rPr>
            </w:pPr>
            <w:r>
              <w:rPr>
                <w:rFonts w:ascii="Arial" w:cs="Arial" w:eastAsia="Arial" w:hAnsi="Arial"/>
                <w:sz w:val="13"/>
                <w:szCs w:val="13"/>
                <w:b w:val="1"/>
                <w:bCs w:val="1"/>
                <w:color w:val="auto"/>
              </w:rPr>
              <w:t>Number (2)</w:t>
            </w:r>
          </w:p>
        </w:tc>
        <w:tc>
          <w:tcPr>
            <w:tcW w:w="1000" w:type="dxa"/>
            <w:vAlign w:val="bottom"/>
            <w:gridSpan w:val="2"/>
          </w:tcPr>
          <w:p>
            <w:pPr>
              <w:ind w:left="400"/>
              <w:spacing w:after="0" w:line="136" w:lineRule="exact"/>
              <w:rPr>
                <w:sz w:val="20"/>
                <w:szCs w:val="20"/>
                <w:color w:val="auto"/>
              </w:rPr>
            </w:pPr>
            <w:r>
              <w:rPr>
                <w:rFonts w:ascii="Arial" w:cs="Arial" w:eastAsia="Arial" w:hAnsi="Arial"/>
                <w:sz w:val="13"/>
                <w:szCs w:val="13"/>
                <w:b w:val="1"/>
                <w:bCs w:val="1"/>
                <w:color w:val="auto"/>
                <w:w w:val="86"/>
              </w:rPr>
              <w:t>Percent (2)</w:t>
            </w:r>
          </w:p>
        </w:tc>
      </w:tr>
      <w:tr>
        <w:trPr>
          <w:trHeight w:val="166"/>
        </w:trPr>
        <w:tc>
          <w:tcPr>
            <w:tcW w:w="1920" w:type="dxa"/>
            <w:vAlign w:val="bottom"/>
            <w:tcBorders>
              <w:top w:val="single" w:sz="8" w:color="auto"/>
            </w:tcBorders>
          </w:tcPr>
          <w:p>
            <w:pPr>
              <w:spacing w:after="0"/>
              <w:rPr>
                <w:sz w:val="20"/>
                <w:szCs w:val="20"/>
                <w:color w:val="auto"/>
              </w:rPr>
            </w:pPr>
            <w:r>
              <w:rPr>
                <w:rFonts w:ascii="Arial" w:cs="Arial" w:eastAsia="Arial" w:hAnsi="Arial"/>
                <w:sz w:val="13"/>
                <w:szCs w:val="13"/>
                <w:b w:val="1"/>
                <w:bCs w:val="1"/>
                <w:color w:val="auto"/>
                <w:w w:val="92"/>
              </w:rPr>
              <w:t>Directors and Executive Officers:</w:t>
            </w:r>
          </w:p>
        </w:tc>
        <w:tc>
          <w:tcPr>
            <w:tcW w:w="3280" w:type="dxa"/>
            <w:vAlign w:val="bottom"/>
          </w:tcPr>
          <w:p>
            <w:pPr>
              <w:spacing w:after="0"/>
              <w:rPr>
                <w:sz w:val="14"/>
                <w:szCs w:val="14"/>
                <w:color w:val="auto"/>
              </w:rPr>
            </w:pPr>
          </w:p>
        </w:tc>
        <w:tc>
          <w:tcPr>
            <w:tcW w:w="480" w:type="dxa"/>
            <w:vAlign w:val="bottom"/>
            <w:tcBorders>
              <w:top w:val="single" w:sz="8" w:color="auto"/>
            </w:tcBorders>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13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00" w:type="dxa"/>
            <w:vAlign w:val="bottom"/>
            <w:tcBorders>
              <w:top w:val="single" w:sz="8" w:color="auto"/>
            </w:tcBorders>
          </w:tcPr>
          <w:p>
            <w:pPr>
              <w:spacing w:after="0"/>
              <w:rPr>
                <w:sz w:val="14"/>
                <w:szCs w:val="14"/>
                <w:color w:val="auto"/>
              </w:rPr>
            </w:pPr>
          </w:p>
        </w:tc>
      </w:tr>
      <w:tr>
        <w:trPr>
          <w:trHeight w:val="156"/>
        </w:trPr>
        <w:tc>
          <w:tcPr>
            <w:tcW w:w="1920" w:type="dxa"/>
            <w:vAlign w:val="bottom"/>
          </w:tcPr>
          <w:p>
            <w:pPr>
              <w:spacing w:after="0"/>
              <w:rPr>
                <w:sz w:val="20"/>
                <w:szCs w:val="20"/>
                <w:color w:val="auto"/>
              </w:rPr>
            </w:pPr>
            <w:r>
              <w:rPr>
                <w:rFonts w:ascii="Arial" w:cs="Arial" w:eastAsia="Arial" w:hAnsi="Arial"/>
                <w:sz w:val="13"/>
                <w:szCs w:val="13"/>
                <w:color w:val="auto"/>
              </w:rPr>
              <w:t>Zee Hakimoglu (3)</w:t>
            </w:r>
          </w:p>
        </w:tc>
        <w:tc>
          <w:tcPr>
            <w:tcW w:w="3920" w:type="dxa"/>
            <w:vAlign w:val="bottom"/>
            <w:gridSpan w:val="3"/>
          </w:tcPr>
          <w:p>
            <w:pPr>
              <w:jc w:val="center"/>
              <w:ind w:left="3195"/>
              <w:spacing w:after="0"/>
              <w:rPr>
                <w:sz w:val="20"/>
                <w:szCs w:val="20"/>
                <w:color w:val="auto"/>
              </w:rPr>
            </w:pPr>
            <w:r>
              <w:rPr>
                <w:rFonts w:ascii="Arial" w:cs="Arial" w:eastAsia="Arial" w:hAnsi="Arial"/>
                <w:sz w:val="13"/>
                <w:szCs w:val="13"/>
                <w:color w:val="auto"/>
                <w:w w:val="89"/>
              </w:rPr>
              <w:t>342,520</w:t>
            </w:r>
          </w:p>
        </w:tc>
        <w:tc>
          <w:tcPr>
            <w:tcW w:w="13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000" w:type="dxa"/>
            <w:vAlign w:val="bottom"/>
            <w:gridSpan w:val="2"/>
          </w:tcPr>
          <w:p>
            <w:pPr>
              <w:jc w:val="center"/>
              <w:ind w:left="355"/>
              <w:spacing w:after="0"/>
              <w:rPr>
                <w:sz w:val="20"/>
                <w:szCs w:val="20"/>
                <w:color w:val="auto"/>
              </w:rPr>
            </w:pPr>
            <w:r>
              <w:rPr>
                <w:rFonts w:ascii="Arial" w:cs="Arial" w:eastAsia="Arial" w:hAnsi="Arial"/>
                <w:sz w:val="13"/>
                <w:szCs w:val="13"/>
                <w:color w:val="auto"/>
                <w:w w:val="87"/>
              </w:rPr>
              <w:t>3.7%</w:t>
            </w:r>
          </w:p>
        </w:tc>
      </w:tr>
      <w:tr>
        <w:trPr>
          <w:trHeight w:val="156"/>
        </w:trPr>
        <w:tc>
          <w:tcPr>
            <w:tcW w:w="1920" w:type="dxa"/>
            <w:vAlign w:val="bottom"/>
          </w:tcPr>
          <w:p>
            <w:pPr>
              <w:spacing w:after="0"/>
              <w:rPr>
                <w:sz w:val="20"/>
                <w:szCs w:val="20"/>
                <w:color w:val="auto"/>
              </w:rPr>
            </w:pPr>
            <w:r>
              <w:rPr>
                <w:rFonts w:ascii="Arial" w:cs="Arial" w:eastAsia="Arial" w:hAnsi="Arial"/>
                <w:sz w:val="13"/>
                <w:szCs w:val="13"/>
                <w:color w:val="auto"/>
              </w:rPr>
              <w:t>Brad R. Baldwin (4)</w:t>
            </w:r>
          </w:p>
        </w:tc>
        <w:tc>
          <w:tcPr>
            <w:tcW w:w="3920" w:type="dxa"/>
            <w:vAlign w:val="bottom"/>
            <w:gridSpan w:val="3"/>
          </w:tcPr>
          <w:p>
            <w:pPr>
              <w:jc w:val="center"/>
              <w:ind w:left="3195"/>
              <w:spacing w:after="0"/>
              <w:rPr>
                <w:sz w:val="20"/>
                <w:szCs w:val="20"/>
                <w:color w:val="auto"/>
              </w:rPr>
            </w:pPr>
            <w:r>
              <w:rPr>
                <w:rFonts w:ascii="Arial" w:cs="Arial" w:eastAsia="Arial" w:hAnsi="Arial"/>
                <w:sz w:val="13"/>
                <w:szCs w:val="13"/>
                <w:color w:val="auto"/>
                <w:w w:val="89"/>
              </w:rPr>
              <w:t>228,082</w:t>
            </w:r>
          </w:p>
        </w:tc>
        <w:tc>
          <w:tcPr>
            <w:tcW w:w="13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000" w:type="dxa"/>
            <w:vAlign w:val="bottom"/>
            <w:gridSpan w:val="2"/>
          </w:tcPr>
          <w:p>
            <w:pPr>
              <w:jc w:val="center"/>
              <w:ind w:left="355"/>
              <w:spacing w:after="0"/>
              <w:rPr>
                <w:sz w:val="20"/>
                <w:szCs w:val="20"/>
                <w:color w:val="auto"/>
              </w:rPr>
            </w:pPr>
            <w:r>
              <w:rPr>
                <w:rFonts w:ascii="Arial" w:cs="Arial" w:eastAsia="Arial" w:hAnsi="Arial"/>
                <w:sz w:val="13"/>
                <w:szCs w:val="13"/>
                <w:color w:val="auto"/>
                <w:w w:val="87"/>
              </w:rPr>
              <w:t>2.5%</w:t>
            </w:r>
          </w:p>
        </w:tc>
      </w:tr>
      <w:tr>
        <w:trPr>
          <w:trHeight w:val="156"/>
        </w:trPr>
        <w:tc>
          <w:tcPr>
            <w:tcW w:w="1920" w:type="dxa"/>
            <w:vAlign w:val="bottom"/>
          </w:tcPr>
          <w:p>
            <w:pPr>
              <w:spacing w:after="0"/>
              <w:rPr>
                <w:sz w:val="20"/>
                <w:szCs w:val="20"/>
                <w:color w:val="auto"/>
              </w:rPr>
            </w:pPr>
            <w:r>
              <w:rPr>
                <w:rFonts w:ascii="Arial" w:cs="Arial" w:eastAsia="Arial" w:hAnsi="Arial"/>
                <w:sz w:val="13"/>
                <w:szCs w:val="13"/>
                <w:color w:val="auto"/>
              </w:rPr>
              <w:t>Tracy A. Bathurst (5)</w:t>
            </w:r>
          </w:p>
        </w:tc>
        <w:tc>
          <w:tcPr>
            <w:tcW w:w="3920" w:type="dxa"/>
            <w:vAlign w:val="bottom"/>
            <w:gridSpan w:val="3"/>
          </w:tcPr>
          <w:p>
            <w:pPr>
              <w:jc w:val="center"/>
              <w:ind w:left="3195"/>
              <w:spacing w:after="0"/>
              <w:rPr>
                <w:sz w:val="20"/>
                <w:szCs w:val="20"/>
                <w:color w:val="auto"/>
              </w:rPr>
            </w:pPr>
            <w:r>
              <w:rPr>
                <w:rFonts w:ascii="Arial" w:cs="Arial" w:eastAsia="Arial" w:hAnsi="Arial"/>
                <w:sz w:val="13"/>
                <w:szCs w:val="13"/>
                <w:color w:val="auto"/>
                <w:w w:val="89"/>
              </w:rPr>
              <w:t>109,527</w:t>
            </w:r>
          </w:p>
        </w:tc>
        <w:tc>
          <w:tcPr>
            <w:tcW w:w="13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000" w:type="dxa"/>
            <w:vAlign w:val="bottom"/>
            <w:gridSpan w:val="2"/>
          </w:tcPr>
          <w:p>
            <w:pPr>
              <w:jc w:val="center"/>
              <w:ind w:left="355"/>
              <w:spacing w:after="0"/>
              <w:rPr>
                <w:sz w:val="20"/>
                <w:szCs w:val="20"/>
                <w:color w:val="auto"/>
              </w:rPr>
            </w:pPr>
            <w:r>
              <w:rPr>
                <w:rFonts w:ascii="Arial" w:cs="Arial" w:eastAsia="Arial" w:hAnsi="Arial"/>
                <w:sz w:val="13"/>
                <w:szCs w:val="13"/>
                <w:color w:val="auto"/>
                <w:w w:val="87"/>
              </w:rPr>
              <w:t>1.2%</w:t>
            </w:r>
          </w:p>
        </w:tc>
      </w:tr>
      <w:tr>
        <w:trPr>
          <w:trHeight w:val="156"/>
        </w:trPr>
        <w:tc>
          <w:tcPr>
            <w:tcW w:w="1920" w:type="dxa"/>
            <w:vAlign w:val="bottom"/>
          </w:tcPr>
          <w:p>
            <w:pPr>
              <w:spacing w:after="0"/>
              <w:rPr>
                <w:sz w:val="20"/>
                <w:szCs w:val="20"/>
                <w:color w:val="auto"/>
              </w:rPr>
            </w:pPr>
            <w:r>
              <w:rPr>
                <w:rFonts w:ascii="Arial" w:cs="Arial" w:eastAsia="Arial" w:hAnsi="Arial"/>
                <w:sz w:val="13"/>
                <w:szCs w:val="13"/>
                <w:color w:val="auto"/>
              </w:rPr>
              <w:t>Greg A. LeClaire (6)</w:t>
            </w:r>
          </w:p>
        </w:tc>
        <w:tc>
          <w:tcPr>
            <w:tcW w:w="3920" w:type="dxa"/>
            <w:vAlign w:val="bottom"/>
            <w:gridSpan w:val="3"/>
          </w:tcPr>
          <w:p>
            <w:pPr>
              <w:jc w:val="center"/>
              <w:ind w:left="3215"/>
              <w:spacing w:after="0"/>
              <w:rPr>
                <w:sz w:val="20"/>
                <w:szCs w:val="20"/>
                <w:color w:val="auto"/>
              </w:rPr>
            </w:pPr>
            <w:r>
              <w:rPr>
                <w:rFonts w:ascii="Arial" w:cs="Arial" w:eastAsia="Arial" w:hAnsi="Arial"/>
                <w:sz w:val="13"/>
                <w:szCs w:val="13"/>
                <w:color w:val="auto"/>
                <w:w w:val="90"/>
              </w:rPr>
              <w:t>67,155</w:t>
            </w:r>
          </w:p>
        </w:tc>
        <w:tc>
          <w:tcPr>
            <w:tcW w:w="13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000" w:type="dxa"/>
            <w:vAlign w:val="bottom"/>
            <w:gridSpan w:val="2"/>
          </w:tcPr>
          <w:p>
            <w:pPr>
              <w:jc w:val="center"/>
              <w:ind w:left="355"/>
              <w:spacing w:after="0"/>
              <w:rPr>
                <w:sz w:val="20"/>
                <w:szCs w:val="20"/>
                <w:color w:val="auto"/>
              </w:rPr>
            </w:pPr>
            <w:r>
              <w:rPr>
                <w:rFonts w:ascii="Arial" w:cs="Arial" w:eastAsia="Arial" w:hAnsi="Arial"/>
                <w:sz w:val="13"/>
                <w:szCs w:val="13"/>
                <w:color w:val="auto"/>
              </w:rPr>
              <w:t>*</w:t>
            </w:r>
          </w:p>
        </w:tc>
      </w:tr>
      <w:tr>
        <w:trPr>
          <w:trHeight w:val="156"/>
        </w:trPr>
        <w:tc>
          <w:tcPr>
            <w:tcW w:w="1920" w:type="dxa"/>
            <w:vAlign w:val="bottom"/>
          </w:tcPr>
          <w:p>
            <w:pPr>
              <w:spacing w:after="0"/>
              <w:rPr>
                <w:sz w:val="20"/>
                <w:szCs w:val="20"/>
                <w:color w:val="auto"/>
              </w:rPr>
            </w:pPr>
            <w:r>
              <w:rPr>
                <w:rFonts w:ascii="Arial" w:cs="Arial" w:eastAsia="Arial" w:hAnsi="Arial"/>
                <w:sz w:val="13"/>
                <w:szCs w:val="13"/>
                <w:color w:val="auto"/>
              </w:rPr>
              <w:t>Marthes Solamuthu (7)</w:t>
            </w:r>
          </w:p>
        </w:tc>
        <w:tc>
          <w:tcPr>
            <w:tcW w:w="3920" w:type="dxa"/>
            <w:vAlign w:val="bottom"/>
            <w:gridSpan w:val="3"/>
          </w:tcPr>
          <w:p>
            <w:pPr>
              <w:jc w:val="center"/>
              <w:ind w:left="3215"/>
              <w:spacing w:after="0"/>
              <w:rPr>
                <w:sz w:val="20"/>
                <w:szCs w:val="20"/>
                <w:color w:val="auto"/>
              </w:rPr>
            </w:pPr>
            <w:r>
              <w:rPr>
                <w:rFonts w:ascii="Arial" w:cs="Arial" w:eastAsia="Arial" w:hAnsi="Arial"/>
                <w:sz w:val="13"/>
                <w:szCs w:val="13"/>
                <w:color w:val="auto"/>
                <w:w w:val="90"/>
              </w:rPr>
              <w:t>57,482</w:t>
            </w:r>
          </w:p>
        </w:tc>
        <w:tc>
          <w:tcPr>
            <w:tcW w:w="13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000" w:type="dxa"/>
            <w:vAlign w:val="bottom"/>
            <w:gridSpan w:val="2"/>
          </w:tcPr>
          <w:p>
            <w:pPr>
              <w:jc w:val="center"/>
              <w:ind w:left="355"/>
              <w:spacing w:after="0"/>
              <w:rPr>
                <w:sz w:val="20"/>
                <w:szCs w:val="20"/>
                <w:color w:val="auto"/>
              </w:rPr>
            </w:pPr>
            <w:r>
              <w:rPr>
                <w:rFonts w:ascii="Arial" w:cs="Arial" w:eastAsia="Arial" w:hAnsi="Arial"/>
                <w:sz w:val="13"/>
                <w:szCs w:val="13"/>
                <w:color w:val="auto"/>
              </w:rPr>
              <w:t>*</w:t>
            </w:r>
          </w:p>
        </w:tc>
      </w:tr>
      <w:tr>
        <w:trPr>
          <w:trHeight w:val="156"/>
        </w:trPr>
        <w:tc>
          <w:tcPr>
            <w:tcW w:w="1920" w:type="dxa"/>
            <w:vAlign w:val="bottom"/>
          </w:tcPr>
          <w:p>
            <w:pPr>
              <w:spacing w:after="0"/>
              <w:rPr>
                <w:sz w:val="20"/>
                <w:szCs w:val="20"/>
                <w:color w:val="auto"/>
              </w:rPr>
            </w:pPr>
            <w:r>
              <w:rPr>
                <w:rFonts w:ascii="Arial" w:cs="Arial" w:eastAsia="Arial" w:hAnsi="Arial"/>
                <w:sz w:val="13"/>
                <w:szCs w:val="13"/>
                <w:color w:val="auto"/>
              </w:rPr>
              <w:t>Larry R. Hendricks (8)</w:t>
            </w:r>
          </w:p>
        </w:tc>
        <w:tc>
          <w:tcPr>
            <w:tcW w:w="3920" w:type="dxa"/>
            <w:vAlign w:val="bottom"/>
            <w:gridSpan w:val="3"/>
          </w:tcPr>
          <w:p>
            <w:pPr>
              <w:jc w:val="center"/>
              <w:ind w:left="3215"/>
              <w:spacing w:after="0"/>
              <w:rPr>
                <w:sz w:val="20"/>
                <w:szCs w:val="20"/>
                <w:color w:val="auto"/>
              </w:rPr>
            </w:pPr>
            <w:r>
              <w:rPr>
                <w:rFonts w:ascii="Arial" w:cs="Arial" w:eastAsia="Arial" w:hAnsi="Arial"/>
                <w:sz w:val="13"/>
                <w:szCs w:val="13"/>
                <w:color w:val="auto"/>
                <w:w w:val="90"/>
              </w:rPr>
              <w:t>56,416</w:t>
            </w:r>
          </w:p>
        </w:tc>
        <w:tc>
          <w:tcPr>
            <w:tcW w:w="13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000" w:type="dxa"/>
            <w:vAlign w:val="bottom"/>
            <w:gridSpan w:val="2"/>
          </w:tcPr>
          <w:p>
            <w:pPr>
              <w:jc w:val="center"/>
              <w:ind w:left="355"/>
              <w:spacing w:after="0"/>
              <w:rPr>
                <w:sz w:val="20"/>
                <w:szCs w:val="20"/>
                <w:color w:val="auto"/>
              </w:rPr>
            </w:pPr>
            <w:r>
              <w:rPr>
                <w:rFonts w:ascii="Arial" w:cs="Arial" w:eastAsia="Arial" w:hAnsi="Arial"/>
                <w:sz w:val="13"/>
                <w:szCs w:val="13"/>
                <w:color w:val="auto"/>
              </w:rPr>
              <w:t>*</w:t>
            </w:r>
          </w:p>
        </w:tc>
      </w:tr>
      <w:tr>
        <w:trPr>
          <w:trHeight w:val="156"/>
        </w:trPr>
        <w:tc>
          <w:tcPr>
            <w:tcW w:w="1920" w:type="dxa"/>
            <w:vAlign w:val="bottom"/>
          </w:tcPr>
          <w:p>
            <w:pPr>
              <w:spacing w:after="0"/>
              <w:rPr>
                <w:sz w:val="20"/>
                <w:szCs w:val="20"/>
                <w:color w:val="auto"/>
              </w:rPr>
            </w:pPr>
            <w:r>
              <w:rPr>
                <w:rFonts w:ascii="Arial" w:cs="Arial" w:eastAsia="Arial" w:hAnsi="Arial"/>
                <w:sz w:val="13"/>
                <w:szCs w:val="13"/>
                <w:color w:val="auto"/>
              </w:rPr>
              <w:t>Scott M. Huntsman (9)</w:t>
            </w:r>
          </w:p>
        </w:tc>
        <w:tc>
          <w:tcPr>
            <w:tcW w:w="3920" w:type="dxa"/>
            <w:vAlign w:val="bottom"/>
            <w:gridSpan w:val="3"/>
          </w:tcPr>
          <w:p>
            <w:pPr>
              <w:jc w:val="center"/>
              <w:ind w:left="3215"/>
              <w:spacing w:after="0"/>
              <w:rPr>
                <w:sz w:val="20"/>
                <w:szCs w:val="20"/>
                <w:color w:val="auto"/>
              </w:rPr>
            </w:pPr>
            <w:r>
              <w:rPr>
                <w:rFonts w:ascii="Arial" w:cs="Arial" w:eastAsia="Arial" w:hAnsi="Arial"/>
                <w:sz w:val="13"/>
                <w:szCs w:val="13"/>
                <w:color w:val="auto"/>
                <w:w w:val="90"/>
              </w:rPr>
              <w:t>55,416</w:t>
            </w:r>
          </w:p>
        </w:tc>
        <w:tc>
          <w:tcPr>
            <w:tcW w:w="13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000" w:type="dxa"/>
            <w:vAlign w:val="bottom"/>
            <w:gridSpan w:val="2"/>
          </w:tcPr>
          <w:p>
            <w:pPr>
              <w:jc w:val="center"/>
              <w:ind w:left="355"/>
              <w:spacing w:after="0"/>
              <w:rPr>
                <w:sz w:val="20"/>
                <w:szCs w:val="20"/>
                <w:color w:val="auto"/>
              </w:rPr>
            </w:pPr>
            <w:r>
              <w:rPr>
                <w:rFonts w:ascii="Arial" w:cs="Arial" w:eastAsia="Arial" w:hAnsi="Arial"/>
                <w:sz w:val="13"/>
                <w:szCs w:val="13"/>
                <w:color w:val="auto"/>
              </w:rPr>
              <w:t>*</w:t>
            </w:r>
          </w:p>
        </w:tc>
      </w:tr>
      <w:tr>
        <w:trPr>
          <w:trHeight w:val="156"/>
        </w:trPr>
        <w:tc>
          <w:tcPr>
            <w:tcW w:w="1920" w:type="dxa"/>
            <w:vAlign w:val="bottom"/>
          </w:tcPr>
          <w:p>
            <w:pPr>
              <w:spacing w:after="0"/>
              <w:rPr>
                <w:sz w:val="20"/>
                <w:szCs w:val="20"/>
                <w:color w:val="auto"/>
              </w:rPr>
            </w:pPr>
            <w:r>
              <w:rPr>
                <w:rFonts w:ascii="Arial" w:cs="Arial" w:eastAsia="Arial" w:hAnsi="Arial"/>
                <w:sz w:val="13"/>
                <w:szCs w:val="13"/>
                <w:color w:val="auto"/>
              </w:rPr>
              <w:t>All directors and executive</w:t>
            </w:r>
          </w:p>
        </w:tc>
        <w:tc>
          <w:tcPr>
            <w:tcW w:w="32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600" w:type="dxa"/>
            <w:vAlign w:val="bottom"/>
          </w:tcPr>
          <w:p>
            <w:pPr>
              <w:spacing w:after="0"/>
              <w:rPr>
                <w:sz w:val="13"/>
                <w:szCs w:val="13"/>
                <w:color w:val="auto"/>
              </w:rPr>
            </w:pPr>
          </w:p>
        </w:tc>
      </w:tr>
      <w:tr>
        <w:trPr>
          <w:trHeight w:val="164"/>
        </w:trPr>
        <w:tc>
          <w:tcPr>
            <w:tcW w:w="1920" w:type="dxa"/>
            <w:vAlign w:val="bottom"/>
          </w:tcPr>
          <w:p>
            <w:pPr>
              <w:spacing w:after="0"/>
              <w:rPr>
                <w:sz w:val="20"/>
                <w:szCs w:val="20"/>
                <w:color w:val="auto"/>
              </w:rPr>
            </w:pPr>
            <w:r>
              <w:rPr>
                <w:rFonts w:ascii="Arial" w:cs="Arial" w:eastAsia="Arial" w:hAnsi="Arial"/>
                <w:sz w:val="13"/>
                <w:szCs w:val="13"/>
                <w:color w:val="auto"/>
              </w:rPr>
              <w:t>officers as a group (8 persons)</w:t>
            </w:r>
          </w:p>
        </w:tc>
        <w:tc>
          <w:tcPr>
            <w:tcW w:w="3920" w:type="dxa"/>
            <w:vAlign w:val="bottom"/>
            <w:gridSpan w:val="3"/>
          </w:tcPr>
          <w:p>
            <w:pPr>
              <w:jc w:val="center"/>
              <w:ind w:left="3195"/>
              <w:spacing w:after="0"/>
              <w:rPr>
                <w:sz w:val="20"/>
                <w:szCs w:val="20"/>
                <w:color w:val="auto"/>
              </w:rPr>
            </w:pPr>
            <w:r>
              <w:rPr>
                <w:rFonts w:ascii="Arial" w:cs="Arial" w:eastAsia="Arial" w:hAnsi="Arial"/>
                <w:sz w:val="13"/>
                <w:szCs w:val="13"/>
                <w:color w:val="auto"/>
                <w:w w:val="89"/>
              </w:rPr>
              <w:t>916,598</w:t>
            </w:r>
          </w:p>
        </w:tc>
        <w:tc>
          <w:tcPr>
            <w:tcW w:w="13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0" w:type="dxa"/>
            <w:vAlign w:val="bottom"/>
            <w:gridSpan w:val="2"/>
          </w:tcPr>
          <w:p>
            <w:pPr>
              <w:jc w:val="center"/>
              <w:ind w:left="355"/>
              <w:spacing w:after="0"/>
              <w:rPr>
                <w:sz w:val="20"/>
                <w:szCs w:val="20"/>
                <w:color w:val="auto"/>
              </w:rPr>
            </w:pPr>
            <w:r>
              <w:rPr>
                <w:rFonts w:ascii="Arial" w:cs="Arial" w:eastAsia="Arial" w:hAnsi="Arial"/>
                <w:sz w:val="13"/>
                <w:szCs w:val="13"/>
                <w:color w:val="auto"/>
                <w:w w:val="87"/>
              </w:rPr>
              <w:t>9.5%</w:t>
            </w:r>
          </w:p>
        </w:tc>
      </w:tr>
      <w:tr>
        <w:trPr>
          <w:trHeight w:val="323"/>
        </w:trPr>
        <w:tc>
          <w:tcPr>
            <w:tcW w:w="1920" w:type="dxa"/>
            <w:vAlign w:val="bottom"/>
          </w:tcPr>
          <w:p>
            <w:pPr>
              <w:spacing w:after="0"/>
              <w:rPr>
                <w:sz w:val="20"/>
                <w:szCs w:val="20"/>
                <w:color w:val="auto"/>
              </w:rPr>
            </w:pPr>
            <w:r>
              <w:rPr>
                <w:rFonts w:ascii="Arial" w:cs="Arial" w:eastAsia="Arial" w:hAnsi="Arial"/>
                <w:sz w:val="13"/>
                <w:szCs w:val="13"/>
                <w:b w:val="1"/>
                <w:bCs w:val="1"/>
                <w:color w:val="auto"/>
              </w:rPr>
              <w:t>5% Stockholders:</w:t>
            </w:r>
          </w:p>
        </w:tc>
        <w:tc>
          <w:tcPr>
            <w:tcW w:w="32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00" w:type="dxa"/>
            <w:vAlign w:val="bottom"/>
          </w:tcPr>
          <w:p>
            <w:pPr>
              <w:spacing w:after="0"/>
              <w:rPr>
                <w:sz w:val="24"/>
                <w:szCs w:val="24"/>
                <w:color w:val="auto"/>
              </w:rPr>
            </w:pPr>
          </w:p>
        </w:tc>
      </w:tr>
      <w:tr>
        <w:trPr>
          <w:trHeight w:val="156"/>
        </w:trPr>
        <w:tc>
          <w:tcPr>
            <w:tcW w:w="1920" w:type="dxa"/>
            <w:vAlign w:val="bottom"/>
          </w:tcPr>
          <w:p>
            <w:pPr>
              <w:spacing w:after="0"/>
              <w:rPr>
                <w:sz w:val="20"/>
                <w:szCs w:val="20"/>
                <w:color w:val="auto"/>
              </w:rPr>
            </w:pPr>
            <w:r>
              <w:rPr>
                <w:rFonts w:ascii="Arial" w:cs="Arial" w:eastAsia="Arial" w:hAnsi="Arial"/>
                <w:sz w:val="13"/>
                <w:szCs w:val="13"/>
                <w:color w:val="auto"/>
              </w:rPr>
              <w:t>Edward Dallin Bagley (10)</w:t>
            </w:r>
          </w:p>
        </w:tc>
        <w:tc>
          <w:tcPr>
            <w:tcW w:w="3920" w:type="dxa"/>
            <w:vAlign w:val="bottom"/>
            <w:gridSpan w:val="3"/>
          </w:tcPr>
          <w:p>
            <w:pPr>
              <w:jc w:val="center"/>
              <w:ind w:left="3215"/>
              <w:spacing w:after="0"/>
              <w:rPr>
                <w:sz w:val="20"/>
                <w:szCs w:val="20"/>
                <w:color w:val="auto"/>
              </w:rPr>
            </w:pPr>
            <w:r>
              <w:rPr>
                <w:rFonts w:ascii="Arial" w:cs="Arial" w:eastAsia="Arial" w:hAnsi="Arial"/>
                <w:sz w:val="13"/>
                <w:szCs w:val="13"/>
                <w:color w:val="auto"/>
                <w:w w:val="89"/>
              </w:rPr>
              <w:t>1,745,717</w:t>
            </w:r>
          </w:p>
        </w:tc>
        <w:tc>
          <w:tcPr>
            <w:tcW w:w="13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000" w:type="dxa"/>
            <w:vAlign w:val="bottom"/>
            <w:gridSpan w:val="2"/>
          </w:tcPr>
          <w:p>
            <w:pPr>
              <w:jc w:val="center"/>
              <w:ind w:left="355"/>
              <w:spacing w:after="0"/>
              <w:rPr>
                <w:sz w:val="20"/>
                <w:szCs w:val="20"/>
                <w:color w:val="auto"/>
              </w:rPr>
            </w:pPr>
            <w:r>
              <w:rPr>
                <w:rFonts w:ascii="Arial" w:cs="Arial" w:eastAsia="Arial" w:hAnsi="Arial"/>
                <w:sz w:val="13"/>
                <w:szCs w:val="13"/>
                <w:color w:val="auto"/>
                <w:w w:val="92"/>
              </w:rPr>
              <w:t>19.5%</w:t>
            </w:r>
          </w:p>
        </w:tc>
      </w:tr>
      <w:tr>
        <w:trPr>
          <w:trHeight w:val="156"/>
        </w:trPr>
        <w:tc>
          <w:tcPr>
            <w:tcW w:w="1920" w:type="dxa"/>
            <w:vAlign w:val="bottom"/>
          </w:tcPr>
          <w:p>
            <w:pPr>
              <w:spacing w:after="0"/>
              <w:rPr>
                <w:sz w:val="20"/>
                <w:szCs w:val="20"/>
                <w:color w:val="auto"/>
              </w:rPr>
            </w:pPr>
            <w:r>
              <w:rPr>
                <w:rFonts w:ascii="Arial" w:cs="Arial" w:eastAsia="Arial" w:hAnsi="Arial"/>
                <w:sz w:val="13"/>
                <w:szCs w:val="13"/>
                <w:color w:val="auto"/>
              </w:rPr>
              <w:t>Royce &amp; Associates Inc. (11).</w:t>
            </w:r>
          </w:p>
        </w:tc>
        <w:tc>
          <w:tcPr>
            <w:tcW w:w="3920" w:type="dxa"/>
            <w:vAlign w:val="bottom"/>
            <w:gridSpan w:val="3"/>
          </w:tcPr>
          <w:p>
            <w:pPr>
              <w:jc w:val="center"/>
              <w:ind w:left="3195"/>
              <w:spacing w:after="0"/>
              <w:rPr>
                <w:sz w:val="20"/>
                <w:szCs w:val="20"/>
                <w:color w:val="auto"/>
              </w:rPr>
            </w:pPr>
            <w:r>
              <w:rPr>
                <w:rFonts w:ascii="Arial" w:cs="Arial" w:eastAsia="Arial" w:hAnsi="Arial"/>
                <w:sz w:val="13"/>
                <w:szCs w:val="13"/>
                <w:color w:val="auto"/>
                <w:w w:val="89"/>
              </w:rPr>
              <w:t>950,108</w:t>
            </w:r>
          </w:p>
        </w:tc>
        <w:tc>
          <w:tcPr>
            <w:tcW w:w="13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000" w:type="dxa"/>
            <w:vAlign w:val="bottom"/>
            <w:gridSpan w:val="2"/>
          </w:tcPr>
          <w:p>
            <w:pPr>
              <w:jc w:val="center"/>
              <w:ind w:left="355"/>
              <w:spacing w:after="0"/>
              <w:rPr>
                <w:sz w:val="20"/>
                <w:szCs w:val="20"/>
                <w:color w:val="auto"/>
              </w:rPr>
            </w:pPr>
            <w:r>
              <w:rPr>
                <w:rFonts w:ascii="Arial" w:cs="Arial" w:eastAsia="Arial" w:hAnsi="Arial"/>
                <w:sz w:val="13"/>
                <w:szCs w:val="13"/>
                <w:color w:val="auto"/>
                <w:w w:val="92"/>
              </w:rPr>
              <w:t>10.7%</w:t>
            </w:r>
          </w:p>
        </w:tc>
      </w:tr>
      <w:tr>
        <w:trPr>
          <w:trHeight w:val="164"/>
        </w:trPr>
        <w:tc>
          <w:tcPr>
            <w:tcW w:w="1920" w:type="dxa"/>
            <w:vAlign w:val="bottom"/>
          </w:tcPr>
          <w:p>
            <w:pPr>
              <w:spacing w:after="0"/>
              <w:rPr>
                <w:sz w:val="20"/>
                <w:szCs w:val="20"/>
                <w:color w:val="auto"/>
              </w:rPr>
            </w:pPr>
            <w:r>
              <w:rPr>
                <w:rFonts w:ascii="Arial" w:cs="Arial" w:eastAsia="Arial" w:hAnsi="Arial"/>
                <w:sz w:val="13"/>
                <w:szCs w:val="13"/>
                <w:color w:val="auto"/>
              </w:rPr>
              <w:t>FMR Corp. (12)</w:t>
            </w:r>
          </w:p>
        </w:tc>
        <w:tc>
          <w:tcPr>
            <w:tcW w:w="3920" w:type="dxa"/>
            <w:vAlign w:val="bottom"/>
            <w:gridSpan w:val="3"/>
          </w:tcPr>
          <w:p>
            <w:pPr>
              <w:jc w:val="center"/>
              <w:ind w:left="3195"/>
              <w:spacing w:after="0"/>
              <w:rPr>
                <w:sz w:val="20"/>
                <w:szCs w:val="20"/>
                <w:color w:val="auto"/>
              </w:rPr>
            </w:pPr>
            <w:r>
              <w:rPr>
                <w:rFonts w:ascii="Arial" w:cs="Arial" w:eastAsia="Arial" w:hAnsi="Arial"/>
                <w:sz w:val="13"/>
                <w:szCs w:val="13"/>
                <w:color w:val="auto"/>
                <w:w w:val="89"/>
              </w:rPr>
              <w:t>940,503</w:t>
            </w:r>
          </w:p>
        </w:tc>
        <w:tc>
          <w:tcPr>
            <w:tcW w:w="13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0" w:type="dxa"/>
            <w:vAlign w:val="bottom"/>
            <w:gridSpan w:val="2"/>
          </w:tcPr>
          <w:p>
            <w:pPr>
              <w:jc w:val="center"/>
              <w:ind w:left="355"/>
              <w:spacing w:after="0"/>
              <w:rPr>
                <w:sz w:val="20"/>
                <w:szCs w:val="20"/>
                <w:color w:val="auto"/>
              </w:rPr>
            </w:pPr>
            <w:r>
              <w:rPr>
                <w:rFonts w:ascii="Arial" w:cs="Arial" w:eastAsia="Arial" w:hAnsi="Arial"/>
                <w:sz w:val="13"/>
                <w:szCs w:val="13"/>
                <w:color w:val="auto"/>
                <w:w w:val="92"/>
              </w:rPr>
              <w:t>10.6%</w:t>
            </w:r>
          </w:p>
        </w:tc>
      </w:tr>
    </w:tbl>
    <w:p>
      <w:pPr>
        <w:spacing w:after="0" w:line="148" w:lineRule="exact"/>
        <w:rPr>
          <w:sz w:val="20"/>
          <w:szCs w:val="20"/>
          <w:color w:val="auto"/>
        </w:rPr>
      </w:pPr>
    </w:p>
    <w:p>
      <w:pPr>
        <w:ind w:left="42"/>
        <w:spacing w:after="0"/>
        <w:rPr>
          <w:sz w:val="20"/>
          <w:szCs w:val="20"/>
          <w:color w:val="auto"/>
        </w:rPr>
      </w:pPr>
      <w:r>
        <w:rPr>
          <w:rFonts w:ascii="Arial" w:cs="Arial" w:eastAsia="Arial" w:hAnsi="Arial"/>
          <w:sz w:val="13"/>
          <w:szCs w:val="13"/>
          <w:color w:val="auto"/>
        </w:rPr>
        <w:t>_______________</w:t>
      </w:r>
    </w:p>
    <w:p>
      <w:pPr>
        <w:spacing w:after="0" w:line="182" w:lineRule="exact"/>
        <w:rPr>
          <w:sz w:val="20"/>
          <w:szCs w:val="20"/>
          <w:color w:val="auto"/>
        </w:rPr>
      </w:pPr>
    </w:p>
    <w:p>
      <w:pPr>
        <w:ind w:left="462" w:hanging="462"/>
        <w:spacing w:after="0"/>
        <w:tabs>
          <w:tab w:leader="none" w:pos="462" w:val="left"/>
        </w:tabs>
        <w:numPr>
          <w:ilvl w:val="0"/>
          <w:numId w:val="12"/>
        </w:numPr>
        <w:rPr>
          <w:rFonts w:ascii="Arial" w:cs="Arial" w:eastAsia="Arial" w:hAnsi="Arial"/>
          <w:sz w:val="13"/>
          <w:szCs w:val="13"/>
          <w:color w:val="auto"/>
        </w:rPr>
      </w:pPr>
      <w:r>
        <w:rPr>
          <w:rFonts w:ascii="Arial" w:cs="Arial" w:eastAsia="Arial" w:hAnsi="Arial"/>
          <w:sz w:val="13"/>
          <w:szCs w:val="13"/>
          <w:color w:val="auto"/>
        </w:rPr>
        <w:t>Less than 1.0%.</w:t>
      </w:r>
    </w:p>
    <w:p>
      <w:pPr>
        <w:spacing w:after="0" w:line="182" w:lineRule="exact"/>
        <w:rPr>
          <w:sz w:val="20"/>
          <w:szCs w:val="20"/>
          <w:color w:val="auto"/>
        </w:rPr>
      </w:pPr>
    </w:p>
    <w:p>
      <w:pPr>
        <w:ind w:left="462" w:hanging="462"/>
        <w:spacing w:after="0" w:line="315" w:lineRule="auto"/>
        <w:tabs>
          <w:tab w:leader="none" w:pos="462" w:val="left"/>
        </w:tabs>
        <w:numPr>
          <w:ilvl w:val="0"/>
          <w:numId w:val="13"/>
        </w:numPr>
        <w:rPr>
          <w:rFonts w:ascii="Arial" w:cs="Arial" w:eastAsia="Arial" w:hAnsi="Arial"/>
          <w:sz w:val="12"/>
          <w:szCs w:val="12"/>
          <w:color w:val="auto"/>
        </w:rPr>
      </w:pPr>
      <w:r>
        <w:rPr>
          <w:rFonts w:ascii="Arial" w:cs="Arial" w:eastAsia="Arial" w:hAnsi="Arial"/>
          <w:sz w:val="12"/>
          <w:szCs w:val="12"/>
          <w:color w:val="auto"/>
        </w:rPr>
        <w:t>Except as otherwise indicated, each person named in the table has sole voting and investment power with respect to all common stock beneficially owned, subject to applicable community property law. Except as otherwise indicated, each person may be reached at our corporate offices c/o ClearOne Communications, Inc., 5225 Wiley Post Way, Suite 500, Salt Lake City, Utah 84116.</w:t>
      </w:r>
    </w:p>
    <w:p>
      <w:pPr>
        <w:spacing w:after="0" w:line="124" w:lineRule="exact"/>
        <w:rPr>
          <w:rFonts w:ascii="Arial" w:cs="Arial" w:eastAsia="Arial" w:hAnsi="Arial"/>
          <w:sz w:val="12"/>
          <w:szCs w:val="12"/>
          <w:color w:val="auto"/>
        </w:rPr>
      </w:pPr>
    </w:p>
    <w:p>
      <w:pPr>
        <w:jc w:val="both"/>
        <w:ind w:left="462" w:hanging="462"/>
        <w:spacing w:after="0" w:line="319" w:lineRule="auto"/>
        <w:tabs>
          <w:tab w:leader="none" w:pos="462" w:val="left"/>
        </w:tabs>
        <w:numPr>
          <w:ilvl w:val="0"/>
          <w:numId w:val="13"/>
        </w:numPr>
        <w:rPr>
          <w:rFonts w:ascii="Arial" w:cs="Arial" w:eastAsia="Arial" w:hAnsi="Arial"/>
          <w:sz w:val="11"/>
          <w:szCs w:val="11"/>
          <w:color w:val="auto"/>
        </w:rPr>
      </w:pPr>
      <w:r>
        <w:rPr>
          <w:rFonts w:ascii="Arial" w:cs="Arial" w:eastAsia="Arial" w:hAnsi="Arial"/>
          <w:sz w:val="11"/>
          <w:szCs w:val="11"/>
          <w:color w:val="auto"/>
        </w:rPr>
        <w:t>The percentages shown are calculated based on 8,888,348 shares of common stock outstanding on September 29, 2008. The numbers and percentages shown include the shares of common stock actually owned as of September 29, 2008 and the shares of common stock that the identified person or group had the right to acquire within 60 days of such date. In calculating the percentage of ownership, all shares of common stock that the identified person or group had the right to acquire within 60 days of September 29, 2008 upon the exercise of options are deemed to be outstanding for the purpose of computing the percentage of the shares of common stock owned by that person or group, but are not deemed to be outstanding for the purpose of computing the percentage of the shares of common stock owned by any other person or group.</w:t>
      </w:r>
    </w:p>
    <w:p>
      <w:pPr>
        <w:spacing w:after="0" w:line="126" w:lineRule="exact"/>
        <w:rPr>
          <w:rFonts w:ascii="Arial" w:cs="Arial" w:eastAsia="Arial" w:hAnsi="Arial"/>
          <w:sz w:val="11"/>
          <w:szCs w:val="11"/>
          <w:color w:val="auto"/>
        </w:rPr>
      </w:pPr>
    </w:p>
    <w:p>
      <w:pPr>
        <w:ind w:left="462" w:hanging="462"/>
        <w:spacing w:after="0"/>
        <w:tabs>
          <w:tab w:leader="none" w:pos="462" w:val="left"/>
        </w:tabs>
        <w:numPr>
          <w:ilvl w:val="0"/>
          <w:numId w:val="13"/>
        </w:numPr>
        <w:rPr>
          <w:rFonts w:ascii="Arial" w:cs="Arial" w:eastAsia="Arial" w:hAnsi="Arial"/>
          <w:sz w:val="13"/>
          <w:szCs w:val="13"/>
          <w:color w:val="auto"/>
        </w:rPr>
      </w:pPr>
      <w:r>
        <w:rPr>
          <w:rFonts w:ascii="Arial" w:cs="Arial" w:eastAsia="Arial" w:hAnsi="Arial"/>
          <w:sz w:val="13"/>
          <w:szCs w:val="13"/>
          <w:color w:val="auto"/>
        </w:rPr>
        <w:t>Includes 316,666 shares of common stock issuable upon exercise of stock options.</w:t>
      </w:r>
    </w:p>
    <w:p>
      <w:pPr>
        <w:spacing w:after="0" w:line="181" w:lineRule="exact"/>
        <w:rPr>
          <w:rFonts w:ascii="Arial" w:cs="Arial" w:eastAsia="Arial" w:hAnsi="Arial"/>
          <w:sz w:val="13"/>
          <w:szCs w:val="13"/>
          <w:color w:val="auto"/>
        </w:rPr>
      </w:pPr>
    </w:p>
    <w:p>
      <w:pPr>
        <w:ind w:left="462" w:hanging="462"/>
        <w:spacing w:after="0" w:line="272" w:lineRule="auto"/>
        <w:tabs>
          <w:tab w:leader="none" w:pos="462" w:val="left"/>
        </w:tabs>
        <w:numPr>
          <w:ilvl w:val="0"/>
          <w:numId w:val="13"/>
        </w:numPr>
        <w:rPr>
          <w:rFonts w:ascii="Arial" w:cs="Arial" w:eastAsia="Arial" w:hAnsi="Arial"/>
          <w:sz w:val="13"/>
          <w:szCs w:val="13"/>
          <w:color w:val="auto"/>
        </w:rPr>
      </w:pPr>
      <w:r>
        <w:rPr>
          <w:rFonts w:ascii="Arial" w:cs="Arial" w:eastAsia="Arial" w:hAnsi="Arial"/>
          <w:sz w:val="13"/>
          <w:szCs w:val="13"/>
          <w:color w:val="auto"/>
        </w:rPr>
        <w:t>Includes 88,666 shares held in the Baldwin Family Trust; 9,000 shares owned directly, which are held in an IRA under the name of Mr. Baldwin; and 130,416 shares of common stock issuable upon exercise of stock options.</w:t>
      </w:r>
    </w:p>
    <w:p>
      <w:pPr>
        <w:spacing w:after="0" w:line="148" w:lineRule="exact"/>
        <w:rPr>
          <w:rFonts w:ascii="Arial" w:cs="Arial" w:eastAsia="Arial" w:hAnsi="Arial"/>
          <w:sz w:val="13"/>
          <w:szCs w:val="13"/>
          <w:color w:val="auto"/>
        </w:rPr>
      </w:pPr>
    </w:p>
    <w:p>
      <w:pPr>
        <w:ind w:left="462" w:hanging="462"/>
        <w:spacing w:after="0"/>
        <w:tabs>
          <w:tab w:leader="none" w:pos="462" w:val="left"/>
        </w:tabs>
        <w:numPr>
          <w:ilvl w:val="0"/>
          <w:numId w:val="13"/>
        </w:numPr>
        <w:rPr>
          <w:rFonts w:ascii="Arial" w:cs="Arial" w:eastAsia="Arial" w:hAnsi="Arial"/>
          <w:sz w:val="13"/>
          <w:szCs w:val="13"/>
          <w:color w:val="auto"/>
        </w:rPr>
      </w:pPr>
      <w:r>
        <w:rPr>
          <w:rFonts w:ascii="Arial" w:cs="Arial" w:eastAsia="Arial" w:hAnsi="Arial"/>
          <w:sz w:val="13"/>
          <w:szCs w:val="13"/>
          <w:color w:val="auto"/>
        </w:rPr>
        <w:t>Includes 109,527 shares of common stock issuable upon exercise of stock options.</w:t>
      </w:r>
    </w:p>
    <w:p>
      <w:pPr>
        <w:spacing w:after="0" w:line="181" w:lineRule="exact"/>
        <w:rPr>
          <w:rFonts w:ascii="Arial" w:cs="Arial" w:eastAsia="Arial" w:hAnsi="Arial"/>
          <w:sz w:val="13"/>
          <w:szCs w:val="13"/>
          <w:color w:val="auto"/>
        </w:rPr>
      </w:pPr>
    </w:p>
    <w:p>
      <w:pPr>
        <w:ind w:left="462" w:hanging="462"/>
        <w:spacing w:after="0"/>
        <w:tabs>
          <w:tab w:leader="none" w:pos="462" w:val="left"/>
        </w:tabs>
        <w:numPr>
          <w:ilvl w:val="0"/>
          <w:numId w:val="13"/>
        </w:numPr>
        <w:rPr>
          <w:rFonts w:ascii="Arial" w:cs="Arial" w:eastAsia="Arial" w:hAnsi="Arial"/>
          <w:sz w:val="13"/>
          <w:szCs w:val="13"/>
          <w:color w:val="auto"/>
        </w:rPr>
      </w:pPr>
      <w:r>
        <w:rPr>
          <w:rFonts w:ascii="Arial" w:cs="Arial" w:eastAsia="Arial" w:hAnsi="Arial"/>
          <w:sz w:val="13"/>
          <w:szCs w:val="13"/>
          <w:color w:val="auto"/>
        </w:rPr>
        <w:t>Includes 36,250 shares of common stock issuable upon exercise of stock options.</w:t>
      </w:r>
    </w:p>
    <w:p>
      <w:pPr>
        <w:spacing w:after="0" w:line="181" w:lineRule="exact"/>
        <w:rPr>
          <w:rFonts w:ascii="Arial" w:cs="Arial" w:eastAsia="Arial" w:hAnsi="Arial"/>
          <w:sz w:val="13"/>
          <w:szCs w:val="13"/>
          <w:color w:val="auto"/>
        </w:rPr>
      </w:pPr>
    </w:p>
    <w:p>
      <w:pPr>
        <w:ind w:left="462" w:hanging="462"/>
        <w:spacing w:after="0"/>
        <w:tabs>
          <w:tab w:leader="none" w:pos="462" w:val="left"/>
        </w:tabs>
        <w:numPr>
          <w:ilvl w:val="0"/>
          <w:numId w:val="13"/>
        </w:numPr>
        <w:rPr>
          <w:rFonts w:ascii="Arial" w:cs="Arial" w:eastAsia="Arial" w:hAnsi="Arial"/>
          <w:sz w:val="13"/>
          <w:szCs w:val="13"/>
          <w:color w:val="auto"/>
        </w:rPr>
      </w:pPr>
      <w:r>
        <w:rPr>
          <w:rFonts w:ascii="Arial" w:cs="Arial" w:eastAsia="Arial" w:hAnsi="Arial"/>
          <w:sz w:val="13"/>
          <w:szCs w:val="13"/>
          <w:color w:val="auto"/>
        </w:rPr>
        <w:t>Includes 56,944 of common stock issuable upon exercise of stock options.</w:t>
      </w:r>
    </w:p>
    <w:p>
      <w:pPr>
        <w:spacing w:after="0" w:line="181" w:lineRule="exact"/>
        <w:rPr>
          <w:rFonts w:ascii="Arial" w:cs="Arial" w:eastAsia="Arial" w:hAnsi="Arial"/>
          <w:sz w:val="13"/>
          <w:szCs w:val="13"/>
          <w:color w:val="auto"/>
        </w:rPr>
      </w:pPr>
    </w:p>
    <w:p>
      <w:pPr>
        <w:ind w:left="462" w:hanging="462"/>
        <w:spacing w:after="0"/>
        <w:tabs>
          <w:tab w:leader="none" w:pos="462" w:val="left"/>
        </w:tabs>
        <w:numPr>
          <w:ilvl w:val="0"/>
          <w:numId w:val="13"/>
        </w:numPr>
        <w:rPr>
          <w:rFonts w:ascii="Arial" w:cs="Arial" w:eastAsia="Arial" w:hAnsi="Arial"/>
          <w:sz w:val="13"/>
          <w:szCs w:val="13"/>
          <w:color w:val="auto"/>
        </w:rPr>
      </w:pPr>
      <w:r>
        <w:rPr>
          <w:rFonts w:ascii="Arial" w:cs="Arial" w:eastAsia="Arial" w:hAnsi="Arial"/>
          <w:sz w:val="13"/>
          <w:szCs w:val="13"/>
          <w:color w:val="auto"/>
        </w:rPr>
        <w:t>Includes 55,416 of common stock issuable upon exercise of stock options.</w:t>
      </w:r>
    </w:p>
    <w:p>
      <w:pPr>
        <w:spacing w:after="0" w:line="181" w:lineRule="exact"/>
        <w:rPr>
          <w:rFonts w:ascii="Arial" w:cs="Arial" w:eastAsia="Arial" w:hAnsi="Arial"/>
          <w:sz w:val="13"/>
          <w:szCs w:val="13"/>
          <w:color w:val="auto"/>
        </w:rPr>
      </w:pPr>
    </w:p>
    <w:p>
      <w:pPr>
        <w:ind w:left="462" w:hanging="462"/>
        <w:spacing w:after="0"/>
        <w:tabs>
          <w:tab w:leader="none" w:pos="462" w:val="left"/>
        </w:tabs>
        <w:numPr>
          <w:ilvl w:val="0"/>
          <w:numId w:val="13"/>
        </w:numPr>
        <w:rPr>
          <w:rFonts w:ascii="Arial" w:cs="Arial" w:eastAsia="Arial" w:hAnsi="Arial"/>
          <w:sz w:val="13"/>
          <w:szCs w:val="13"/>
          <w:color w:val="auto"/>
        </w:rPr>
      </w:pPr>
      <w:r>
        <w:rPr>
          <w:rFonts w:ascii="Arial" w:cs="Arial" w:eastAsia="Arial" w:hAnsi="Arial"/>
          <w:sz w:val="13"/>
          <w:szCs w:val="13"/>
          <w:color w:val="auto"/>
        </w:rPr>
        <w:t>Includes 55,416 shares of common stock issuable upon exercise of stock options.</w:t>
      </w:r>
    </w:p>
    <w:p>
      <w:pPr>
        <w:spacing w:after="0" w:line="181" w:lineRule="exact"/>
        <w:rPr>
          <w:rFonts w:ascii="Arial" w:cs="Arial" w:eastAsia="Arial" w:hAnsi="Arial"/>
          <w:sz w:val="13"/>
          <w:szCs w:val="13"/>
          <w:color w:val="auto"/>
        </w:rPr>
      </w:pPr>
    </w:p>
    <w:p>
      <w:pPr>
        <w:ind w:left="462" w:hanging="462"/>
        <w:spacing w:after="0"/>
        <w:tabs>
          <w:tab w:leader="none" w:pos="462" w:val="left"/>
        </w:tabs>
        <w:numPr>
          <w:ilvl w:val="0"/>
          <w:numId w:val="13"/>
        </w:numPr>
        <w:rPr>
          <w:rFonts w:ascii="Arial" w:cs="Arial" w:eastAsia="Arial" w:hAnsi="Arial"/>
          <w:sz w:val="13"/>
          <w:szCs w:val="13"/>
          <w:color w:val="auto"/>
        </w:rPr>
      </w:pPr>
      <w:r>
        <w:rPr>
          <w:rFonts w:ascii="Arial" w:cs="Arial" w:eastAsia="Arial" w:hAnsi="Arial"/>
          <w:sz w:val="13"/>
          <w:szCs w:val="13"/>
          <w:color w:val="auto"/>
        </w:rPr>
        <w:t>Includes 126,166 shares held by Mr. Bagley’s spouse with respect to which he disclaims beneficial ownership and 45,500 shares of common stock issuable upon exercise of stock options.</w:t>
      </w:r>
    </w:p>
    <w:p>
      <w:pPr>
        <w:spacing w:after="0" w:line="181" w:lineRule="exact"/>
        <w:rPr>
          <w:rFonts w:ascii="Arial" w:cs="Arial" w:eastAsia="Arial" w:hAnsi="Arial"/>
          <w:sz w:val="13"/>
          <w:szCs w:val="13"/>
          <w:color w:val="auto"/>
        </w:rPr>
      </w:pPr>
    </w:p>
    <w:p>
      <w:pPr>
        <w:jc w:val="both"/>
        <w:ind w:left="462" w:hanging="462"/>
        <w:spacing w:after="0" w:line="261" w:lineRule="auto"/>
        <w:tabs>
          <w:tab w:leader="none" w:pos="462" w:val="left"/>
        </w:tabs>
        <w:numPr>
          <w:ilvl w:val="0"/>
          <w:numId w:val="13"/>
        </w:numPr>
        <w:rPr>
          <w:rFonts w:ascii="Arial" w:cs="Arial" w:eastAsia="Arial" w:hAnsi="Arial"/>
          <w:sz w:val="13"/>
          <w:szCs w:val="13"/>
          <w:color w:val="auto"/>
        </w:rPr>
      </w:pPr>
      <w:r>
        <w:rPr>
          <w:rFonts w:ascii="Arial" w:cs="Arial" w:eastAsia="Arial" w:hAnsi="Arial"/>
          <w:sz w:val="13"/>
          <w:szCs w:val="13"/>
          <w:color w:val="auto"/>
        </w:rPr>
        <w:t>Represents 950,108 shares of our common stock beneficially owned Royce &amp; Associates in its capacity as investment advisor on behalf of its clients. Royce &amp; Associates has sole voting and dispositive power over all of such shares. The address of Royce &amp; Associates is 1414 Avenue of the Americas, New York, NY 10019. This information is based upon a Schedule 13G, as filed and amended with the SEC as of December 31, 2007.</w:t>
      </w:r>
    </w:p>
    <w:p>
      <w:pPr>
        <w:spacing w:after="0" w:line="155" w:lineRule="exact"/>
        <w:rPr>
          <w:rFonts w:ascii="Arial" w:cs="Arial" w:eastAsia="Arial" w:hAnsi="Arial"/>
          <w:sz w:val="13"/>
          <w:szCs w:val="13"/>
          <w:color w:val="auto"/>
        </w:rPr>
      </w:pPr>
    </w:p>
    <w:p>
      <w:pPr>
        <w:jc w:val="both"/>
        <w:ind w:left="462" w:hanging="462"/>
        <w:spacing w:after="0" w:line="255" w:lineRule="auto"/>
        <w:tabs>
          <w:tab w:leader="none" w:pos="462" w:val="left"/>
        </w:tabs>
        <w:numPr>
          <w:ilvl w:val="0"/>
          <w:numId w:val="13"/>
        </w:numPr>
        <w:rPr>
          <w:rFonts w:ascii="Arial" w:cs="Arial" w:eastAsia="Arial" w:hAnsi="Arial"/>
          <w:sz w:val="13"/>
          <w:szCs w:val="13"/>
          <w:color w:val="auto"/>
        </w:rPr>
      </w:pPr>
      <w:r>
        <w:rPr>
          <w:rFonts w:ascii="Arial" w:cs="Arial" w:eastAsia="Arial" w:hAnsi="Arial"/>
          <w:sz w:val="13"/>
          <w:szCs w:val="13"/>
          <w:color w:val="auto"/>
        </w:rPr>
        <w:t>Represents 940,503 shares of common stock beneficially owned by FMR Corp. Fidelity Management &amp; Research Company, a wholly owned subsidiary of FMR Corp. and a registered investment advisor beneficially owns 940,503 of such shares as a result of acting as investment advisor to various investment companies. Edward C. Johnson III and FMR Corp. each have sole power to dispose of the 940,503 shares owned by the Fidelity Funds. Neither FMR Corp., nor Edward C. Johnson III as Chairman of FMR Corp. has sole power to vote or direct the voting of the shares owned directly by the Fidelity Funds, which power resides with the funds’ board of trustees. The address of FMR Corp. is 82 Devonshire Street, Boston, Massachusetts 02109. This information is based upon a Schedule 13G, as filed and amended with the SEC as of February 14, 2007.</w:t>
      </w:r>
    </w:p>
    <w:p>
      <w:pPr>
        <w:spacing w:after="0" w:line="267" w:lineRule="exact"/>
        <w:rPr>
          <w:sz w:val="20"/>
          <w:szCs w:val="20"/>
          <w:color w:val="auto"/>
        </w:rPr>
      </w:pPr>
    </w:p>
    <w:p>
      <w:pPr>
        <w:jc w:val="center"/>
        <w:ind w:right="-1"/>
        <w:spacing w:after="0"/>
        <w:rPr>
          <w:sz w:val="20"/>
          <w:szCs w:val="20"/>
          <w:color w:val="auto"/>
        </w:rPr>
      </w:pPr>
      <w:r>
        <w:rPr>
          <w:rFonts w:ascii="Arial" w:cs="Arial" w:eastAsia="Arial" w:hAnsi="Arial"/>
          <w:sz w:val="13"/>
          <w:szCs w:val="13"/>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55880</wp:posOffset>
            </wp:positionV>
            <wp:extent cx="7291070" cy="1905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91070" cy="19050"/>
                    </a:xfrm>
                    <a:prstGeom prst="rect">
                      <a:avLst/>
                    </a:prstGeom>
                    <a:noFill/>
                  </pic:spPr>
                </pic:pic>
              </a:graphicData>
            </a:graphic>
          </wp:anchor>
        </w:drawing>
      </w:r>
    </w:p>
    <w:p>
      <w:pPr>
        <w:sectPr>
          <w:pgSz w:w="11900" w:h="16838" w:orient="portrait"/>
          <w:cols w:equalWidth="0" w:num="1">
            <w:col w:w="11462"/>
          </w:cols>
          <w:pgMar w:left="218" w:top="409" w:right="219" w:bottom="1440" w:gutter="0" w:footer="0" w:header="0"/>
        </w:sectPr>
      </w:pPr>
    </w:p>
    <w:bookmarkStart w:id="18" w:name="page19"/>
    <w:bookmarkEnd w:id="18"/>
    <w:p>
      <w:pPr>
        <w:jc w:val="center"/>
        <w:ind w:right="-1"/>
        <w:spacing w:after="0"/>
        <w:rPr>
          <w:sz w:val="20"/>
          <w:szCs w:val="20"/>
          <w:color w:val="auto"/>
        </w:rPr>
      </w:pPr>
      <w:r>
        <w:rPr>
          <w:rFonts w:ascii="Arial" w:cs="Arial" w:eastAsia="Arial" w:hAnsi="Arial"/>
          <w:sz w:val="13"/>
          <w:szCs w:val="13"/>
          <w:b w:val="1"/>
          <w:bCs w:val="1"/>
          <w:color w:val="auto"/>
        </w:rPr>
        <w:t>PERFORMANCE GRAPH</w:t>
      </w:r>
    </w:p>
    <w:p>
      <w:pPr>
        <w:spacing w:after="0" w:line="186" w:lineRule="exact"/>
        <w:rPr>
          <w:sz w:val="20"/>
          <w:szCs w:val="20"/>
          <w:color w:val="auto"/>
        </w:rPr>
      </w:pPr>
    </w:p>
    <w:p>
      <w:pPr>
        <w:jc w:val="both"/>
        <w:ind w:left="2" w:firstLine="467"/>
        <w:spacing w:after="0" w:line="257" w:lineRule="auto"/>
        <w:rPr>
          <w:sz w:val="20"/>
          <w:szCs w:val="20"/>
          <w:color w:val="auto"/>
        </w:rPr>
      </w:pPr>
      <w:r>
        <w:rPr>
          <w:rFonts w:ascii="Arial" w:cs="Arial" w:eastAsia="Arial" w:hAnsi="Arial"/>
          <w:sz w:val="13"/>
          <w:szCs w:val="13"/>
          <w:color w:val="auto"/>
        </w:rPr>
        <w:t>The following graph compares what an investor’s five-year cumulative total return (assuming reinvestment of dividends) would have been assuming $100 initial investments on June 30, 2003, for our common stock and the two indicated indices. The calculations of cumulative stockholder return for the NASDAQ Composite Index and the Morgan Stanley Technology Index include reinvestment of dividends, but the calculation of cumulative stockholder return on our common stock does not include reinvestment of dividends because we did not pay any dividends during the measurement period. The performance shown is not necessarily indicative of future performance.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1669415</wp:posOffset>
            </wp:positionH>
            <wp:positionV relativeFrom="paragraph">
              <wp:posOffset>106045</wp:posOffset>
            </wp:positionV>
            <wp:extent cx="3951605" cy="251714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3951605" cy="25171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1"/>
        <w:spacing w:after="0"/>
        <w:rPr>
          <w:sz w:val="20"/>
          <w:szCs w:val="20"/>
          <w:color w:val="auto"/>
        </w:rPr>
      </w:pPr>
      <w:r>
        <w:rPr>
          <w:rFonts w:ascii="Arial" w:cs="Arial" w:eastAsia="Arial" w:hAnsi="Arial"/>
          <w:sz w:val="13"/>
          <w:szCs w:val="13"/>
          <w:b w:val="1"/>
          <w:bCs w:val="1"/>
          <w:color w:val="auto"/>
        </w:rPr>
        <w:t>INDEPENDENT PUBLIC ACCOUNTANTS</w:t>
      </w:r>
    </w:p>
    <w:p>
      <w:pPr>
        <w:spacing w:after="0" w:line="186" w:lineRule="exact"/>
        <w:rPr>
          <w:sz w:val="20"/>
          <w:szCs w:val="20"/>
          <w:color w:val="auto"/>
        </w:rPr>
      </w:pPr>
    </w:p>
    <w:p>
      <w:pPr>
        <w:jc w:val="both"/>
        <w:ind w:left="2" w:firstLine="467"/>
        <w:spacing w:after="0" w:line="261" w:lineRule="auto"/>
        <w:rPr>
          <w:sz w:val="20"/>
          <w:szCs w:val="20"/>
          <w:color w:val="auto"/>
        </w:rPr>
      </w:pPr>
      <w:r>
        <w:rPr>
          <w:rFonts w:ascii="Arial" w:cs="Arial" w:eastAsia="Arial" w:hAnsi="Arial"/>
          <w:sz w:val="13"/>
          <w:szCs w:val="13"/>
          <w:color w:val="auto"/>
        </w:rPr>
        <w:t>We have retained Jones Simkins, P.C. as our auditor and independent certified public accountants for the two years ended June 30, 2007 and 2008. The selection of our auditors for the current fiscal year is not being submitted to the shareholders for their consideration. The selection of the independent auditors for 2009 will be made by the Audit Committee of the Board of Directors, at such time as they may deem it appropriate.</w:t>
      </w:r>
    </w:p>
    <w:p>
      <w:pPr>
        <w:spacing w:after="0" w:line="155" w:lineRule="exact"/>
        <w:rPr>
          <w:sz w:val="20"/>
          <w:szCs w:val="20"/>
          <w:color w:val="auto"/>
        </w:rPr>
      </w:pPr>
    </w:p>
    <w:p>
      <w:pPr>
        <w:jc w:val="both"/>
        <w:ind w:left="2" w:firstLine="467"/>
        <w:spacing w:after="0" w:line="272" w:lineRule="auto"/>
        <w:rPr>
          <w:sz w:val="20"/>
          <w:szCs w:val="20"/>
          <w:color w:val="auto"/>
        </w:rPr>
      </w:pPr>
      <w:r>
        <w:rPr>
          <w:rFonts w:ascii="Arial" w:cs="Arial" w:eastAsia="Arial" w:hAnsi="Arial"/>
          <w:sz w:val="13"/>
          <w:szCs w:val="13"/>
          <w:color w:val="auto"/>
        </w:rPr>
        <w:t>It is anticipated that a representative of Jones Simkins, P.C. will attend the meeting and will be available to respond to questions. It is not anticipated that the representative will make any statement or presentation, although the representative will have an opportunity to do so if he desires.</w:t>
      </w:r>
    </w:p>
    <w:p>
      <w:pPr>
        <w:spacing w:after="0" w:line="148" w:lineRule="exact"/>
        <w:rPr>
          <w:sz w:val="20"/>
          <w:szCs w:val="20"/>
          <w:color w:val="auto"/>
        </w:rPr>
      </w:pPr>
    </w:p>
    <w:p>
      <w:pPr>
        <w:ind w:left="462"/>
        <w:spacing w:after="0"/>
        <w:rPr>
          <w:sz w:val="20"/>
          <w:szCs w:val="20"/>
          <w:color w:val="auto"/>
        </w:rPr>
      </w:pPr>
      <w:r>
        <w:rPr>
          <w:rFonts w:ascii="Arial" w:cs="Arial" w:eastAsia="Arial" w:hAnsi="Arial"/>
          <w:sz w:val="13"/>
          <w:szCs w:val="13"/>
          <w:color w:val="auto"/>
        </w:rPr>
        <w:t>The following table presents aggregate fees billed to our company for the years ended June 30, 2008 and June 30, 2007.</w:t>
      </w:r>
    </w:p>
    <w:p>
      <w:pPr>
        <w:spacing w:after="0" w:line="182" w:lineRule="exact"/>
        <w:rPr>
          <w:sz w:val="20"/>
          <w:szCs w:val="20"/>
          <w:color w:val="auto"/>
        </w:rPr>
      </w:pPr>
    </w:p>
    <w:tbl>
      <w:tblPr>
        <w:tblLayout w:type="fixed"/>
        <w:tblInd w:w="1722" w:type="dxa"/>
        <w:tblCellMar>
          <w:top w:w="0" w:type="dxa"/>
          <w:left w:w="0" w:type="dxa"/>
          <w:bottom w:w="0" w:type="dxa"/>
          <w:right w:w="0" w:type="dxa"/>
        </w:tblCellMar>
      </w:tblPr>
      <w:tr>
        <w:trPr>
          <w:trHeight w:val="164"/>
        </w:trPr>
        <w:tc>
          <w:tcPr>
            <w:tcW w:w="3280" w:type="dxa"/>
            <w:vAlign w:val="bottom"/>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tcPr>
          <w:p>
            <w:pPr>
              <w:jc w:val="right"/>
              <w:ind w:right="995"/>
              <w:spacing w:after="0"/>
              <w:rPr>
                <w:sz w:val="20"/>
                <w:szCs w:val="20"/>
                <w:color w:val="auto"/>
              </w:rPr>
            </w:pPr>
            <w:r>
              <w:rPr>
                <w:rFonts w:ascii="Arial" w:cs="Arial" w:eastAsia="Arial" w:hAnsi="Arial"/>
                <w:sz w:val="13"/>
                <w:szCs w:val="13"/>
                <w:color w:val="auto"/>
              </w:rPr>
              <w:t>2008</w:t>
            </w:r>
          </w:p>
        </w:tc>
        <w:tc>
          <w:tcPr>
            <w:tcW w:w="102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tcPr>
          <w:p>
            <w:pPr>
              <w:jc w:val="right"/>
              <w:ind w:right="995"/>
              <w:spacing w:after="0"/>
              <w:rPr>
                <w:sz w:val="20"/>
                <w:szCs w:val="20"/>
                <w:color w:val="auto"/>
              </w:rPr>
            </w:pPr>
            <w:r>
              <w:rPr>
                <w:rFonts w:ascii="Arial" w:cs="Arial" w:eastAsia="Arial" w:hAnsi="Arial"/>
                <w:sz w:val="13"/>
                <w:szCs w:val="13"/>
                <w:color w:val="auto"/>
                <w:w w:val="89"/>
              </w:rPr>
              <w:t>2007</w:t>
            </w:r>
          </w:p>
        </w:tc>
      </w:tr>
      <w:tr>
        <w:trPr>
          <w:trHeight w:val="147"/>
        </w:trPr>
        <w:tc>
          <w:tcPr>
            <w:tcW w:w="3280" w:type="dxa"/>
            <w:vAlign w:val="bottom"/>
          </w:tcPr>
          <w:p>
            <w:pPr>
              <w:spacing w:after="0" w:line="148" w:lineRule="exact"/>
              <w:rPr>
                <w:sz w:val="20"/>
                <w:szCs w:val="20"/>
                <w:color w:val="auto"/>
              </w:rPr>
            </w:pPr>
            <w:r>
              <w:rPr>
                <w:rFonts w:ascii="Arial" w:cs="Arial" w:eastAsia="Arial" w:hAnsi="Arial"/>
                <w:sz w:val="13"/>
                <w:szCs w:val="13"/>
                <w:color w:val="auto"/>
              </w:rPr>
              <w:t>Audit Fees (1)</w:t>
            </w:r>
          </w:p>
        </w:tc>
        <w:tc>
          <w:tcPr>
            <w:tcW w:w="1000" w:type="dxa"/>
            <w:vAlign w:val="bottom"/>
          </w:tcPr>
          <w:p>
            <w:pPr>
              <w:jc w:val="right"/>
              <w:spacing w:after="0" w:line="148" w:lineRule="exact"/>
              <w:rPr>
                <w:sz w:val="20"/>
                <w:szCs w:val="20"/>
                <w:color w:val="auto"/>
              </w:rPr>
            </w:pPr>
            <w:r>
              <w:rPr>
                <w:rFonts w:ascii="Arial" w:cs="Arial" w:eastAsia="Arial" w:hAnsi="Arial"/>
                <w:sz w:val="13"/>
                <w:szCs w:val="13"/>
                <w:color w:val="auto"/>
              </w:rPr>
              <w:t>$</w:t>
            </w:r>
          </w:p>
        </w:tc>
        <w:tc>
          <w:tcPr>
            <w:tcW w:w="1380" w:type="dxa"/>
            <w:vAlign w:val="bottom"/>
          </w:tcPr>
          <w:p>
            <w:pPr>
              <w:jc w:val="right"/>
              <w:ind w:right="855"/>
              <w:spacing w:after="0" w:line="148" w:lineRule="exact"/>
              <w:rPr>
                <w:sz w:val="20"/>
                <w:szCs w:val="20"/>
                <w:color w:val="auto"/>
              </w:rPr>
            </w:pPr>
            <w:r>
              <w:rPr>
                <w:rFonts w:ascii="Arial" w:cs="Arial" w:eastAsia="Arial" w:hAnsi="Arial"/>
                <w:sz w:val="13"/>
                <w:szCs w:val="13"/>
                <w:color w:val="auto"/>
              </w:rPr>
              <w:t>83,579</w:t>
            </w:r>
          </w:p>
        </w:tc>
        <w:tc>
          <w:tcPr>
            <w:tcW w:w="1020" w:type="dxa"/>
            <w:vAlign w:val="bottom"/>
          </w:tcPr>
          <w:p>
            <w:pPr>
              <w:jc w:val="right"/>
              <w:spacing w:after="0" w:line="148" w:lineRule="exact"/>
              <w:rPr>
                <w:sz w:val="20"/>
                <w:szCs w:val="20"/>
                <w:color w:val="auto"/>
              </w:rPr>
            </w:pPr>
            <w:r>
              <w:rPr>
                <w:rFonts w:ascii="Arial" w:cs="Arial" w:eastAsia="Arial" w:hAnsi="Arial"/>
                <w:sz w:val="13"/>
                <w:szCs w:val="13"/>
                <w:color w:val="auto"/>
              </w:rPr>
              <w:t>$</w:t>
            </w:r>
          </w:p>
        </w:tc>
        <w:tc>
          <w:tcPr>
            <w:tcW w:w="1340" w:type="dxa"/>
            <w:vAlign w:val="bottom"/>
          </w:tcPr>
          <w:p>
            <w:pPr>
              <w:jc w:val="right"/>
              <w:ind w:right="835"/>
              <w:spacing w:after="0" w:line="148" w:lineRule="exact"/>
              <w:rPr>
                <w:sz w:val="20"/>
                <w:szCs w:val="20"/>
                <w:color w:val="auto"/>
              </w:rPr>
            </w:pPr>
            <w:r>
              <w:rPr>
                <w:rFonts w:ascii="Arial" w:cs="Arial" w:eastAsia="Arial" w:hAnsi="Arial"/>
                <w:sz w:val="13"/>
                <w:szCs w:val="13"/>
                <w:color w:val="auto"/>
              </w:rPr>
              <w:t>76,317</w:t>
            </w:r>
          </w:p>
        </w:tc>
      </w:tr>
      <w:tr>
        <w:trPr>
          <w:trHeight w:val="156"/>
        </w:trPr>
        <w:tc>
          <w:tcPr>
            <w:tcW w:w="3280" w:type="dxa"/>
            <w:vAlign w:val="bottom"/>
          </w:tcPr>
          <w:p>
            <w:pPr>
              <w:spacing w:after="0"/>
              <w:rPr>
                <w:sz w:val="20"/>
                <w:szCs w:val="20"/>
                <w:color w:val="auto"/>
              </w:rPr>
            </w:pPr>
            <w:r>
              <w:rPr>
                <w:rFonts w:ascii="Arial" w:cs="Arial" w:eastAsia="Arial" w:hAnsi="Arial"/>
                <w:sz w:val="13"/>
                <w:szCs w:val="13"/>
                <w:color w:val="auto"/>
              </w:rPr>
              <w:t>Audit Related Fees</w:t>
            </w:r>
          </w:p>
        </w:tc>
        <w:tc>
          <w:tcPr>
            <w:tcW w:w="1000" w:type="dxa"/>
            <w:vAlign w:val="bottom"/>
          </w:tcPr>
          <w:p>
            <w:pPr>
              <w:jc w:val="right"/>
              <w:spacing w:after="0"/>
              <w:rPr>
                <w:sz w:val="20"/>
                <w:szCs w:val="20"/>
                <w:color w:val="auto"/>
              </w:rPr>
            </w:pPr>
            <w:r>
              <w:rPr>
                <w:rFonts w:ascii="Arial" w:cs="Arial" w:eastAsia="Arial" w:hAnsi="Arial"/>
                <w:sz w:val="13"/>
                <w:szCs w:val="13"/>
                <w:color w:val="auto"/>
              </w:rPr>
              <w:t>$</w:t>
            </w:r>
          </w:p>
        </w:tc>
        <w:tc>
          <w:tcPr>
            <w:tcW w:w="1380" w:type="dxa"/>
            <w:vAlign w:val="bottom"/>
          </w:tcPr>
          <w:p>
            <w:pPr>
              <w:jc w:val="right"/>
              <w:ind w:right="855"/>
              <w:spacing w:after="0"/>
              <w:rPr>
                <w:sz w:val="20"/>
                <w:szCs w:val="20"/>
                <w:color w:val="auto"/>
              </w:rPr>
            </w:pPr>
            <w:r>
              <w:rPr>
                <w:rFonts w:ascii="Arial" w:cs="Arial" w:eastAsia="Arial" w:hAnsi="Arial"/>
                <w:sz w:val="13"/>
                <w:szCs w:val="13"/>
                <w:color w:val="auto"/>
              </w:rPr>
              <w:t>-</w:t>
            </w:r>
          </w:p>
        </w:tc>
        <w:tc>
          <w:tcPr>
            <w:tcW w:w="1020" w:type="dxa"/>
            <w:vAlign w:val="bottom"/>
          </w:tcPr>
          <w:p>
            <w:pPr>
              <w:jc w:val="right"/>
              <w:spacing w:after="0"/>
              <w:rPr>
                <w:sz w:val="20"/>
                <w:szCs w:val="20"/>
                <w:color w:val="auto"/>
              </w:rPr>
            </w:pPr>
            <w:r>
              <w:rPr>
                <w:rFonts w:ascii="Arial" w:cs="Arial" w:eastAsia="Arial" w:hAnsi="Arial"/>
                <w:sz w:val="13"/>
                <w:szCs w:val="13"/>
                <w:color w:val="auto"/>
              </w:rPr>
              <w:t>$</w:t>
            </w:r>
          </w:p>
        </w:tc>
        <w:tc>
          <w:tcPr>
            <w:tcW w:w="1340" w:type="dxa"/>
            <w:vAlign w:val="bottom"/>
          </w:tcPr>
          <w:p>
            <w:pPr>
              <w:jc w:val="right"/>
              <w:ind w:right="855"/>
              <w:spacing w:after="0"/>
              <w:rPr>
                <w:sz w:val="20"/>
                <w:szCs w:val="20"/>
                <w:color w:val="auto"/>
              </w:rPr>
            </w:pPr>
            <w:r>
              <w:rPr>
                <w:rFonts w:ascii="Arial" w:cs="Arial" w:eastAsia="Arial" w:hAnsi="Arial"/>
                <w:sz w:val="13"/>
                <w:szCs w:val="13"/>
                <w:color w:val="auto"/>
              </w:rPr>
              <w:t>-</w:t>
            </w:r>
          </w:p>
        </w:tc>
      </w:tr>
      <w:tr>
        <w:trPr>
          <w:trHeight w:val="156"/>
        </w:trPr>
        <w:tc>
          <w:tcPr>
            <w:tcW w:w="3280" w:type="dxa"/>
            <w:vAlign w:val="bottom"/>
          </w:tcPr>
          <w:p>
            <w:pPr>
              <w:spacing w:after="0"/>
              <w:rPr>
                <w:sz w:val="20"/>
                <w:szCs w:val="20"/>
                <w:color w:val="auto"/>
              </w:rPr>
            </w:pPr>
            <w:r>
              <w:rPr>
                <w:rFonts w:ascii="Arial" w:cs="Arial" w:eastAsia="Arial" w:hAnsi="Arial"/>
                <w:sz w:val="13"/>
                <w:szCs w:val="13"/>
                <w:color w:val="auto"/>
              </w:rPr>
              <w:t>Tax Fees (2)</w:t>
            </w:r>
          </w:p>
        </w:tc>
        <w:tc>
          <w:tcPr>
            <w:tcW w:w="1000" w:type="dxa"/>
            <w:vAlign w:val="bottom"/>
          </w:tcPr>
          <w:p>
            <w:pPr>
              <w:jc w:val="right"/>
              <w:spacing w:after="0"/>
              <w:rPr>
                <w:sz w:val="20"/>
                <w:szCs w:val="20"/>
                <w:color w:val="auto"/>
              </w:rPr>
            </w:pPr>
            <w:r>
              <w:rPr>
                <w:rFonts w:ascii="Arial" w:cs="Arial" w:eastAsia="Arial" w:hAnsi="Arial"/>
                <w:sz w:val="13"/>
                <w:szCs w:val="13"/>
                <w:color w:val="auto"/>
              </w:rPr>
              <w:t>$</w:t>
            </w:r>
          </w:p>
        </w:tc>
        <w:tc>
          <w:tcPr>
            <w:tcW w:w="1380" w:type="dxa"/>
            <w:vAlign w:val="bottom"/>
          </w:tcPr>
          <w:p>
            <w:pPr>
              <w:jc w:val="right"/>
              <w:ind w:right="855"/>
              <w:spacing w:after="0"/>
              <w:rPr>
                <w:sz w:val="20"/>
                <w:szCs w:val="20"/>
                <w:color w:val="auto"/>
              </w:rPr>
            </w:pPr>
            <w:r>
              <w:rPr>
                <w:rFonts w:ascii="Arial" w:cs="Arial" w:eastAsia="Arial" w:hAnsi="Arial"/>
                <w:sz w:val="13"/>
                <w:szCs w:val="13"/>
                <w:color w:val="auto"/>
              </w:rPr>
              <w:t>66,823</w:t>
            </w:r>
          </w:p>
        </w:tc>
        <w:tc>
          <w:tcPr>
            <w:tcW w:w="1020" w:type="dxa"/>
            <w:vAlign w:val="bottom"/>
          </w:tcPr>
          <w:p>
            <w:pPr>
              <w:jc w:val="right"/>
              <w:spacing w:after="0"/>
              <w:rPr>
                <w:sz w:val="20"/>
                <w:szCs w:val="20"/>
                <w:color w:val="auto"/>
              </w:rPr>
            </w:pPr>
            <w:r>
              <w:rPr>
                <w:rFonts w:ascii="Arial" w:cs="Arial" w:eastAsia="Arial" w:hAnsi="Arial"/>
                <w:sz w:val="13"/>
                <w:szCs w:val="13"/>
                <w:color w:val="auto"/>
              </w:rPr>
              <w:t>$</w:t>
            </w:r>
          </w:p>
        </w:tc>
        <w:tc>
          <w:tcPr>
            <w:tcW w:w="1340" w:type="dxa"/>
            <w:vAlign w:val="bottom"/>
          </w:tcPr>
          <w:p>
            <w:pPr>
              <w:jc w:val="right"/>
              <w:ind w:right="835"/>
              <w:spacing w:after="0"/>
              <w:rPr>
                <w:sz w:val="20"/>
                <w:szCs w:val="20"/>
                <w:color w:val="auto"/>
              </w:rPr>
            </w:pPr>
            <w:r>
              <w:rPr>
                <w:rFonts w:ascii="Arial" w:cs="Arial" w:eastAsia="Arial" w:hAnsi="Arial"/>
                <w:sz w:val="13"/>
                <w:szCs w:val="13"/>
                <w:color w:val="auto"/>
              </w:rPr>
              <w:t>2,533</w:t>
            </w:r>
          </w:p>
        </w:tc>
      </w:tr>
      <w:tr>
        <w:trPr>
          <w:trHeight w:val="156"/>
        </w:trPr>
        <w:tc>
          <w:tcPr>
            <w:tcW w:w="3280" w:type="dxa"/>
            <w:vAlign w:val="bottom"/>
          </w:tcPr>
          <w:p>
            <w:pPr>
              <w:spacing w:after="0"/>
              <w:rPr>
                <w:sz w:val="20"/>
                <w:szCs w:val="20"/>
                <w:color w:val="auto"/>
              </w:rPr>
            </w:pPr>
            <w:r>
              <w:rPr>
                <w:rFonts w:ascii="Arial" w:cs="Arial" w:eastAsia="Arial" w:hAnsi="Arial"/>
                <w:sz w:val="13"/>
                <w:szCs w:val="13"/>
                <w:color w:val="auto"/>
              </w:rPr>
              <w:t>All Other Fees (3)</w:t>
            </w:r>
          </w:p>
        </w:tc>
        <w:tc>
          <w:tcPr>
            <w:tcW w:w="1000" w:type="dxa"/>
            <w:vAlign w:val="bottom"/>
          </w:tcPr>
          <w:p>
            <w:pPr>
              <w:jc w:val="right"/>
              <w:spacing w:after="0"/>
              <w:rPr>
                <w:sz w:val="20"/>
                <w:szCs w:val="20"/>
                <w:color w:val="auto"/>
              </w:rPr>
            </w:pPr>
            <w:r>
              <w:rPr>
                <w:rFonts w:ascii="Arial" w:cs="Arial" w:eastAsia="Arial" w:hAnsi="Arial"/>
                <w:sz w:val="13"/>
                <w:szCs w:val="13"/>
                <w:color w:val="auto"/>
              </w:rPr>
              <w:t>$</w:t>
            </w:r>
          </w:p>
        </w:tc>
        <w:tc>
          <w:tcPr>
            <w:tcW w:w="1380" w:type="dxa"/>
            <w:vAlign w:val="bottom"/>
          </w:tcPr>
          <w:p>
            <w:pPr>
              <w:jc w:val="right"/>
              <w:ind w:right="855"/>
              <w:spacing w:after="0"/>
              <w:rPr>
                <w:sz w:val="20"/>
                <w:szCs w:val="20"/>
                <w:color w:val="auto"/>
              </w:rPr>
            </w:pPr>
            <w:r>
              <w:rPr>
                <w:rFonts w:ascii="Arial" w:cs="Arial" w:eastAsia="Arial" w:hAnsi="Arial"/>
                <w:sz w:val="13"/>
                <w:szCs w:val="13"/>
                <w:color w:val="auto"/>
              </w:rPr>
              <w:t>54,058</w:t>
            </w:r>
          </w:p>
        </w:tc>
        <w:tc>
          <w:tcPr>
            <w:tcW w:w="1020" w:type="dxa"/>
            <w:vAlign w:val="bottom"/>
          </w:tcPr>
          <w:p>
            <w:pPr>
              <w:jc w:val="right"/>
              <w:spacing w:after="0"/>
              <w:rPr>
                <w:sz w:val="20"/>
                <w:szCs w:val="20"/>
                <w:color w:val="auto"/>
              </w:rPr>
            </w:pPr>
            <w:r>
              <w:rPr>
                <w:rFonts w:ascii="Arial" w:cs="Arial" w:eastAsia="Arial" w:hAnsi="Arial"/>
                <w:sz w:val="13"/>
                <w:szCs w:val="13"/>
                <w:color w:val="auto"/>
              </w:rPr>
              <w:t>$</w:t>
            </w:r>
          </w:p>
        </w:tc>
        <w:tc>
          <w:tcPr>
            <w:tcW w:w="1340" w:type="dxa"/>
            <w:vAlign w:val="bottom"/>
          </w:tcPr>
          <w:p>
            <w:pPr>
              <w:jc w:val="right"/>
              <w:ind w:right="835"/>
              <w:spacing w:after="0"/>
              <w:rPr>
                <w:sz w:val="20"/>
                <w:szCs w:val="20"/>
                <w:color w:val="auto"/>
              </w:rPr>
            </w:pPr>
            <w:r>
              <w:rPr>
                <w:rFonts w:ascii="Arial" w:cs="Arial" w:eastAsia="Arial" w:hAnsi="Arial"/>
                <w:sz w:val="13"/>
                <w:szCs w:val="13"/>
                <w:color w:val="auto"/>
              </w:rPr>
              <w:t>-</w:t>
            </w:r>
          </w:p>
        </w:tc>
      </w:tr>
      <w:tr>
        <w:trPr>
          <w:trHeight w:val="164"/>
        </w:trPr>
        <w:tc>
          <w:tcPr>
            <w:tcW w:w="3280" w:type="dxa"/>
            <w:vAlign w:val="bottom"/>
          </w:tcPr>
          <w:p>
            <w:pPr>
              <w:spacing w:after="0"/>
              <w:rPr>
                <w:sz w:val="20"/>
                <w:szCs w:val="20"/>
                <w:color w:val="auto"/>
              </w:rPr>
            </w:pPr>
            <w:r>
              <w:rPr>
                <w:rFonts w:ascii="Arial" w:cs="Arial" w:eastAsia="Arial" w:hAnsi="Arial"/>
                <w:sz w:val="13"/>
                <w:szCs w:val="13"/>
                <w:color w:val="auto"/>
              </w:rPr>
              <w:t>Total</w:t>
            </w:r>
          </w:p>
        </w:tc>
        <w:tc>
          <w:tcPr>
            <w:tcW w:w="1000" w:type="dxa"/>
            <w:vAlign w:val="bottom"/>
          </w:tcPr>
          <w:p>
            <w:pPr>
              <w:jc w:val="right"/>
              <w:spacing w:after="0"/>
              <w:rPr>
                <w:sz w:val="20"/>
                <w:szCs w:val="20"/>
                <w:color w:val="auto"/>
              </w:rPr>
            </w:pPr>
            <w:r>
              <w:rPr>
                <w:rFonts w:ascii="Arial" w:cs="Arial" w:eastAsia="Arial" w:hAnsi="Arial"/>
                <w:sz w:val="13"/>
                <w:szCs w:val="13"/>
                <w:color w:val="auto"/>
              </w:rPr>
              <w:t>$</w:t>
            </w:r>
          </w:p>
        </w:tc>
        <w:tc>
          <w:tcPr>
            <w:tcW w:w="1380" w:type="dxa"/>
            <w:vAlign w:val="bottom"/>
          </w:tcPr>
          <w:p>
            <w:pPr>
              <w:jc w:val="right"/>
              <w:ind w:right="855"/>
              <w:spacing w:after="0"/>
              <w:rPr>
                <w:sz w:val="20"/>
                <w:szCs w:val="20"/>
                <w:color w:val="auto"/>
              </w:rPr>
            </w:pPr>
            <w:r>
              <w:rPr>
                <w:rFonts w:ascii="Arial" w:cs="Arial" w:eastAsia="Arial" w:hAnsi="Arial"/>
                <w:sz w:val="13"/>
                <w:szCs w:val="13"/>
                <w:color w:val="auto"/>
                <w:w w:val="93"/>
              </w:rPr>
              <w:t>204,462</w:t>
            </w:r>
          </w:p>
        </w:tc>
        <w:tc>
          <w:tcPr>
            <w:tcW w:w="1020" w:type="dxa"/>
            <w:vAlign w:val="bottom"/>
          </w:tcPr>
          <w:p>
            <w:pPr>
              <w:jc w:val="right"/>
              <w:spacing w:after="0"/>
              <w:rPr>
                <w:sz w:val="20"/>
                <w:szCs w:val="20"/>
                <w:color w:val="auto"/>
              </w:rPr>
            </w:pPr>
            <w:r>
              <w:rPr>
                <w:rFonts w:ascii="Arial" w:cs="Arial" w:eastAsia="Arial" w:hAnsi="Arial"/>
                <w:sz w:val="13"/>
                <w:szCs w:val="13"/>
                <w:color w:val="auto"/>
              </w:rPr>
              <w:t>$</w:t>
            </w:r>
          </w:p>
        </w:tc>
        <w:tc>
          <w:tcPr>
            <w:tcW w:w="1340" w:type="dxa"/>
            <w:vAlign w:val="bottom"/>
          </w:tcPr>
          <w:p>
            <w:pPr>
              <w:jc w:val="right"/>
              <w:ind w:right="835"/>
              <w:spacing w:after="0"/>
              <w:rPr>
                <w:sz w:val="20"/>
                <w:szCs w:val="20"/>
                <w:color w:val="auto"/>
              </w:rPr>
            </w:pPr>
            <w:r>
              <w:rPr>
                <w:rFonts w:ascii="Arial" w:cs="Arial" w:eastAsia="Arial" w:hAnsi="Arial"/>
                <w:sz w:val="13"/>
                <w:szCs w:val="13"/>
                <w:color w:val="auto"/>
              </w:rPr>
              <w:t>78,850</w:t>
            </w:r>
          </w:p>
        </w:tc>
      </w:tr>
    </w:tbl>
    <w:p>
      <w:pPr>
        <w:spacing w:after="0" w:line="167" w:lineRule="exact"/>
        <w:rPr>
          <w:sz w:val="20"/>
          <w:szCs w:val="20"/>
          <w:color w:val="auto"/>
        </w:rPr>
      </w:pPr>
    </w:p>
    <w:p>
      <w:pPr>
        <w:ind w:left="462" w:hanging="462"/>
        <w:spacing w:after="0"/>
        <w:tabs>
          <w:tab w:leader="none" w:pos="462" w:val="left"/>
        </w:tabs>
        <w:numPr>
          <w:ilvl w:val="0"/>
          <w:numId w:val="14"/>
        </w:numPr>
        <w:rPr>
          <w:rFonts w:ascii="Arial" w:cs="Arial" w:eastAsia="Arial" w:hAnsi="Arial"/>
          <w:sz w:val="13"/>
          <w:szCs w:val="13"/>
          <w:color w:val="auto"/>
        </w:rPr>
      </w:pPr>
      <w:r>
        <w:rPr>
          <w:rFonts w:ascii="Arial" w:cs="Arial" w:eastAsia="Arial" w:hAnsi="Arial"/>
          <w:sz w:val="13"/>
          <w:szCs w:val="13"/>
          <w:color w:val="auto"/>
        </w:rPr>
        <w:t>Represents fees billed for professional services rendered for the audit and reviews of our financial statements filed with the SEC on Forms 10-K and 10-Q.</w:t>
      </w:r>
    </w:p>
    <w:p>
      <w:pPr>
        <w:spacing w:after="0" w:line="181" w:lineRule="exact"/>
        <w:rPr>
          <w:rFonts w:ascii="Arial" w:cs="Arial" w:eastAsia="Arial" w:hAnsi="Arial"/>
          <w:sz w:val="13"/>
          <w:szCs w:val="13"/>
          <w:color w:val="auto"/>
        </w:rPr>
      </w:pPr>
    </w:p>
    <w:p>
      <w:pPr>
        <w:ind w:left="462" w:hanging="462"/>
        <w:spacing w:after="0"/>
        <w:tabs>
          <w:tab w:leader="none" w:pos="462" w:val="left"/>
        </w:tabs>
        <w:numPr>
          <w:ilvl w:val="0"/>
          <w:numId w:val="14"/>
        </w:numPr>
        <w:rPr>
          <w:rFonts w:ascii="Arial" w:cs="Arial" w:eastAsia="Arial" w:hAnsi="Arial"/>
          <w:sz w:val="13"/>
          <w:szCs w:val="13"/>
          <w:color w:val="auto"/>
        </w:rPr>
      </w:pPr>
      <w:r>
        <w:rPr>
          <w:rFonts w:ascii="Arial" w:cs="Arial" w:eastAsia="Arial" w:hAnsi="Arial"/>
          <w:sz w:val="13"/>
          <w:szCs w:val="13"/>
          <w:color w:val="auto"/>
        </w:rPr>
        <w:t>Represents fees billed for tax filing, preparation, and tax advisory services.</w:t>
      </w:r>
    </w:p>
    <w:p>
      <w:pPr>
        <w:spacing w:after="0" w:line="181" w:lineRule="exact"/>
        <w:rPr>
          <w:rFonts w:ascii="Arial" w:cs="Arial" w:eastAsia="Arial" w:hAnsi="Arial"/>
          <w:sz w:val="13"/>
          <w:szCs w:val="13"/>
          <w:color w:val="auto"/>
        </w:rPr>
      </w:pPr>
    </w:p>
    <w:p>
      <w:pPr>
        <w:ind w:left="462" w:hanging="462"/>
        <w:spacing w:after="0"/>
        <w:tabs>
          <w:tab w:leader="none" w:pos="462" w:val="left"/>
        </w:tabs>
        <w:numPr>
          <w:ilvl w:val="0"/>
          <w:numId w:val="14"/>
        </w:numPr>
        <w:rPr>
          <w:rFonts w:ascii="Arial" w:cs="Arial" w:eastAsia="Arial" w:hAnsi="Arial"/>
          <w:sz w:val="13"/>
          <w:szCs w:val="13"/>
          <w:color w:val="auto"/>
        </w:rPr>
      </w:pPr>
      <w:r>
        <w:rPr>
          <w:rFonts w:ascii="Arial" w:cs="Arial" w:eastAsia="Arial" w:hAnsi="Arial"/>
          <w:sz w:val="13"/>
          <w:szCs w:val="13"/>
          <w:color w:val="auto"/>
        </w:rPr>
        <w:t>Represents fees billed for all other non-audit services, such as consulting on potential acquisitions or dispositions.</w:t>
      </w:r>
    </w:p>
    <w:p>
      <w:pPr>
        <w:spacing w:after="0" w:line="178" w:lineRule="exact"/>
        <w:rPr>
          <w:sz w:val="20"/>
          <w:szCs w:val="20"/>
          <w:color w:val="auto"/>
        </w:rPr>
      </w:pPr>
    </w:p>
    <w:p>
      <w:pPr>
        <w:ind w:left="2"/>
        <w:spacing w:after="0"/>
        <w:rPr>
          <w:sz w:val="20"/>
          <w:szCs w:val="20"/>
          <w:color w:val="auto"/>
        </w:rPr>
      </w:pPr>
      <w:r>
        <w:rPr>
          <w:rFonts w:ascii="Arial" w:cs="Arial" w:eastAsia="Arial" w:hAnsi="Arial"/>
          <w:sz w:val="13"/>
          <w:szCs w:val="13"/>
          <w:b w:val="1"/>
          <w:bCs w:val="1"/>
          <w:color w:val="auto"/>
        </w:rPr>
        <w:t>Pre-Approval Policies and Procedures</w:t>
      </w:r>
    </w:p>
    <w:p>
      <w:pPr>
        <w:spacing w:after="0" w:line="186" w:lineRule="exact"/>
        <w:rPr>
          <w:sz w:val="20"/>
          <w:szCs w:val="20"/>
          <w:color w:val="auto"/>
        </w:rPr>
      </w:pPr>
    </w:p>
    <w:p>
      <w:pPr>
        <w:jc w:val="both"/>
        <w:ind w:left="2" w:firstLine="467"/>
        <w:spacing w:after="0" w:line="282" w:lineRule="auto"/>
        <w:rPr>
          <w:sz w:val="20"/>
          <w:szCs w:val="20"/>
          <w:color w:val="auto"/>
        </w:rPr>
      </w:pPr>
      <w:r>
        <w:rPr>
          <w:rFonts w:ascii="Arial" w:cs="Arial" w:eastAsia="Arial" w:hAnsi="Arial"/>
          <w:sz w:val="12"/>
          <w:szCs w:val="12"/>
          <w:color w:val="auto"/>
        </w:rPr>
        <w:t>The Audit Committee ensures that we engage our independent registered public accounting firm to provide only audit and non-audit services that are compatible with maintaining the independence of our public accountants. The Audit Committee approves or pre-approves all services provided by our public accountants. Permitted services include audit and audit-related services, tax and other non-audit related services. Certain services are identified as restricted. Restricted services are those services that may not be provided by our external public accountants, whether identified in statute or determined to be incompatible with the role of an independent auditor. All fees identified in the preceding table were approved by the Audit Committee. During 2008, the Audit Committee reviewed all non-audit services provided by our independent registered public accounting firm, and concluded that the provision of such non-audit services was compatible with maintaining the independence of the external public accountants.</w:t>
      </w:r>
    </w:p>
    <w:p>
      <w:pPr>
        <w:spacing w:after="0" w:line="144" w:lineRule="exact"/>
        <w:rPr>
          <w:sz w:val="20"/>
          <w:szCs w:val="20"/>
          <w:color w:val="auto"/>
        </w:rPr>
      </w:pPr>
    </w:p>
    <w:p>
      <w:pPr>
        <w:jc w:val="center"/>
        <w:ind w:right="-1"/>
        <w:spacing w:after="0"/>
        <w:rPr>
          <w:sz w:val="20"/>
          <w:szCs w:val="20"/>
          <w:color w:val="auto"/>
        </w:rPr>
      </w:pPr>
      <w:r>
        <w:rPr>
          <w:rFonts w:ascii="Arial" w:cs="Arial" w:eastAsia="Arial" w:hAnsi="Arial"/>
          <w:sz w:val="13"/>
          <w:szCs w:val="13"/>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55880</wp:posOffset>
            </wp:positionV>
            <wp:extent cx="7291070" cy="1905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91070" cy="19050"/>
                    </a:xfrm>
                    <a:prstGeom prst="rect">
                      <a:avLst/>
                    </a:prstGeom>
                    <a:noFill/>
                  </pic:spPr>
                </pic:pic>
              </a:graphicData>
            </a:graphic>
          </wp:anchor>
        </w:drawing>
      </w:r>
    </w:p>
    <w:p>
      <w:pPr>
        <w:sectPr>
          <w:pgSz w:w="11900" w:h="16838" w:orient="portrait"/>
          <w:cols w:equalWidth="0" w:num="1">
            <w:col w:w="11462"/>
          </w:cols>
          <w:pgMar w:left="218" w:top="409" w:right="219" w:bottom="1440" w:gutter="0" w:footer="0" w:header="0"/>
        </w:sectPr>
      </w:pPr>
    </w:p>
    <w:bookmarkStart w:id="19" w:name="page20"/>
    <w:bookmarkEnd w:id="19"/>
    <w:p>
      <w:pPr>
        <w:jc w:val="center"/>
        <w:spacing w:after="0"/>
        <w:rPr>
          <w:sz w:val="20"/>
          <w:szCs w:val="20"/>
          <w:color w:val="auto"/>
        </w:rPr>
      </w:pPr>
      <w:r>
        <w:rPr>
          <w:rFonts w:ascii="Arial" w:cs="Arial" w:eastAsia="Arial" w:hAnsi="Arial"/>
          <w:sz w:val="13"/>
          <w:szCs w:val="13"/>
          <w:b w:val="1"/>
          <w:bCs w:val="1"/>
          <w:color w:val="auto"/>
        </w:rPr>
        <w:t>DEADLINE FOR RECEIPT OF SHAREHOLDER PROPOSALS</w:t>
      </w:r>
    </w:p>
    <w:p>
      <w:pPr>
        <w:spacing w:after="0" w:line="186" w:lineRule="exact"/>
        <w:rPr>
          <w:sz w:val="20"/>
          <w:szCs w:val="20"/>
          <w:color w:val="auto"/>
        </w:rPr>
      </w:pPr>
    </w:p>
    <w:p>
      <w:pPr>
        <w:jc w:val="both"/>
        <w:ind w:firstLine="467"/>
        <w:spacing w:after="0" w:line="272" w:lineRule="auto"/>
        <w:rPr>
          <w:sz w:val="20"/>
          <w:szCs w:val="20"/>
          <w:color w:val="auto"/>
        </w:rPr>
      </w:pPr>
      <w:r>
        <w:rPr>
          <w:rFonts w:ascii="Arial" w:cs="Arial" w:eastAsia="Arial" w:hAnsi="Arial"/>
          <w:sz w:val="13"/>
          <w:szCs w:val="13"/>
          <w:color w:val="auto"/>
        </w:rPr>
        <w:t>Any shareholder that wishes to present any proposal for shareholder action at our Annual Meeting of Shareholders to be held during calendar year 2009 must notify us at our principal executive offices no later than June 16, 2009 in order for the proposal to be included in our proxy statement and form of proxy relating to that meeting.</w:t>
      </w:r>
    </w:p>
    <w:p>
      <w:pPr>
        <w:spacing w:after="0" w:line="148" w:lineRule="exact"/>
        <w:rPr>
          <w:sz w:val="20"/>
          <w:szCs w:val="20"/>
          <w:color w:val="auto"/>
        </w:rPr>
      </w:pPr>
    </w:p>
    <w:p>
      <w:pPr>
        <w:jc w:val="both"/>
        <w:ind w:firstLine="467"/>
        <w:spacing w:after="0" w:line="261" w:lineRule="auto"/>
        <w:rPr>
          <w:sz w:val="20"/>
          <w:szCs w:val="20"/>
          <w:color w:val="auto"/>
        </w:rPr>
      </w:pPr>
      <w:r>
        <w:rPr>
          <w:rFonts w:ascii="Arial" w:cs="Arial" w:eastAsia="Arial" w:hAnsi="Arial"/>
          <w:sz w:val="13"/>
          <w:szCs w:val="13"/>
          <w:color w:val="auto"/>
        </w:rPr>
        <w:t>Pursuant to Rule 14a-4 under the Exchange Act, we intend to retain discretionary authority to vote proxies with respect to stockholder proposals for which the proponent does not seek inclusion of the proposed matter in our proxy statement for the annual meeting to be held during calendar 2009, except in circumstances where (i) we receive notice of the proposed matter no later than August 30, 2009 and (ii) the proponent complies with the other requirements set forth in Rule 14a-4.</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OTHER MATTERS</w:t>
      </w:r>
    </w:p>
    <w:p>
      <w:pPr>
        <w:spacing w:after="0" w:line="186" w:lineRule="exact"/>
        <w:rPr>
          <w:sz w:val="20"/>
          <w:szCs w:val="20"/>
          <w:color w:val="auto"/>
        </w:rPr>
      </w:pPr>
    </w:p>
    <w:p>
      <w:pPr>
        <w:jc w:val="both"/>
        <w:ind w:firstLine="467"/>
        <w:spacing w:after="0" w:line="272" w:lineRule="auto"/>
        <w:rPr>
          <w:sz w:val="20"/>
          <w:szCs w:val="20"/>
          <w:color w:val="auto"/>
        </w:rPr>
      </w:pPr>
      <w:r>
        <w:rPr>
          <w:rFonts w:ascii="Arial" w:cs="Arial" w:eastAsia="Arial" w:hAnsi="Arial"/>
          <w:sz w:val="13"/>
          <w:szCs w:val="13"/>
          <w:color w:val="auto"/>
        </w:rPr>
        <w:t>We know of no other business to be submitted at the meeting. If any other matters should properly come before the meeting, it is the intention of the persons named in the accompanying form of proxy to vote the shares they represent as our Board of Directors may recommend.</w:t>
      </w:r>
    </w:p>
    <w:p>
      <w:pPr>
        <w:spacing w:after="0" w:line="148" w:lineRule="exact"/>
        <w:rPr>
          <w:sz w:val="20"/>
          <w:szCs w:val="20"/>
          <w:color w:val="auto"/>
        </w:rPr>
      </w:pPr>
    </w:p>
    <w:p>
      <w:pPr>
        <w:spacing w:after="0"/>
        <w:rPr>
          <w:sz w:val="20"/>
          <w:szCs w:val="20"/>
          <w:color w:val="auto"/>
        </w:rPr>
      </w:pPr>
      <w:r>
        <w:rPr>
          <w:rFonts w:ascii="Arial" w:cs="Arial" w:eastAsia="Arial" w:hAnsi="Arial"/>
          <w:sz w:val="13"/>
          <w:szCs w:val="13"/>
          <w:color w:val="auto"/>
        </w:rPr>
        <w:t>Dated: September 29, 2008</w:t>
      </w: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55880</wp:posOffset>
            </wp:positionV>
            <wp:extent cx="7291070" cy="1905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91070" cy="19050"/>
                    </a:xfrm>
                    <a:prstGeom prst="rect">
                      <a:avLst/>
                    </a:prstGeom>
                    <a:noFill/>
                  </pic:spPr>
                </pic:pic>
              </a:graphicData>
            </a:graphic>
          </wp:anchor>
        </w:drawing>
      </w:r>
    </w:p>
    <w:p>
      <w:pPr>
        <w:sectPr>
          <w:pgSz w:w="11900" w:h="16838" w:orient="portrait"/>
          <w:cols w:equalWidth="0" w:num="1">
            <w:col w:w="11460"/>
          </w:cols>
          <w:pgMar w:left="220" w:top="302" w:right="219" w:bottom="1440" w:gutter="0" w:footer="0" w:header="0"/>
        </w:sectPr>
      </w:pPr>
    </w:p>
    <w:bookmarkStart w:id="20" w:name="page21"/>
    <w:bookmarkEnd w:id="20"/>
    <w:p>
      <w:pPr>
        <w:ind w:left="2"/>
        <w:spacing w:after="0"/>
        <w:rPr>
          <w:sz w:val="20"/>
          <w:szCs w:val="20"/>
          <w:color w:val="auto"/>
        </w:rPr>
      </w:pPr>
      <w:r>
        <w:rPr>
          <w:rFonts w:ascii="Arial" w:cs="Arial" w:eastAsia="Arial" w:hAnsi="Arial"/>
          <w:sz w:val="13"/>
          <w:szCs w:val="13"/>
          <w:b w:val="1"/>
          <w:bCs w:val="1"/>
          <w:color w:val="auto"/>
        </w:rPr>
        <w:t>CLEARONE COMMUNICATIONS, INC.</w:t>
      </w:r>
    </w:p>
    <w:p>
      <w:pPr>
        <w:spacing w:after="0" w:line="18" w:lineRule="exact"/>
        <w:rPr>
          <w:sz w:val="20"/>
          <w:szCs w:val="20"/>
          <w:color w:val="auto"/>
        </w:rPr>
      </w:pPr>
    </w:p>
    <w:p>
      <w:pPr>
        <w:ind w:left="2"/>
        <w:spacing w:after="0"/>
        <w:rPr>
          <w:sz w:val="20"/>
          <w:szCs w:val="20"/>
          <w:color w:val="auto"/>
        </w:rPr>
      </w:pPr>
      <w:r>
        <w:rPr>
          <w:rFonts w:ascii="Arial" w:cs="Arial" w:eastAsia="Arial" w:hAnsi="Arial"/>
          <w:sz w:val="13"/>
          <w:szCs w:val="13"/>
          <w:b w:val="1"/>
          <w:bCs w:val="1"/>
          <w:color w:val="auto"/>
        </w:rPr>
        <w:t>5225 WILEY POST WAY, SUITE 500</w:t>
      </w:r>
    </w:p>
    <w:p>
      <w:pPr>
        <w:spacing w:after="0" w:line="6" w:lineRule="exact"/>
        <w:rPr>
          <w:sz w:val="20"/>
          <w:szCs w:val="20"/>
          <w:color w:val="auto"/>
        </w:rPr>
      </w:pPr>
    </w:p>
    <w:p>
      <w:pPr>
        <w:ind w:left="2"/>
        <w:spacing w:after="0"/>
        <w:rPr>
          <w:sz w:val="20"/>
          <w:szCs w:val="20"/>
          <w:color w:val="auto"/>
        </w:rPr>
      </w:pPr>
      <w:r>
        <w:rPr>
          <w:rFonts w:ascii="Arial" w:cs="Arial" w:eastAsia="Arial" w:hAnsi="Arial"/>
          <w:sz w:val="13"/>
          <w:szCs w:val="13"/>
          <w:b w:val="1"/>
          <w:bCs w:val="1"/>
          <w:color w:val="auto"/>
        </w:rPr>
        <w:t>SALT LAKE CITY, UTAH 84116</w:t>
      </w:r>
    </w:p>
    <w:p>
      <w:pPr>
        <w:spacing w:after="0" w:line="174" w:lineRule="exact"/>
        <w:rPr>
          <w:sz w:val="20"/>
          <w:szCs w:val="20"/>
          <w:color w:val="auto"/>
        </w:rPr>
      </w:pPr>
    </w:p>
    <w:p>
      <w:pPr>
        <w:ind w:left="2"/>
        <w:spacing w:after="0"/>
        <w:rPr>
          <w:sz w:val="20"/>
          <w:szCs w:val="20"/>
          <w:color w:val="auto"/>
        </w:rPr>
      </w:pPr>
      <w:r>
        <w:rPr>
          <w:rFonts w:ascii="Arial" w:cs="Arial" w:eastAsia="Arial" w:hAnsi="Arial"/>
          <w:sz w:val="13"/>
          <w:szCs w:val="13"/>
          <w:color w:val="auto"/>
        </w:rPr>
        <w:t xml:space="preserve">VOTE BY INTERNET – </w:t>
      </w:r>
      <w:r>
        <w:rPr>
          <w:rFonts w:ascii="Arial" w:cs="Arial" w:eastAsia="Arial" w:hAnsi="Arial"/>
          <w:sz w:val="13"/>
          <w:szCs w:val="13"/>
          <w:u w:val="single" w:color="auto"/>
          <w:color w:val="auto"/>
        </w:rPr>
        <w:t>www.proxyvote.com</w:t>
      </w:r>
    </w:p>
    <w:p>
      <w:pPr>
        <w:spacing w:after="0" w:line="14" w:lineRule="exact"/>
        <w:rPr>
          <w:sz w:val="20"/>
          <w:szCs w:val="20"/>
          <w:color w:val="auto"/>
        </w:rPr>
      </w:pPr>
    </w:p>
    <w:p>
      <w:pPr>
        <w:ind w:left="2" w:right="180"/>
        <w:spacing w:after="0" w:line="260" w:lineRule="auto"/>
        <w:rPr>
          <w:sz w:val="20"/>
          <w:szCs w:val="20"/>
          <w:color w:val="auto"/>
        </w:rPr>
      </w:pPr>
      <w:r>
        <w:rPr>
          <w:rFonts w:ascii="Arial" w:cs="Arial" w:eastAsia="Arial" w:hAnsi="Arial"/>
          <w:sz w:val="13"/>
          <w:szCs w:val="13"/>
          <w:color w:val="auto"/>
        </w:rPr>
        <w:t>Use the Internet to transmit your voting instructions and for electronic delivery of information up until 11:59 P.M. Eastern Time the day before the cut-off date or meeting date. Have your proxy card in hand when you access the web site and follow the instructions to obtain your records and to create an electronic voting instruction form.</w:t>
      </w:r>
    </w:p>
    <w:p>
      <w:pPr>
        <w:spacing w:after="0" w:line="155" w:lineRule="exact"/>
        <w:rPr>
          <w:sz w:val="20"/>
          <w:szCs w:val="20"/>
          <w:color w:val="auto"/>
        </w:rPr>
      </w:pPr>
    </w:p>
    <w:p>
      <w:pPr>
        <w:ind w:left="2"/>
        <w:spacing w:after="0"/>
        <w:rPr>
          <w:sz w:val="20"/>
          <w:szCs w:val="20"/>
          <w:color w:val="auto"/>
        </w:rPr>
      </w:pPr>
      <w:r>
        <w:rPr>
          <w:rFonts w:ascii="Arial" w:cs="Arial" w:eastAsia="Arial" w:hAnsi="Arial"/>
          <w:sz w:val="13"/>
          <w:szCs w:val="13"/>
          <w:color w:val="auto"/>
        </w:rPr>
        <w:t>ELECTRONIC DELIVERY OF FUTURE SHAREHOLDER COMMUNICATIONS</w:t>
      </w:r>
    </w:p>
    <w:p>
      <w:pPr>
        <w:spacing w:after="0" w:line="14" w:lineRule="exact"/>
        <w:rPr>
          <w:sz w:val="20"/>
          <w:szCs w:val="20"/>
          <w:color w:val="auto"/>
        </w:rPr>
      </w:pPr>
    </w:p>
    <w:p>
      <w:pPr>
        <w:ind w:left="2" w:right="220"/>
        <w:spacing w:after="0" w:line="255" w:lineRule="auto"/>
        <w:rPr>
          <w:sz w:val="20"/>
          <w:szCs w:val="20"/>
          <w:color w:val="auto"/>
        </w:rPr>
      </w:pPr>
      <w:r>
        <w:rPr>
          <w:rFonts w:ascii="Arial" w:cs="Arial" w:eastAsia="Arial" w:hAnsi="Arial"/>
          <w:sz w:val="13"/>
          <w:szCs w:val="13"/>
          <w:color w:val="auto"/>
        </w:rPr>
        <w:t>If you would like to reduce the costs incurred by our company in mailing proxy materials, you can consent to receiving all future proxy statements, proxy cards and annual reports electronically via e-mail or the Internet. To sign up for electronic delivery, please follow the instructions above to vote using the Internet and, when prompted, indicate that you agree to receive or access shareholder communications electronically in future years.</w:t>
      </w:r>
    </w:p>
    <w:p>
      <w:pPr>
        <w:spacing w:after="0" w:line="158" w:lineRule="exact"/>
        <w:rPr>
          <w:sz w:val="20"/>
          <w:szCs w:val="20"/>
          <w:color w:val="auto"/>
        </w:rPr>
      </w:pPr>
    </w:p>
    <w:p>
      <w:pPr>
        <w:ind w:left="2"/>
        <w:spacing w:after="0"/>
        <w:rPr>
          <w:sz w:val="20"/>
          <w:szCs w:val="20"/>
          <w:color w:val="auto"/>
        </w:rPr>
      </w:pPr>
      <w:r>
        <w:rPr>
          <w:rFonts w:ascii="Arial" w:cs="Arial" w:eastAsia="Arial" w:hAnsi="Arial"/>
          <w:sz w:val="13"/>
          <w:szCs w:val="13"/>
          <w:color w:val="auto"/>
        </w:rPr>
        <w:t>VOTE BY PHONE - 1-800-690-6903</w:t>
      </w:r>
    </w:p>
    <w:p>
      <w:pPr>
        <w:spacing w:after="0" w:line="14" w:lineRule="exact"/>
        <w:rPr>
          <w:sz w:val="20"/>
          <w:szCs w:val="20"/>
          <w:color w:val="auto"/>
        </w:rPr>
      </w:pPr>
    </w:p>
    <w:p>
      <w:pPr>
        <w:ind w:left="2" w:right="400"/>
        <w:spacing w:after="0" w:line="260" w:lineRule="auto"/>
        <w:rPr>
          <w:sz w:val="20"/>
          <w:szCs w:val="20"/>
          <w:color w:val="auto"/>
        </w:rPr>
      </w:pPr>
      <w:r>
        <w:rPr>
          <w:rFonts w:ascii="Arial" w:cs="Arial" w:eastAsia="Arial" w:hAnsi="Arial"/>
          <w:sz w:val="13"/>
          <w:szCs w:val="13"/>
          <w:color w:val="auto"/>
        </w:rPr>
        <w:t>Use any touch-tone telephone to transmit your voting instructions up until 11:59 P.M. Eastern Time the day before the cut-off date or meeting date. Have your proxy card in hand when you call and then follow the instructions.</w:t>
      </w:r>
    </w:p>
    <w:p>
      <w:pPr>
        <w:spacing w:after="0" w:line="155" w:lineRule="exact"/>
        <w:rPr>
          <w:sz w:val="20"/>
          <w:szCs w:val="20"/>
          <w:color w:val="auto"/>
        </w:rPr>
      </w:pPr>
    </w:p>
    <w:p>
      <w:pPr>
        <w:ind w:left="2"/>
        <w:spacing w:after="0"/>
        <w:rPr>
          <w:sz w:val="20"/>
          <w:szCs w:val="20"/>
          <w:color w:val="auto"/>
        </w:rPr>
      </w:pPr>
      <w:r>
        <w:rPr>
          <w:rFonts w:ascii="Arial" w:cs="Arial" w:eastAsia="Arial" w:hAnsi="Arial"/>
          <w:sz w:val="13"/>
          <w:szCs w:val="13"/>
          <w:color w:val="auto"/>
        </w:rPr>
        <w:t>VOTE BY MAIL</w:t>
      </w:r>
    </w:p>
    <w:p>
      <w:pPr>
        <w:spacing w:after="0" w:line="14" w:lineRule="exact"/>
        <w:rPr>
          <w:sz w:val="20"/>
          <w:szCs w:val="20"/>
          <w:color w:val="auto"/>
        </w:rPr>
      </w:pPr>
    </w:p>
    <w:p>
      <w:pPr>
        <w:ind w:left="2"/>
        <w:spacing w:after="0"/>
        <w:rPr>
          <w:sz w:val="20"/>
          <w:szCs w:val="20"/>
          <w:color w:val="auto"/>
        </w:rPr>
      </w:pPr>
      <w:r>
        <w:rPr>
          <w:rFonts w:ascii="Arial" w:cs="Arial" w:eastAsia="Arial" w:hAnsi="Arial"/>
          <w:sz w:val="13"/>
          <w:szCs w:val="13"/>
          <w:color w:val="auto"/>
        </w:rPr>
        <w:t>Mark, sign and date your proxy card and return it in the postage-paid envelope we have provided or return it to Vote Processing., c/o Broadridge, 51 Mercedes Way, Edgewood, NY 11717.</w:t>
      </w:r>
    </w:p>
    <w:p>
      <w:pPr>
        <w:spacing w:after="0" w:line="174" w:lineRule="exact"/>
        <w:rPr>
          <w:sz w:val="20"/>
          <w:szCs w:val="20"/>
          <w:color w:val="auto"/>
        </w:rPr>
      </w:pPr>
    </w:p>
    <w:p>
      <w:pPr>
        <w:ind w:left="22"/>
        <w:spacing w:after="0"/>
        <w:rPr>
          <w:sz w:val="20"/>
          <w:szCs w:val="20"/>
          <w:color w:val="auto"/>
        </w:rPr>
      </w:pPr>
      <w:r>
        <w:rPr>
          <w:rFonts w:ascii="Arial" w:cs="Arial" w:eastAsia="Arial" w:hAnsi="Arial"/>
          <w:sz w:val="13"/>
          <w:szCs w:val="13"/>
          <w:color w:val="auto"/>
        </w:rPr>
        <w:t>TO VOTE, MARK BLOCKS BELOW IN BLUE OR BLACK IN AS FOLLOWS:</w:t>
      </w:r>
    </w:p>
    <w:p>
      <w:pPr>
        <w:spacing w:after="0" w:line="182" w:lineRule="exact"/>
        <w:rPr>
          <w:sz w:val="20"/>
          <w:szCs w:val="20"/>
          <w:color w:val="auto"/>
        </w:rPr>
      </w:pPr>
    </w:p>
    <w:p>
      <w:pPr>
        <w:ind w:left="2"/>
        <w:spacing w:after="0"/>
        <w:rPr>
          <w:sz w:val="20"/>
          <w:szCs w:val="20"/>
          <w:color w:val="auto"/>
        </w:rPr>
      </w:pPr>
      <w:r>
        <w:rPr>
          <w:rFonts w:ascii="Arial" w:cs="Arial" w:eastAsia="Arial" w:hAnsi="Arial"/>
          <w:sz w:val="13"/>
          <w:szCs w:val="13"/>
          <w:color w:val="auto"/>
        </w:rPr>
        <w:t>THIS PROXY CARD IS VALID ONLY WHEN SIGNED AND DATED.</w:t>
      </w:r>
    </w:p>
    <w:p>
      <w:pPr>
        <w:spacing w:after="0" w:line="182" w:lineRule="exact"/>
        <w:rPr>
          <w:sz w:val="20"/>
          <w:szCs w:val="20"/>
          <w:color w:val="auto"/>
        </w:rPr>
      </w:pPr>
    </w:p>
    <w:tbl>
      <w:tblPr>
        <w:tblLayout w:type="fixed"/>
        <w:tblInd w:w="2" w:type="dxa"/>
        <w:tblCellMar>
          <w:top w:w="0" w:type="dxa"/>
          <w:left w:w="0" w:type="dxa"/>
          <w:bottom w:w="0" w:type="dxa"/>
          <w:right w:w="0" w:type="dxa"/>
        </w:tblCellMar>
      </w:tblPr>
      <w:tr>
        <w:trPr>
          <w:trHeight w:val="164"/>
        </w:trPr>
        <w:tc>
          <w:tcPr>
            <w:tcW w:w="2780" w:type="dxa"/>
            <w:vAlign w:val="bottom"/>
            <w:gridSpan w:val="2"/>
          </w:tcPr>
          <w:p>
            <w:pPr>
              <w:spacing w:after="0"/>
              <w:rPr>
                <w:sz w:val="20"/>
                <w:szCs w:val="20"/>
                <w:color w:val="auto"/>
              </w:rPr>
            </w:pPr>
            <w:r>
              <w:rPr>
                <w:rFonts w:ascii="Arial" w:cs="Arial" w:eastAsia="Arial" w:hAnsi="Arial"/>
                <w:sz w:val="13"/>
                <w:szCs w:val="13"/>
                <w:color w:val="auto"/>
              </w:rPr>
              <w:t>CLEARONE COMMUNICATIONS, INC.</w:t>
            </w:r>
          </w:p>
        </w:tc>
        <w:tc>
          <w:tcPr>
            <w:tcW w:w="9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23"/>
        </w:trPr>
        <w:tc>
          <w:tcPr>
            <w:tcW w:w="2780" w:type="dxa"/>
            <w:vAlign w:val="bottom"/>
            <w:gridSpan w:val="2"/>
          </w:tcPr>
          <w:p>
            <w:pPr>
              <w:spacing w:after="0"/>
              <w:rPr>
                <w:sz w:val="20"/>
                <w:szCs w:val="20"/>
                <w:color w:val="auto"/>
              </w:rPr>
            </w:pPr>
            <w:r>
              <w:rPr>
                <w:rFonts w:ascii="Arial" w:cs="Arial" w:eastAsia="Arial" w:hAnsi="Arial"/>
                <w:sz w:val="13"/>
                <w:szCs w:val="13"/>
                <w:color w:val="auto"/>
              </w:rPr>
              <w:t>Vote on Directors</w:t>
            </w:r>
          </w:p>
        </w:tc>
        <w:tc>
          <w:tcPr>
            <w:tcW w:w="960" w:type="dxa"/>
            <w:vAlign w:val="bottom"/>
          </w:tcPr>
          <w:p>
            <w:pPr>
              <w:ind w:left="560"/>
              <w:spacing w:after="0"/>
              <w:rPr>
                <w:sz w:val="20"/>
                <w:szCs w:val="20"/>
                <w:color w:val="auto"/>
              </w:rPr>
            </w:pPr>
            <w:r>
              <w:rPr>
                <w:rFonts w:ascii="Arial" w:cs="Arial" w:eastAsia="Arial" w:hAnsi="Arial"/>
                <w:sz w:val="13"/>
                <w:szCs w:val="13"/>
                <w:color w:val="auto"/>
              </w:rPr>
              <w:t>For</w:t>
            </w:r>
          </w:p>
        </w:tc>
        <w:tc>
          <w:tcPr>
            <w:tcW w:w="980" w:type="dxa"/>
            <w:vAlign w:val="bottom"/>
          </w:tcPr>
          <w:p>
            <w:pPr>
              <w:jc w:val="right"/>
              <w:ind w:right="295"/>
              <w:spacing w:after="0"/>
              <w:rPr>
                <w:sz w:val="20"/>
                <w:szCs w:val="20"/>
                <w:color w:val="auto"/>
              </w:rPr>
            </w:pPr>
            <w:r>
              <w:rPr>
                <w:rFonts w:ascii="Arial" w:cs="Arial" w:eastAsia="Arial" w:hAnsi="Arial"/>
                <w:sz w:val="13"/>
                <w:szCs w:val="13"/>
                <w:color w:val="auto"/>
              </w:rPr>
              <w:t>Withhold</w:t>
            </w:r>
          </w:p>
        </w:tc>
        <w:tc>
          <w:tcPr>
            <w:tcW w:w="880" w:type="dxa"/>
            <w:vAlign w:val="bottom"/>
          </w:tcPr>
          <w:p>
            <w:pPr>
              <w:ind w:left="360"/>
              <w:spacing w:after="0"/>
              <w:rPr>
                <w:sz w:val="20"/>
                <w:szCs w:val="20"/>
                <w:color w:val="auto"/>
              </w:rPr>
            </w:pPr>
            <w:r>
              <w:rPr>
                <w:rFonts w:ascii="Arial" w:cs="Arial" w:eastAsia="Arial" w:hAnsi="Arial"/>
                <w:sz w:val="13"/>
                <w:szCs w:val="13"/>
                <w:color w:val="auto"/>
              </w:rPr>
              <w:t>For All</w:t>
            </w:r>
          </w:p>
        </w:tc>
        <w:tc>
          <w:tcPr>
            <w:tcW w:w="0" w:type="dxa"/>
            <w:vAlign w:val="bottom"/>
          </w:tcPr>
          <w:p>
            <w:pPr>
              <w:spacing w:after="0"/>
              <w:rPr>
                <w:sz w:val="1"/>
                <w:szCs w:val="1"/>
                <w:color w:val="auto"/>
              </w:rPr>
            </w:pPr>
          </w:p>
        </w:tc>
      </w:tr>
      <w:tr>
        <w:trPr>
          <w:trHeight w:val="164"/>
        </w:trPr>
        <w:tc>
          <w:tcPr>
            <w:tcW w:w="200" w:type="dxa"/>
            <w:vAlign w:val="bottom"/>
            <w:vMerge w:val="restart"/>
          </w:tcPr>
          <w:p>
            <w:pPr>
              <w:spacing w:after="0"/>
              <w:rPr>
                <w:sz w:val="20"/>
                <w:szCs w:val="20"/>
                <w:color w:val="auto"/>
              </w:rPr>
            </w:pPr>
            <w:r>
              <w:rPr>
                <w:rFonts w:ascii="Arial" w:cs="Arial" w:eastAsia="Arial" w:hAnsi="Arial"/>
                <w:sz w:val="13"/>
                <w:szCs w:val="13"/>
                <w:color w:val="auto"/>
              </w:rPr>
              <w:t>I.</w:t>
            </w:r>
          </w:p>
        </w:tc>
        <w:tc>
          <w:tcPr>
            <w:tcW w:w="2580" w:type="dxa"/>
            <w:vAlign w:val="bottom"/>
            <w:vMerge w:val="restart"/>
          </w:tcPr>
          <w:p>
            <w:pPr>
              <w:ind w:left="120"/>
              <w:spacing w:after="0"/>
              <w:rPr>
                <w:sz w:val="20"/>
                <w:szCs w:val="20"/>
                <w:color w:val="auto"/>
              </w:rPr>
            </w:pPr>
            <w:r>
              <w:rPr>
                <w:rFonts w:ascii="Arial" w:cs="Arial" w:eastAsia="Arial" w:hAnsi="Arial"/>
                <w:sz w:val="13"/>
                <w:szCs w:val="13"/>
                <w:color w:val="auto"/>
              </w:rPr>
              <w:t>ELECTION OF DIRECTORS</w:t>
            </w:r>
          </w:p>
        </w:tc>
        <w:tc>
          <w:tcPr>
            <w:tcW w:w="960" w:type="dxa"/>
            <w:vAlign w:val="bottom"/>
          </w:tcPr>
          <w:p>
            <w:pPr>
              <w:ind w:left="660"/>
              <w:spacing w:after="0"/>
              <w:rPr>
                <w:sz w:val="20"/>
                <w:szCs w:val="20"/>
                <w:color w:val="auto"/>
              </w:rPr>
            </w:pPr>
            <w:r>
              <w:rPr>
                <w:rFonts w:ascii="Arial" w:cs="Arial" w:eastAsia="Arial" w:hAnsi="Arial"/>
                <w:sz w:val="13"/>
                <w:szCs w:val="13"/>
                <w:color w:val="auto"/>
              </w:rPr>
              <w:t>All</w:t>
            </w:r>
          </w:p>
        </w:tc>
        <w:tc>
          <w:tcPr>
            <w:tcW w:w="980" w:type="dxa"/>
            <w:vAlign w:val="bottom"/>
          </w:tcPr>
          <w:p>
            <w:pPr>
              <w:jc w:val="right"/>
              <w:ind w:right="275"/>
              <w:spacing w:after="0"/>
              <w:rPr>
                <w:sz w:val="20"/>
                <w:szCs w:val="20"/>
                <w:color w:val="auto"/>
              </w:rPr>
            </w:pPr>
            <w:r>
              <w:rPr>
                <w:rFonts w:ascii="Arial" w:cs="Arial" w:eastAsia="Arial" w:hAnsi="Arial"/>
                <w:sz w:val="13"/>
                <w:szCs w:val="13"/>
                <w:color w:val="auto"/>
              </w:rPr>
              <w:t>All</w:t>
            </w:r>
          </w:p>
        </w:tc>
        <w:tc>
          <w:tcPr>
            <w:tcW w:w="880" w:type="dxa"/>
            <w:vAlign w:val="bottom"/>
          </w:tcPr>
          <w:p>
            <w:pPr>
              <w:ind w:left="520"/>
              <w:spacing w:after="0"/>
              <w:rPr>
                <w:sz w:val="20"/>
                <w:szCs w:val="20"/>
                <w:color w:val="auto"/>
              </w:rPr>
            </w:pPr>
            <w:r>
              <w:rPr>
                <w:rFonts w:ascii="Arial" w:cs="Arial" w:eastAsia="Arial" w:hAnsi="Arial"/>
                <w:sz w:val="13"/>
                <w:szCs w:val="13"/>
                <w:color w:val="auto"/>
                <w:w w:val="85"/>
              </w:rPr>
              <w:t>Except</w:t>
            </w:r>
          </w:p>
        </w:tc>
        <w:tc>
          <w:tcPr>
            <w:tcW w:w="0" w:type="dxa"/>
            <w:vAlign w:val="bottom"/>
          </w:tcPr>
          <w:p>
            <w:pPr>
              <w:spacing w:after="0"/>
              <w:rPr>
                <w:sz w:val="1"/>
                <w:szCs w:val="1"/>
                <w:color w:val="auto"/>
              </w:rPr>
            </w:pPr>
          </w:p>
        </w:tc>
      </w:tr>
      <w:tr>
        <w:trPr>
          <w:trHeight w:val="156"/>
        </w:trPr>
        <w:tc>
          <w:tcPr>
            <w:tcW w:w="200" w:type="dxa"/>
            <w:vAlign w:val="bottom"/>
            <w:vMerge w:val="continue"/>
          </w:tcPr>
          <w:p>
            <w:pPr>
              <w:spacing w:after="0"/>
              <w:rPr>
                <w:sz w:val="13"/>
                <w:szCs w:val="13"/>
                <w:color w:val="auto"/>
              </w:rPr>
            </w:pPr>
          </w:p>
        </w:tc>
        <w:tc>
          <w:tcPr>
            <w:tcW w:w="2580" w:type="dxa"/>
            <w:vAlign w:val="bottom"/>
            <w:vMerge w:val="continue"/>
          </w:tcPr>
          <w:p>
            <w:pPr>
              <w:spacing w:after="0"/>
              <w:rPr>
                <w:sz w:val="13"/>
                <w:szCs w:val="13"/>
                <w:color w:val="auto"/>
              </w:rPr>
            </w:pPr>
          </w:p>
        </w:tc>
        <w:tc>
          <w:tcPr>
            <w:tcW w:w="9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5"/>
        </w:trPr>
        <w:tc>
          <w:tcPr>
            <w:tcW w:w="200" w:type="dxa"/>
            <w:vAlign w:val="bottom"/>
          </w:tcPr>
          <w:p>
            <w:pPr>
              <w:spacing w:after="0"/>
              <w:rPr>
                <w:sz w:val="15"/>
                <w:szCs w:val="15"/>
                <w:color w:val="auto"/>
              </w:rPr>
            </w:pPr>
          </w:p>
        </w:tc>
        <w:tc>
          <w:tcPr>
            <w:tcW w:w="2580" w:type="dxa"/>
            <w:vAlign w:val="bottom"/>
          </w:tcPr>
          <w:p>
            <w:pPr>
              <w:ind w:left="140"/>
              <w:spacing w:after="0"/>
              <w:rPr>
                <w:sz w:val="20"/>
                <w:szCs w:val="20"/>
                <w:color w:val="auto"/>
              </w:rPr>
            </w:pPr>
            <w:r>
              <w:rPr>
                <w:rFonts w:ascii="Arial" w:cs="Arial" w:eastAsia="Arial" w:hAnsi="Arial"/>
                <w:sz w:val="13"/>
                <w:szCs w:val="13"/>
                <w:color w:val="auto"/>
              </w:rPr>
              <w:t>Nominees:</w:t>
            </w:r>
          </w:p>
        </w:tc>
        <w:tc>
          <w:tcPr>
            <w:tcW w:w="9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167" w:lineRule="exact"/>
        <w:rPr>
          <w:sz w:val="20"/>
          <w:szCs w:val="20"/>
          <w:color w:val="auto"/>
        </w:rPr>
      </w:pPr>
    </w:p>
    <w:p>
      <w:pPr>
        <w:ind w:left="342"/>
        <w:spacing w:after="0"/>
        <w:rPr>
          <w:sz w:val="20"/>
          <w:szCs w:val="20"/>
          <w:color w:val="auto"/>
        </w:rPr>
      </w:pPr>
      <w:r>
        <w:rPr>
          <w:rFonts w:ascii="Arial" w:cs="Arial" w:eastAsia="Arial" w:hAnsi="Arial"/>
          <w:sz w:val="13"/>
          <w:szCs w:val="13"/>
          <w:color w:val="auto"/>
        </w:rPr>
        <w:t>01) Brad R. Baldwin</w:t>
      </w:r>
    </w:p>
    <w:p>
      <w:pPr>
        <w:spacing w:after="0" w:line="14" w:lineRule="exact"/>
        <w:rPr>
          <w:sz w:val="20"/>
          <w:szCs w:val="20"/>
          <w:color w:val="auto"/>
        </w:rPr>
      </w:pPr>
    </w:p>
    <w:p>
      <w:pPr>
        <w:ind w:left="562" w:hanging="211"/>
        <w:spacing w:after="0"/>
        <w:tabs>
          <w:tab w:leader="none" w:pos="562" w:val="left"/>
        </w:tabs>
        <w:numPr>
          <w:ilvl w:val="0"/>
          <w:numId w:val="15"/>
        </w:numPr>
        <w:rPr>
          <w:rFonts w:ascii="Arial" w:cs="Arial" w:eastAsia="Arial" w:hAnsi="Arial"/>
          <w:sz w:val="13"/>
          <w:szCs w:val="13"/>
          <w:color w:val="auto"/>
        </w:rPr>
      </w:pPr>
      <w:r>
        <w:rPr>
          <w:rFonts w:ascii="Arial" w:cs="Arial" w:eastAsia="Arial" w:hAnsi="Arial"/>
          <w:sz w:val="13"/>
          <w:szCs w:val="13"/>
          <w:color w:val="auto"/>
        </w:rPr>
        <w:t>Zeynep “Zee” Hakimoglu</w:t>
      </w:r>
    </w:p>
    <w:p>
      <w:pPr>
        <w:spacing w:after="0" w:line="6" w:lineRule="exact"/>
        <w:rPr>
          <w:rFonts w:ascii="Arial" w:cs="Arial" w:eastAsia="Arial" w:hAnsi="Arial"/>
          <w:sz w:val="13"/>
          <w:szCs w:val="13"/>
          <w:color w:val="auto"/>
        </w:rPr>
      </w:pPr>
    </w:p>
    <w:p>
      <w:pPr>
        <w:ind w:left="562" w:hanging="211"/>
        <w:spacing w:after="0"/>
        <w:tabs>
          <w:tab w:leader="none" w:pos="562" w:val="left"/>
        </w:tabs>
        <w:numPr>
          <w:ilvl w:val="0"/>
          <w:numId w:val="15"/>
        </w:numPr>
        <w:rPr>
          <w:rFonts w:ascii="Arial" w:cs="Arial" w:eastAsia="Arial" w:hAnsi="Arial"/>
          <w:sz w:val="13"/>
          <w:szCs w:val="13"/>
          <w:color w:val="auto"/>
        </w:rPr>
      </w:pPr>
      <w:r>
        <w:rPr>
          <w:rFonts w:ascii="Arial" w:cs="Arial" w:eastAsia="Arial" w:hAnsi="Arial"/>
          <w:sz w:val="13"/>
          <w:szCs w:val="13"/>
          <w:color w:val="auto"/>
        </w:rPr>
        <w:t>Larry R. Hendricks</w:t>
      </w:r>
    </w:p>
    <w:p>
      <w:pPr>
        <w:spacing w:after="0" w:line="6" w:lineRule="exact"/>
        <w:rPr>
          <w:rFonts w:ascii="Arial" w:cs="Arial" w:eastAsia="Arial" w:hAnsi="Arial"/>
          <w:sz w:val="13"/>
          <w:szCs w:val="13"/>
          <w:color w:val="auto"/>
        </w:rPr>
      </w:pPr>
    </w:p>
    <w:p>
      <w:pPr>
        <w:ind w:left="562" w:hanging="211"/>
        <w:spacing w:after="0"/>
        <w:tabs>
          <w:tab w:leader="none" w:pos="562" w:val="left"/>
        </w:tabs>
        <w:numPr>
          <w:ilvl w:val="0"/>
          <w:numId w:val="15"/>
        </w:numPr>
        <w:rPr>
          <w:rFonts w:ascii="Arial" w:cs="Arial" w:eastAsia="Arial" w:hAnsi="Arial"/>
          <w:sz w:val="13"/>
          <w:szCs w:val="13"/>
          <w:color w:val="auto"/>
        </w:rPr>
      </w:pPr>
      <w:r>
        <w:rPr>
          <w:rFonts w:ascii="Arial" w:cs="Arial" w:eastAsia="Arial" w:hAnsi="Arial"/>
          <w:sz w:val="13"/>
          <w:szCs w:val="13"/>
          <w:color w:val="auto"/>
        </w:rPr>
        <w:t>Scott M. Huntsman</w:t>
      </w:r>
    </w:p>
    <w:p>
      <w:pPr>
        <w:spacing w:after="0" w:line="174" w:lineRule="exact"/>
        <w:rPr>
          <w:sz w:val="20"/>
          <w:szCs w:val="20"/>
          <w:color w:val="auto"/>
        </w:rPr>
      </w:pPr>
    </w:p>
    <w:p>
      <w:pPr>
        <w:ind w:left="2"/>
        <w:spacing w:after="0"/>
        <w:rPr>
          <w:sz w:val="20"/>
          <w:szCs w:val="20"/>
          <w:color w:val="auto"/>
        </w:rPr>
      </w:pPr>
      <w:r>
        <w:rPr>
          <w:rFonts w:ascii="Arial" w:cs="Arial" w:eastAsia="Arial" w:hAnsi="Arial"/>
          <w:sz w:val="13"/>
          <w:szCs w:val="13"/>
          <w:color w:val="auto"/>
        </w:rPr>
        <w:t>To withhold authority to vote for any individual nominee(s), mark “For All Except” and write the number(s) of the nominee(s) on the line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170180</wp:posOffset>
            </wp:positionV>
            <wp:extent cx="2195195" cy="635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2195195" cy="6350"/>
                    </a:xfrm>
                    <a:prstGeom prst="rect">
                      <a:avLst/>
                    </a:prstGeom>
                    <a:noFill/>
                  </pic:spPr>
                </pic:pic>
              </a:graphicData>
            </a:graphic>
          </wp:anchor>
        </w:drawing>
      </w:r>
    </w:p>
    <w:p>
      <w:pPr>
        <w:spacing w:after="0" w:line="200" w:lineRule="exact"/>
        <w:rPr>
          <w:sz w:val="20"/>
          <w:szCs w:val="20"/>
          <w:color w:val="auto"/>
        </w:rPr>
      </w:pPr>
    </w:p>
    <w:p>
      <w:pPr>
        <w:spacing w:after="0" w:line="302" w:lineRule="exact"/>
        <w:rPr>
          <w:sz w:val="20"/>
          <w:szCs w:val="20"/>
          <w:color w:val="auto"/>
        </w:rPr>
      </w:pPr>
    </w:p>
    <w:p>
      <w:pPr>
        <w:ind w:left="342" w:hanging="342"/>
        <w:spacing w:after="0"/>
        <w:tabs>
          <w:tab w:leader="none" w:pos="342" w:val="left"/>
        </w:tabs>
        <w:numPr>
          <w:ilvl w:val="0"/>
          <w:numId w:val="16"/>
        </w:numPr>
        <w:rPr>
          <w:rFonts w:ascii="Arial" w:cs="Arial" w:eastAsia="Arial" w:hAnsi="Arial"/>
          <w:sz w:val="13"/>
          <w:szCs w:val="13"/>
          <w:color w:val="auto"/>
        </w:rPr>
      </w:pPr>
      <w:r>
        <w:rPr>
          <w:rFonts w:ascii="Arial" w:cs="Arial" w:eastAsia="Arial" w:hAnsi="Arial"/>
          <w:sz w:val="13"/>
          <w:szCs w:val="13"/>
          <w:color w:val="auto"/>
        </w:rPr>
        <w:t>To Transact such other business as may properly come before the Annual Meeting</w:t>
      </w:r>
    </w:p>
    <w:p>
      <w:pPr>
        <w:spacing w:after="0" w:line="182" w:lineRule="exact"/>
        <w:rPr>
          <w:sz w:val="20"/>
          <w:szCs w:val="20"/>
          <w:color w:val="auto"/>
        </w:rPr>
      </w:pPr>
    </w:p>
    <w:p>
      <w:pPr>
        <w:ind w:left="2" w:right="400"/>
        <w:spacing w:after="0" w:line="272" w:lineRule="auto"/>
        <w:rPr>
          <w:sz w:val="20"/>
          <w:szCs w:val="20"/>
          <w:color w:val="auto"/>
        </w:rPr>
      </w:pPr>
      <w:r>
        <w:rPr>
          <w:rFonts w:ascii="Arial" w:cs="Arial" w:eastAsia="Arial" w:hAnsi="Arial"/>
          <w:sz w:val="13"/>
          <w:szCs w:val="13"/>
          <w:color w:val="auto"/>
        </w:rPr>
        <w:t>THIS PROXY, WILL BE VOTED AS DIRECTED OR, IF NO CONTRARY DIRECTION IS INDICATED, WILL BE VOTED FOR ALL DIRECTORS SET FORTH HEREIN, AND AS SAID PROXIES DEEM ADVISABLE ON SUCH OTHER MATTERS AS MAY COME BEFORE THE MEETING</w:t>
      </w:r>
    </w:p>
    <w:p>
      <w:pPr>
        <w:spacing w:after="0" w:line="148" w:lineRule="exact"/>
        <w:rPr>
          <w:sz w:val="20"/>
          <w:szCs w:val="20"/>
          <w:color w:val="auto"/>
        </w:rPr>
      </w:pPr>
    </w:p>
    <w:p>
      <w:pPr>
        <w:ind w:left="2" w:right="360"/>
        <w:spacing w:after="0" w:line="272" w:lineRule="auto"/>
        <w:rPr>
          <w:sz w:val="20"/>
          <w:szCs w:val="20"/>
          <w:color w:val="auto"/>
        </w:rPr>
      </w:pPr>
      <w:r>
        <w:rPr>
          <w:rFonts w:ascii="Arial" w:cs="Arial" w:eastAsia="Arial" w:hAnsi="Arial"/>
          <w:sz w:val="13"/>
          <w:szCs w:val="13"/>
          <w:color w:val="auto"/>
        </w:rPr>
        <w:t>(NOTE: Please sign exactly as your name(s) appear(s) hereon. All holders must sign. When signing as attorney, executor, administrator, or other fiduciary, please give full title as such. Joint owners should each sign personally. If a corporation, please sign in full corporate name, by authorized officer. If a partnership, please sign in partnership name by authorized person.)</w:t>
      </w:r>
    </w:p>
    <w:p>
      <w:pPr>
        <w:spacing w:after="0" w:line="132" w:lineRule="exact"/>
        <w:rPr>
          <w:sz w:val="20"/>
          <w:szCs w:val="20"/>
          <w:color w:val="auto"/>
        </w:rPr>
      </w:pPr>
    </w:p>
    <w:tbl>
      <w:tblPr>
        <w:tblLayout w:type="fixed"/>
        <w:tblInd w:w="12" w:type="dxa"/>
        <w:tblCellMar>
          <w:top w:w="0" w:type="dxa"/>
          <w:left w:w="0" w:type="dxa"/>
          <w:bottom w:w="0" w:type="dxa"/>
          <w:right w:w="0" w:type="dxa"/>
        </w:tblCellMar>
      </w:tblPr>
      <w:tr>
        <w:trPr>
          <w:trHeight w:val="380"/>
        </w:trPr>
        <w:tc>
          <w:tcPr>
            <w:tcW w:w="2740" w:type="dxa"/>
            <w:vAlign w:val="bottom"/>
            <w:tcBorders>
              <w:top w:val="single" w:sz="8" w:color="auto"/>
              <w:left w:val="single" w:sz="8" w:color="auto"/>
              <w:bottom w:val="single" w:sz="8" w:color="auto"/>
              <w:right w:val="single" w:sz="8" w:color="auto"/>
            </w:tcBorders>
          </w:tcPr>
          <w:p>
            <w:pPr>
              <w:spacing w:after="0"/>
              <w:rPr>
                <w:sz w:val="24"/>
                <w:szCs w:val="24"/>
                <w:color w:val="auto"/>
              </w:rPr>
            </w:pPr>
          </w:p>
        </w:tc>
        <w:tc>
          <w:tcPr>
            <w:tcW w:w="1400" w:type="dxa"/>
            <w:vAlign w:val="bottom"/>
            <w:tcBorders>
              <w:top w:val="single" w:sz="8" w:color="auto"/>
              <w:bottom w:val="single" w:sz="8" w:color="auto"/>
              <w:right w:val="single" w:sz="8" w:color="auto"/>
            </w:tcBorders>
          </w:tcPr>
          <w:p>
            <w:pPr>
              <w:spacing w:after="0"/>
              <w:rPr>
                <w:sz w:val="24"/>
                <w:szCs w:val="24"/>
                <w:color w:val="auto"/>
              </w:rPr>
            </w:pPr>
          </w:p>
        </w:tc>
        <w:tc>
          <w:tcPr>
            <w:tcW w:w="7340" w:type="dxa"/>
            <w:vAlign w:val="bottom"/>
          </w:tcPr>
          <w:p>
            <w:pPr>
              <w:spacing w:after="0"/>
              <w:rPr>
                <w:sz w:val="24"/>
                <w:szCs w:val="24"/>
                <w:color w:val="auto"/>
              </w:rPr>
            </w:pPr>
          </w:p>
        </w:tc>
      </w:tr>
      <w:tr>
        <w:trPr>
          <w:trHeight w:val="144"/>
        </w:trPr>
        <w:tc>
          <w:tcPr>
            <w:tcW w:w="2740" w:type="dxa"/>
            <w:vAlign w:val="bottom"/>
          </w:tcPr>
          <w:p>
            <w:pPr>
              <w:spacing w:after="0" w:line="144" w:lineRule="exact"/>
              <w:rPr>
                <w:sz w:val="20"/>
                <w:szCs w:val="20"/>
                <w:color w:val="auto"/>
              </w:rPr>
            </w:pPr>
            <w:r>
              <w:rPr>
                <w:rFonts w:ascii="Arial" w:cs="Arial" w:eastAsia="Arial" w:hAnsi="Arial"/>
                <w:sz w:val="13"/>
                <w:szCs w:val="13"/>
                <w:color w:val="auto"/>
              </w:rPr>
              <w:t>Signature [PLEASE SIGN WITHIN BOX]</w:t>
            </w:r>
          </w:p>
        </w:tc>
        <w:tc>
          <w:tcPr>
            <w:tcW w:w="1400" w:type="dxa"/>
            <w:vAlign w:val="bottom"/>
          </w:tcPr>
          <w:p>
            <w:pPr>
              <w:ind w:left="660"/>
              <w:spacing w:after="0" w:line="144" w:lineRule="exact"/>
              <w:rPr>
                <w:sz w:val="20"/>
                <w:szCs w:val="20"/>
                <w:color w:val="auto"/>
              </w:rPr>
            </w:pPr>
            <w:r>
              <w:rPr>
                <w:rFonts w:ascii="Arial" w:cs="Arial" w:eastAsia="Arial" w:hAnsi="Arial"/>
                <w:sz w:val="13"/>
                <w:szCs w:val="13"/>
                <w:color w:val="auto"/>
              </w:rPr>
              <w:t>Date</w:t>
            </w:r>
          </w:p>
        </w:tc>
        <w:tc>
          <w:tcPr>
            <w:tcW w:w="7340" w:type="dxa"/>
            <w:vAlign w:val="bottom"/>
          </w:tcPr>
          <w:p>
            <w:pPr>
              <w:spacing w:after="0"/>
              <w:rPr>
                <w:sz w:val="12"/>
                <w:szCs w:val="12"/>
                <w:color w:val="auto"/>
              </w:rPr>
            </w:pPr>
          </w:p>
        </w:tc>
      </w:tr>
      <w:tr>
        <w:trPr>
          <w:trHeight w:val="157"/>
        </w:trPr>
        <w:tc>
          <w:tcPr>
            <w:tcW w:w="2740" w:type="dxa"/>
            <w:vAlign w:val="bottom"/>
            <w:tcBorders>
              <w:bottom w:val="single" w:sz="8" w:color="auto"/>
            </w:tcBorders>
          </w:tcPr>
          <w:p>
            <w:pPr>
              <w:spacing w:after="0"/>
              <w:rPr>
                <w:sz w:val="13"/>
                <w:szCs w:val="13"/>
                <w:color w:val="auto"/>
              </w:rPr>
            </w:pPr>
          </w:p>
        </w:tc>
        <w:tc>
          <w:tcPr>
            <w:tcW w:w="1400" w:type="dxa"/>
            <w:vAlign w:val="bottom"/>
            <w:tcBorders>
              <w:bottom w:val="single" w:sz="8" w:color="auto"/>
            </w:tcBorders>
          </w:tcPr>
          <w:p>
            <w:pPr>
              <w:spacing w:after="0"/>
              <w:rPr>
                <w:sz w:val="13"/>
                <w:szCs w:val="13"/>
                <w:color w:val="auto"/>
              </w:rPr>
            </w:pPr>
          </w:p>
        </w:tc>
        <w:tc>
          <w:tcPr>
            <w:tcW w:w="7340" w:type="dxa"/>
            <w:vAlign w:val="bottom"/>
          </w:tcPr>
          <w:p>
            <w:pPr>
              <w:spacing w:after="0"/>
              <w:rPr>
                <w:sz w:val="13"/>
                <w:szCs w:val="13"/>
                <w:color w:val="auto"/>
              </w:rPr>
            </w:pPr>
          </w:p>
        </w:tc>
      </w:tr>
      <w:tr>
        <w:trPr>
          <w:trHeight w:val="360"/>
        </w:trPr>
        <w:tc>
          <w:tcPr>
            <w:tcW w:w="2740" w:type="dxa"/>
            <w:vAlign w:val="bottom"/>
            <w:tcBorders>
              <w:left w:val="single" w:sz="8" w:color="auto"/>
              <w:bottom w:val="single" w:sz="8" w:color="auto"/>
              <w:right w:val="single" w:sz="8" w:color="auto"/>
            </w:tcBorders>
          </w:tcPr>
          <w:p>
            <w:pPr>
              <w:spacing w:after="0"/>
              <w:rPr>
                <w:sz w:val="24"/>
                <w:szCs w:val="24"/>
                <w:color w:val="auto"/>
              </w:rPr>
            </w:pPr>
          </w:p>
        </w:tc>
        <w:tc>
          <w:tcPr>
            <w:tcW w:w="1400" w:type="dxa"/>
            <w:vAlign w:val="bottom"/>
            <w:tcBorders>
              <w:bottom w:val="single" w:sz="8" w:color="auto"/>
              <w:right w:val="single" w:sz="8" w:color="auto"/>
            </w:tcBorders>
          </w:tcPr>
          <w:p>
            <w:pPr>
              <w:spacing w:after="0"/>
              <w:rPr>
                <w:sz w:val="24"/>
                <w:szCs w:val="24"/>
                <w:color w:val="auto"/>
              </w:rPr>
            </w:pPr>
          </w:p>
        </w:tc>
        <w:tc>
          <w:tcPr>
            <w:tcW w:w="7340" w:type="dxa"/>
            <w:vAlign w:val="bottom"/>
          </w:tcPr>
          <w:p>
            <w:pPr>
              <w:spacing w:after="0"/>
              <w:rPr>
                <w:sz w:val="24"/>
                <w:szCs w:val="24"/>
                <w:color w:val="auto"/>
              </w:rPr>
            </w:pPr>
          </w:p>
        </w:tc>
      </w:tr>
      <w:tr>
        <w:trPr>
          <w:trHeight w:val="144"/>
        </w:trPr>
        <w:tc>
          <w:tcPr>
            <w:tcW w:w="2740" w:type="dxa"/>
            <w:vAlign w:val="bottom"/>
          </w:tcPr>
          <w:p>
            <w:pPr>
              <w:spacing w:after="0" w:line="144" w:lineRule="exact"/>
              <w:rPr>
                <w:sz w:val="20"/>
                <w:szCs w:val="20"/>
                <w:color w:val="auto"/>
              </w:rPr>
            </w:pPr>
            <w:r>
              <w:rPr>
                <w:rFonts w:ascii="Arial" w:cs="Arial" w:eastAsia="Arial" w:hAnsi="Arial"/>
                <w:sz w:val="13"/>
                <w:szCs w:val="13"/>
                <w:color w:val="auto"/>
              </w:rPr>
              <w:t>Signature [Joint Owners]</w:t>
            </w:r>
          </w:p>
        </w:tc>
        <w:tc>
          <w:tcPr>
            <w:tcW w:w="1400" w:type="dxa"/>
            <w:vAlign w:val="bottom"/>
          </w:tcPr>
          <w:p>
            <w:pPr>
              <w:ind w:left="640"/>
              <w:spacing w:after="0" w:line="144" w:lineRule="exact"/>
              <w:rPr>
                <w:sz w:val="20"/>
                <w:szCs w:val="20"/>
                <w:color w:val="auto"/>
              </w:rPr>
            </w:pPr>
            <w:r>
              <w:rPr>
                <w:rFonts w:ascii="Arial" w:cs="Arial" w:eastAsia="Arial" w:hAnsi="Arial"/>
                <w:sz w:val="13"/>
                <w:szCs w:val="13"/>
                <w:color w:val="auto"/>
              </w:rPr>
              <w:t>Date</w:t>
            </w:r>
          </w:p>
        </w:tc>
        <w:tc>
          <w:tcPr>
            <w:tcW w:w="7340" w:type="dxa"/>
            <w:vAlign w:val="bottom"/>
          </w:tcPr>
          <w:p>
            <w:pPr>
              <w:spacing w:after="0"/>
              <w:rPr>
                <w:sz w:val="12"/>
                <w:szCs w:val="12"/>
                <w:color w:val="auto"/>
              </w:rPr>
            </w:pPr>
          </w:p>
        </w:tc>
      </w:tr>
      <w:tr>
        <w:trPr>
          <w:trHeight w:val="703"/>
        </w:trPr>
        <w:tc>
          <w:tcPr>
            <w:tcW w:w="2740" w:type="dxa"/>
            <w:vAlign w:val="bottom"/>
            <w:tcBorders>
              <w:bottom w:val="single" w:sz="8" w:color="808080"/>
            </w:tcBorders>
          </w:tcPr>
          <w:p>
            <w:pPr>
              <w:spacing w:after="0"/>
              <w:rPr>
                <w:sz w:val="24"/>
                <w:szCs w:val="24"/>
                <w:color w:val="auto"/>
              </w:rPr>
            </w:pPr>
          </w:p>
        </w:tc>
        <w:tc>
          <w:tcPr>
            <w:tcW w:w="1400" w:type="dxa"/>
            <w:vAlign w:val="bottom"/>
            <w:tcBorders>
              <w:bottom w:val="single" w:sz="8" w:color="808080"/>
            </w:tcBorders>
          </w:tcPr>
          <w:p>
            <w:pPr>
              <w:spacing w:after="0"/>
              <w:rPr>
                <w:sz w:val="24"/>
                <w:szCs w:val="24"/>
                <w:color w:val="auto"/>
              </w:rPr>
            </w:pPr>
          </w:p>
        </w:tc>
        <w:tc>
          <w:tcPr>
            <w:tcW w:w="734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7275195</wp:posOffset>
            </wp:positionH>
            <wp:positionV relativeFrom="paragraph">
              <wp:posOffset>-12065</wp:posOffset>
            </wp:positionV>
            <wp:extent cx="12700" cy="635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-12065</wp:posOffset>
            </wp:positionV>
            <wp:extent cx="12700" cy="635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82"/>
          </w:cols>
          <w:pgMar w:left="218" w:top="409" w:right="199" w:bottom="1440" w:gutter="0" w:footer="0" w:header="0"/>
        </w:sectPr>
      </w:pPr>
    </w:p>
    <w:bookmarkStart w:id="21" w:name="page22"/>
    <w:bookmarkEnd w:id="21"/>
    <w:p>
      <w:pPr>
        <w:jc w:val="center"/>
        <w:ind w:right="-119"/>
        <w:spacing w:after="0"/>
        <w:rPr>
          <w:sz w:val="20"/>
          <w:szCs w:val="20"/>
          <w:color w:val="auto"/>
        </w:rPr>
      </w:pPr>
      <w:r>
        <w:rPr>
          <w:rFonts w:ascii="Arial" w:cs="Arial" w:eastAsia="Arial" w:hAnsi="Arial"/>
          <w:sz w:val="13"/>
          <w:szCs w:val="13"/>
          <w:b w:val="1"/>
          <w:bCs w:val="1"/>
          <w:color w:val="auto"/>
        </w:rPr>
        <w:t>CLEARONE COMMUNICATIONS, INC.</w:t>
      </w:r>
    </w:p>
    <w:p>
      <w:pPr>
        <w:spacing w:after="0" w:line="18" w:lineRule="exact"/>
        <w:rPr>
          <w:sz w:val="20"/>
          <w:szCs w:val="20"/>
          <w:color w:val="auto"/>
        </w:rPr>
      </w:pPr>
    </w:p>
    <w:p>
      <w:pPr>
        <w:jc w:val="center"/>
        <w:ind w:right="-119"/>
        <w:spacing w:after="0"/>
        <w:rPr>
          <w:sz w:val="20"/>
          <w:szCs w:val="20"/>
          <w:color w:val="auto"/>
        </w:rPr>
      </w:pPr>
      <w:r>
        <w:rPr>
          <w:rFonts w:ascii="Arial" w:cs="Arial" w:eastAsia="Arial" w:hAnsi="Arial"/>
          <w:sz w:val="13"/>
          <w:szCs w:val="13"/>
          <w:b w:val="1"/>
          <w:bCs w:val="1"/>
          <w:color w:val="auto"/>
        </w:rPr>
        <w:t>Proxy for Annual Meeting of Shareholders</w:t>
      </w:r>
    </w:p>
    <w:p>
      <w:pPr>
        <w:spacing w:after="0" w:line="6" w:lineRule="exact"/>
        <w:rPr>
          <w:sz w:val="20"/>
          <w:szCs w:val="20"/>
          <w:color w:val="auto"/>
        </w:rPr>
      </w:pPr>
    </w:p>
    <w:p>
      <w:pPr>
        <w:jc w:val="center"/>
        <w:ind w:right="-119"/>
        <w:spacing w:after="0"/>
        <w:rPr>
          <w:sz w:val="20"/>
          <w:szCs w:val="20"/>
          <w:color w:val="auto"/>
        </w:rPr>
      </w:pPr>
      <w:r>
        <w:rPr>
          <w:rFonts w:ascii="Arial" w:cs="Arial" w:eastAsia="Arial" w:hAnsi="Arial"/>
          <w:sz w:val="13"/>
          <w:szCs w:val="13"/>
          <w:b w:val="1"/>
          <w:bCs w:val="1"/>
          <w:color w:val="auto"/>
        </w:rPr>
        <w:t>November 14, 2008</w:t>
      </w:r>
    </w:p>
    <w:p>
      <w:pPr>
        <w:spacing w:after="0" w:line="170" w:lineRule="exact"/>
        <w:rPr>
          <w:sz w:val="20"/>
          <w:szCs w:val="20"/>
          <w:color w:val="auto"/>
        </w:rPr>
      </w:pPr>
    </w:p>
    <w:p>
      <w:pPr>
        <w:jc w:val="center"/>
        <w:ind w:right="-119"/>
        <w:spacing w:after="0"/>
        <w:rPr>
          <w:sz w:val="20"/>
          <w:szCs w:val="20"/>
          <w:color w:val="auto"/>
        </w:rPr>
      </w:pPr>
      <w:r>
        <w:rPr>
          <w:rFonts w:ascii="Arial" w:cs="Arial" w:eastAsia="Arial" w:hAnsi="Arial"/>
          <w:sz w:val="13"/>
          <w:szCs w:val="13"/>
          <w:b w:val="1"/>
          <w:bCs w:val="1"/>
          <w:color w:val="auto"/>
        </w:rPr>
        <w:t>THIS PROXY IS SOLICITED ON BEHALF OF THE BOARD OF DIRECTORS</w:t>
      </w:r>
    </w:p>
    <w:p>
      <w:pPr>
        <w:spacing w:after="0" w:line="186" w:lineRule="exact"/>
        <w:rPr>
          <w:sz w:val="20"/>
          <w:szCs w:val="20"/>
          <w:color w:val="auto"/>
        </w:rPr>
      </w:pPr>
    </w:p>
    <w:p>
      <w:pPr>
        <w:ind w:right="60"/>
        <w:spacing w:after="0" w:line="319" w:lineRule="auto"/>
        <w:rPr>
          <w:sz w:val="20"/>
          <w:szCs w:val="20"/>
          <w:color w:val="auto"/>
        </w:rPr>
      </w:pPr>
      <w:r>
        <w:rPr>
          <w:rFonts w:ascii="Arial" w:cs="Arial" w:eastAsia="Arial" w:hAnsi="Arial"/>
          <w:sz w:val="11"/>
          <w:szCs w:val="11"/>
          <w:color w:val="auto"/>
        </w:rPr>
        <w:t>The undersigned shareholder of ClearOne Communications, Inc., a Utah corporation (the "Company"), hereby acknowledges receipt of the Notice of Annual Meeting of Shareholders and Proxy Statement, each dated September 29, 2008, and hereby appoints Zeynep Hakimoglu and Greg A. LeClaire, proxies and attorneys-in-fact, with full power to each of substitution in behalf of and in the name of the undersigned, to represent the undersigned at the Annual Meeting of Shareholders to be held on November 14, 2008, at 9:00 a.m., MST, at the Company’s corporate offices, 5225 Wiley Post Way, Suite 500, Salt Lake City, Utah 84116, and at any postponement or adjournment thereof, and to vote all shares of Common Stock which the undersigned would be entitled to vote, if then and there personally present, on the matters set forth below.</w:t>
      </w:r>
    </w:p>
    <w:p>
      <w:pPr>
        <w:spacing w:after="0" w:line="126" w:lineRule="exact"/>
        <w:rPr>
          <w:sz w:val="20"/>
          <w:szCs w:val="20"/>
          <w:color w:val="auto"/>
        </w:rPr>
      </w:pPr>
    </w:p>
    <w:p>
      <w:pPr>
        <w:spacing w:after="0" w:line="261" w:lineRule="auto"/>
        <w:rPr>
          <w:sz w:val="20"/>
          <w:szCs w:val="20"/>
          <w:color w:val="auto"/>
        </w:rPr>
      </w:pPr>
      <w:r>
        <w:rPr>
          <w:rFonts w:ascii="Arial" w:cs="Arial" w:eastAsia="Arial" w:hAnsi="Arial"/>
          <w:sz w:val="13"/>
          <w:szCs w:val="13"/>
          <w:color w:val="auto"/>
        </w:rPr>
        <w:t>A majority of such attorneys or substitutes as shall be present and shall act at said meeting or any postponement or adjournment thereof (or, if only one shall be present and act, then that one) shall have and may exercise all the powers of said attorneys-in-fact hereunder. In addition to the following proposals, the proxies are authorized to vote upon such other matters as may properly come before the meeting or any postponement or adjournment thereof.</w:t>
      </w:r>
    </w:p>
    <w:sectPr>
      <w:pgSz w:w="11900" w:h="16838" w:orient="portrait"/>
      <w:cols w:equalWidth="0" w:num="1">
        <w:col w:w="11360"/>
      </w:cols>
      <w:pgMar w:left="220" w:top="409" w:right="3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515F007C"/>
    <w:multiLevelType w:val="hybridMultilevel"/>
    <w:lvl w:ilvl="0">
      <w:lvlJc w:val="left"/>
      <w:lvlText w:val="[%1]"/>
      <w:numFmt w:val="upperLetter"/>
      <w:start w:val="24"/>
    </w:lvl>
  </w:abstractNum>
  <w:abstractNum w:abstractNumId="1">
    <w:nsid w:val="5BD062C2"/>
    <w:multiLevelType w:val="hybridMultilevel"/>
    <w:lvl w:ilvl="0">
      <w:lvlJc w:val="left"/>
      <w:lvlText w:val="[%1]"/>
      <w:numFmt w:val="upperLetter"/>
      <w:start w:val="24"/>
    </w:lvl>
  </w:abstractNum>
  <w:abstractNum w:abstractNumId="2">
    <w:nsid w:val="12200854"/>
    <w:multiLevelType w:val="hybridMultilevel"/>
    <w:lvl w:ilvl="0">
      <w:lvlJc w:val="left"/>
      <w:lvlText w:val="["/>
      <w:numFmt w:val="bullet"/>
      <w:start w:val="1"/>
    </w:lvl>
    <w:lvl w:ilvl="1">
      <w:lvlJc w:val="left"/>
      <w:lvlText w:val="%2)"/>
      <w:numFmt w:val="decimal"/>
      <w:start w:val="1"/>
    </w:lvl>
  </w:abstractNum>
  <w:abstractNum w:abstractNumId="3">
    <w:nsid w:val="4DB127F8"/>
    <w:multiLevelType w:val="hybridMultilevel"/>
    <w:lvl w:ilvl="0">
      <w:lvlJc w:val="left"/>
      <w:lvlText w:val="["/>
      <w:numFmt w:val="bullet"/>
      <w:start w:val="1"/>
    </w:lvl>
    <w:lvl w:ilvl="1">
      <w:lvlJc w:val="left"/>
      <w:lvlText w:val="%2)"/>
      <w:numFmt w:val="decimal"/>
      <w:start w:val="1"/>
    </w:lvl>
  </w:abstractNum>
  <w:abstractNum w:abstractNumId="4">
    <w:nsid w:val="216231B"/>
    <w:multiLevelType w:val="hybridMultilevel"/>
    <w:lvl w:ilvl="0">
      <w:lvlJc w:val="left"/>
      <w:lvlText w:val="%1."/>
      <w:numFmt w:val="decimal"/>
      <w:start w:val="1"/>
    </w:lvl>
  </w:abstractNum>
  <w:abstractNum w:abstractNumId="5">
    <w:nsid w:val="1F16E9E8"/>
    <w:multiLevelType w:val="hybridMultilevel"/>
    <w:lvl w:ilvl="0">
      <w:lvlJc w:val="left"/>
      <w:lvlText w:val="·"/>
      <w:numFmt w:val="bullet"/>
      <w:start w:val="1"/>
    </w:lvl>
  </w:abstractNum>
  <w:abstractNum w:abstractNumId="6">
    <w:nsid w:val="1190CDE7"/>
    <w:multiLevelType w:val="hybridMultilevel"/>
    <w:lvl w:ilvl="0">
      <w:lvlJc w:val="left"/>
      <w:lvlText w:val="·"/>
      <w:numFmt w:val="bullet"/>
      <w:start w:val="1"/>
    </w:lvl>
  </w:abstractNum>
  <w:abstractNum w:abstractNumId="7">
    <w:nsid w:val="66EF438D"/>
    <w:multiLevelType w:val="hybridMultilevel"/>
    <w:lvl w:ilvl="0">
      <w:lvlJc w:val="left"/>
      <w:lvlText w:val="(%1)"/>
      <w:numFmt w:val="decimal"/>
      <w:start w:val="1"/>
    </w:lvl>
  </w:abstractNum>
  <w:abstractNum w:abstractNumId="8">
    <w:nsid w:val="140E0F76"/>
    <w:multiLevelType w:val="hybridMultilevel"/>
    <w:lvl w:ilvl="0">
      <w:lvlJc w:val="left"/>
      <w:lvlText w:val="(%1)"/>
      <w:numFmt w:val="decimal"/>
      <w:start w:val="1"/>
    </w:lvl>
  </w:abstractNum>
  <w:abstractNum w:abstractNumId="9">
    <w:nsid w:val="3352255A"/>
    <w:multiLevelType w:val="hybridMultilevel"/>
    <w:lvl w:ilvl="0">
      <w:lvlJc w:val="left"/>
      <w:lvlText w:val="(%1)"/>
      <w:numFmt w:val="decimal"/>
      <w:start w:val="1"/>
    </w:lvl>
  </w:abstractNum>
  <w:abstractNum w:abstractNumId="10">
    <w:nsid w:val="109CF92E"/>
    <w:multiLevelType w:val="hybridMultilevel"/>
    <w:lvl w:ilvl="0">
      <w:lvlJc w:val="left"/>
      <w:lvlText w:val="(%1)"/>
      <w:numFmt w:val="decimal"/>
      <w:start w:val="1"/>
    </w:lvl>
  </w:abstractNum>
  <w:abstractNum w:abstractNumId="11">
    <w:nsid w:val="DED7263"/>
    <w:multiLevelType w:val="hybridMultilevel"/>
    <w:lvl w:ilvl="0">
      <w:lvlJc w:val="left"/>
      <w:lvlText w:val="*"/>
      <w:numFmt w:val="bullet"/>
      <w:start w:val="1"/>
    </w:lvl>
  </w:abstractNum>
  <w:abstractNum w:abstractNumId="12">
    <w:nsid w:val="7FDCC233"/>
    <w:multiLevelType w:val="hybridMultilevel"/>
    <w:lvl w:ilvl="0">
      <w:lvlJc w:val="left"/>
      <w:lvlText w:val="(%1)"/>
      <w:numFmt w:val="decimal"/>
      <w:start w:val="1"/>
    </w:lvl>
  </w:abstractNum>
  <w:abstractNum w:abstractNumId="13">
    <w:nsid w:val="1BEFD79F"/>
    <w:multiLevelType w:val="hybridMultilevel"/>
    <w:lvl w:ilvl="0">
      <w:lvlJc w:val="left"/>
      <w:lvlText w:val="(%1)"/>
      <w:numFmt w:val="decimal"/>
      <w:start w:val="1"/>
    </w:lvl>
  </w:abstractNum>
  <w:abstractNum w:abstractNumId="14">
    <w:nsid w:val="41A7C4C9"/>
    <w:multiLevelType w:val="hybridMultilevel"/>
    <w:lvl w:ilvl="0">
      <w:lvlJc w:val="left"/>
      <w:lvlText w:val="%1)"/>
      <w:numFmt w:val="decimal"/>
      <w:start w:val="2"/>
    </w:lvl>
  </w:abstractNum>
  <w:abstractNum w:abstractNumId="15">
    <w:nsid w:val="6B68079A"/>
    <w:multiLevelType w:val="hybridMultilevel"/>
    <w:lvl w:ilvl="0">
      <w:lvlJc w:val="left"/>
      <w:lvlText w:val="%1."/>
      <w:numFmt w:val="upperLetter"/>
      <w:start w:val="35"/>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jpe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2019-12-13T18:09:50Z</dcterms:created>
  <dcterms:modified xsi:type="dcterms:W3CDTF">2019-12-13T18:09:50Z</dcterms:modified>
</cp:coreProperties>
</file>